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rPr>
        <w:t>中国共产党垫江县委员会统战部</w:t>
      </w:r>
      <w:r>
        <w:rPr>
          <w:rFonts w:hint="default" w:ascii="Times New Roman" w:hAnsi="Times New Roman" w:eastAsia="方正小标宋_GBK"/>
          <w:sz w:val="44"/>
          <w:szCs w:val="44"/>
          <w:shd w:val="clear" w:color="auto" w:fill="FFFFFF"/>
        </w:rPr>
        <w:t>2024年度决算公开说明</w:t>
      </w:r>
    </w:p>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p>
    <w:p>
      <w:pPr>
        <w:pStyle w:val="6"/>
        <w:shd w:val="clear" w:color="auto" w:fill="FFFFFF"/>
        <w:spacing w:beforeAutospacing="0" w:after="0" w:afterAutospacing="0" w:line="594" w:lineRule="exact"/>
        <w:ind w:firstLine="643" w:firstLineChars="200"/>
        <w:rPr>
          <w:rFonts w:hint="default" w:ascii="Times New Roman" w:hAnsi="Times New Roman" w:eastAsia="黑体"/>
          <w:sz w:val="32"/>
          <w:szCs w:val="32"/>
        </w:rPr>
      </w:pPr>
      <w:r>
        <w:rPr>
          <w:rStyle w:val="10"/>
          <w:rFonts w:hint="default" w:ascii="Times New Roman" w:hAnsi="Times New Roman" w:eastAsia="黑体"/>
          <w:sz w:val="32"/>
          <w:szCs w:val="32"/>
          <w:shd w:val="clear" w:color="auto" w:fill="FFFFFF"/>
        </w:rPr>
        <w:t>一、部门基本情况</w:t>
      </w:r>
    </w:p>
    <w:p>
      <w:pPr>
        <w:pStyle w:val="6"/>
        <w:shd w:val="clear" w:color="auto" w:fill="FFFFFF"/>
        <w:spacing w:beforeAutospacing="0" w:after="0" w:afterAutospacing="0" w:line="594" w:lineRule="exact"/>
        <w:ind w:firstLine="42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中国共产党垫江县委员会统一战线工作部是县委主管全县统一战线工作的县委工作机构，主要职能职责是：</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党中央关于统一战线工作的决策部署和市委、县委工作要求，巩固壮大最广泛的统一战线。</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2.贯彻落实统一战线工作的理论、政策和法律法规，及时向县委报告统一战线工作</w:t>
      </w:r>
      <w:bookmarkStart w:id="0" w:name="page1"/>
      <w:bookmarkEnd w:id="0"/>
      <w:r>
        <w:rPr>
          <w:rFonts w:hint="default" w:ascii="Times New Roman" w:hAnsi="Times New Roman" w:eastAsia="方正仿宋_GBK"/>
          <w:bCs/>
          <w:sz w:val="32"/>
        </w:rPr>
        <w:t>情况并提出建议，组织协调统一战线政策和法律法规的贯彻落实、检查执行情况，统筹协调和指导各乡镇（街道）各部门各单位统一战线工作。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3.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4.负责联系全县各民主党派，通报情况、反映意见，贯彻落实中国共产党领导的多党合作和政治协商制度以及对民主党派的方针政策，支持、帮助全县民主党派加强自身建设，做好支持全县民主党派履行职责、发挥作用的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5.贯彻落实党的民族工作方针、政策和法律法规，牵头协调检查落实情况，协调处理民族工作中的重大问题，根据分工做好少数民族干部工作，依法管理民族事务，全面促进全县民族事业发展。</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6.统一领导全县宗教工作，贯彻落实党的宗教工作基本方针和政策，牵头协调检查落实情况，依法管理宗教行政事务、保护公民宗教信仰自由和正常的宗教活动、维护宗教界合法权益、抵御境外利用宗教进行渗透，引导各宗教坚持中国化方向，巩固和发展同宗教界的爱国统一战线。</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7.统一领导全县海外统战工作，牵头开展港澳统战工作，开展对台统战工作。贯彻落实党中央、市委海外统战工作政策、规划和县委的相关的工作部署，会同有关部门落实香港、澳门地区统一战线工作政策，贯彻执行党中央国务院、市委市政府确定的对台工作的方针政策，联系香港、澳门、台湾有关党派、团体及代表人士，联系海外有关社团及代表人士，做好台胞、台属有关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8.参与制定、推动贯彻落实党中央、市委和县委鼓励支持引导非公有制经济发展的方针和政策，调查研究我县非公有制经济人士情况并提出政策建议，了解和反映非公有制经济人士的意见，团结、服务、引导、教育我县非公有制经济人士，促进全县非公有制经济健康发展和非公有制经济人士健康成长。</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9.负责联系、培养全县无党派代表人士，支持、帮助无党派人士加强自身建设、发挥作用。调查研究我县党外知识分子和新的社会阶层人士情况并提出政策建议，联系、培养党外知识分子和新的社会阶层代表人士，开展思想政治工作，指导县级有关单位、企事业等有关单位和社会组织开展党外知识分子和新的社会阶层人士统战工作。做好全县出国和归国留学人员统战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10.统一管理全县侨务工作，管理侨务行政事务，贯彻党中央、市委侨务工作政策和规划，调查研究侨情和侨务工作情况，统筹协调有关部门和社会团体涉侨工作，联系海外有关侨团及代表人士，指导推动涉侨宣传、文化交流、华文教育工作等，保护华侨和归侨侨眷在我县的合法权利和利益。</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11.贯彻落实党的宣传工作方针，统筹推进全县统一战线宣传工作和理论政策研究工作。研判涉及统一战线的舆情并协同有关部门应对处置。</w:t>
      </w:r>
    </w:p>
    <w:p>
      <w:pPr>
        <w:widowControl w:val="0"/>
        <w:spacing w:line="594" w:lineRule="exact"/>
        <w:ind w:left="60" w:right="60"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12.协助管理乡镇（街道）党（工）委统战委员。受县委委托，领导县工商联党组，指导县工商联工作。指导垫江社会主义学院工作。做好全县统一战线有关单位和团体的管理工作。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13.负责机关、直属单位和主管的社会组织党建工作。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14.完成县委交办的其他任务。</w:t>
      </w:r>
    </w:p>
    <w:p>
      <w:pPr>
        <w:pStyle w:val="6"/>
        <w:shd w:val="clear" w:color="auto" w:fill="FFFFFF"/>
        <w:spacing w:beforeAutospacing="0" w:after="0" w:afterAutospacing="0" w:line="594" w:lineRule="exact"/>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县委统战部（本级）内设办公室、干部科、民主党派工作科、民族宗教工作科、港澳台侨统战工作科、新的社会阶层人士统战工作科。2024年末，实有在职人数11人。</w:t>
      </w:r>
      <w:r>
        <w:rPr>
          <w:rFonts w:hint="default" w:ascii="Times New Roman" w:hAnsi="Times New Roman" w:eastAsia="方正仿宋_GBK"/>
          <w:sz w:val="32"/>
          <w:szCs w:val="32"/>
        </w:rPr>
        <w:t>县统战服务中心内设机构2个（综合科、调研科），2024年末，实有在职人数8人。</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二、部门决算情况说明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beforeAutospacing="0" w:after="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2024年度收入总计620.93万元，支出总计</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万元。收、支与2023年度相比，减少43.34万元，下降6.52%，主要原因是厉行过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2024年度收入合计620.93万元，与2023年度相比，减少42.89万元，下降6.46%，主要原因是厉行过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原则，勤俭节约，减少开支。其中：财政拨款收入</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万元，与2023年度相比，减少43.24万元，下降6.51%，主要原因是厉行过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原则，勤俭节约，减少开支。其中：基本支出</w:t>
      </w:r>
      <w:r>
        <w:rPr>
          <w:rFonts w:hint="default" w:ascii="Times New Roman" w:hAnsi="Times New Roman" w:eastAsia="方正仿宋_GBK"/>
          <w:sz w:val="32"/>
          <w:szCs w:val="32"/>
        </w:rPr>
        <w:t>499.33</w:t>
      </w:r>
      <w:r>
        <w:rPr>
          <w:rFonts w:hint="default" w:ascii="Times New Roman" w:hAnsi="Times New Roman" w:eastAsia="方正仿宋_GBK"/>
          <w:sz w:val="32"/>
          <w:szCs w:val="32"/>
          <w:shd w:val="clear" w:color="auto" w:fill="FFFFFF"/>
        </w:rPr>
        <w:t>万元，占80.42%；项目支出</w:t>
      </w:r>
      <w:r>
        <w:rPr>
          <w:rFonts w:hint="default" w:ascii="Times New Roman" w:hAnsi="Times New Roman" w:eastAsia="方正仿宋_GBK"/>
          <w:sz w:val="32"/>
          <w:szCs w:val="32"/>
        </w:rPr>
        <w:t>121.60</w:t>
      </w:r>
      <w:r>
        <w:rPr>
          <w:rFonts w:hint="default" w:ascii="Times New Roman" w:hAnsi="Times New Roman" w:eastAsia="方正仿宋_GBK"/>
          <w:sz w:val="32"/>
          <w:szCs w:val="32"/>
          <w:shd w:val="clear" w:color="auto" w:fill="FFFFFF"/>
        </w:rPr>
        <w:t>万元，占19.58%；经营支出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red"/>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万元，与2023年度相比，减少0.10万元，下降100.00%，主要原因是上年度的</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2024年度财政拨款收、支总计620.93万元。与2023年相比，财政拨款收、支总计各减少43.34万元，下降6.52%。主要原因是厉行过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万元，与2023年度相比，减少42.89万元，下降6.46%。主要原因是厉行过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原则，勤俭节约，减少开支。较年初预算数减少33.20万元，下降5.08%。主要原因是厉行过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万元，与2023年度相比，减少43.24万元，下降6.51%。主要原因是厉行过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原则，勤俭节约，减少开支。较年初预算数减少33.20万元，下降5.08%。主要原因是厉行过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red"/>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万元，与2023年度相比，减少0.10万元，下降100.00%，主要原因是上年度的</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472.90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76.16</w:t>
      </w:r>
      <w:r>
        <w:rPr>
          <w:rFonts w:hint="default" w:ascii="Times New Roman" w:hAnsi="Times New Roman" w:eastAsia="方正仿宋_GBK"/>
          <w:sz w:val="32"/>
          <w:szCs w:val="32"/>
          <w:shd w:val="clear" w:color="auto" w:fill="FFFFFF"/>
        </w:rPr>
        <w:t>%，较年初预算数减少49.04万元，下降9.40%，主要原因是厉行过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（2）教育支出</w:t>
      </w:r>
      <w:r>
        <w:rPr>
          <w:rFonts w:hint="default" w:ascii="Times New Roman" w:hAnsi="Times New Roman" w:eastAsia="方正仿宋_GBK"/>
          <w:sz w:val="32"/>
          <w:szCs w:val="32"/>
        </w:rPr>
        <w:t>0.70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0.11</w:t>
      </w:r>
      <w:r>
        <w:rPr>
          <w:rFonts w:hint="default" w:ascii="Times New Roman" w:hAnsi="Times New Roman" w:eastAsia="方正仿宋_GBK"/>
          <w:sz w:val="32"/>
          <w:szCs w:val="32"/>
          <w:shd w:val="clear" w:color="auto" w:fill="FFFFFF"/>
        </w:rPr>
        <w:t>%，较年初预算数减少0.58万元，下降45.31%，主要原因是厉行过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101.26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16.31</w:t>
      </w:r>
      <w:r>
        <w:rPr>
          <w:rFonts w:hint="default" w:ascii="Times New Roman" w:hAnsi="Times New Roman" w:eastAsia="方正仿宋_GBK"/>
          <w:sz w:val="32"/>
          <w:szCs w:val="32"/>
          <w:shd w:val="clear" w:color="auto" w:fill="FFFFFF"/>
        </w:rPr>
        <w:t>%，较年初预算数增加19.04万元，增长23.16%，主要原因是社会保障缴费基数调整以及新入职人员1名未作年初预算。</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19.09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3.08</w:t>
      </w:r>
      <w:r>
        <w:rPr>
          <w:rFonts w:hint="default" w:ascii="Times New Roman" w:hAnsi="Times New Roman" w:eastAsia="方正仿宋_GBK"/>
          <w:sz w:val="32"/>
          <w:szCs w:val="32"/>
          <w:shd w:val="clear" w:color="auto" w:fill="FFFFFF"/>
        </w:rPr>
        <w:t>%，较年初预算数减少2.06万元，下降9.74%，主要原因是年初预算人员调出2</w:t>
      </w:r>
      <w:r>
        <w:rPr>
          <w:rFonts w:ascii="Times New Roman" w:hAnsi="Times New Roman" w:eastAsia="方正仿宋_GBK"/>
          <w:sz w:val="32"/>
          <w:szCs w:val="32"/>
          <w:shd w:val="clear" w:color="auto" w:fill="FFFFFF"/>
        </w:rPr>
        <w:t>名</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w:t>
      </w:r>
      <w:r>
        <w:rPr>
          <w:rFonts w:hint="default" w:ascii="Times New Roman" w:hAnsi="Times New Roman" w:eastAsia="方正仿宋_GBK"/>
          <w:sz w:val="32"/>
          <w:szCs w:val="32"/>
        </w:rPr>
        <w:t>住房保障支出26.98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4.35</w:t>
      </w:r>
      <w:r>
        <w:rPr>
          <w:rFonts w:hint="default" w:ascii="Times New Roman" w:hAnsi="Times New Roman" w:eastAsia="方正仿宋_GBK"/>
          <w:sz w:val="32"/>
          <w:szCs w:val="32"/>
          <w:shd w:val="clear" w:color="auto" w:fill="FFFFFF"/>
        </w:rPr>
        <w:t>%，较年初预算数减少0.56万元，下降2.03%，主要原因是年初预算人员调出2</w:t>
      </w:r>
      <w:r>
        <w:rPr>
          <w:rFonts w:ascii="Times New Roman" w:hAnsi="Times New Roman" w:eastAsia="方正仿宋_GBK"/>
          <w:sz w:val="32"/>
          <w:szCs w:val="32"/>
          <w:shd w:val="clear" w:color="auto" w:fill="FFFFFF"/>
        </w:rPr>
        <w:t>名</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499.33</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415.23</w:t>
      </w:r>
      <w:r>
        <w:rPr>
          <w:rFonts w:hint="default" w:ascii="Times New Roman" w:hAnsi="Times New Roman" w:eastAsia="方正仿宋_GBK"/>
          <w:sz w:val="32"/>
          <w:szCs w:val="32"/>
          <w:shd w:val="clear" w:color="auto" w:fill="FFFFFF"/>
        </w:rPr>
        <w:t>万元，与2023年度相比，减少15.37万元，下降3.57%，主要原因是人员调出2名。人员经费用途主要包括工资福利支出。公用经费84.10万元，与2023年度相比，减少8.55万元，下降9.23%，主要原因是厉行过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原则，勤俭节约，减少开支。公用经费用途主要包括</w:t>
      </w:r>
      <w:r>
        <w:rPr>
          <w:rFonts w:hint="default" w:ascii="Times New Roman" w:hAnsi="Times New Roman" w:eastAsia="方正仿宋_GBK"/>
          <w:bCs/>
          <w:sz w:val="32"/>
          <w:szCs w:val="32"/>
        </w:rPr>
        <w:t>办公经费、会议费、培训费、公务接待费、公务</w:t>
      </w:r>
      <w:r>
        <w:rPr>
          <w:rFonts w:hint="default" w:ascii="Times New Roman" w:hAnsi="Times New Roman" w:eastAsia="方正仿宋_GBK"/>
          <w:sz w:val="32"/>
          <w:szCs w:val="32"/>
          <w:shd w:val="clear" w:color="auto" w:fill="FFFFFF"/>
        </w:rPr>
        <w:t>用车</w:t>
      </w:r>
      <w:r>
        <w:rPr>
          <w:rFonts w:hint="default" w:ascii="Times New Roman" w:hAnsi="Times New Roman" w:eastAsia="方正仿宋_GBK"/>
          <w:bCs/>
          <w:sz w:val="32"/>
          <w:szCs w:val="32"/>
        </w:rPr>
        <w:t>运行维护费等。</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是本年度无政府性基金预算财政拨款支出。本部门2024年度无政府性基金预算财政拨款收支。</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w:t>
      </w: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rPr>
        <w:t>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本年支出0.00万元，基本支出0.00万元，项目支出0.00万元。本部门2024年度无国有资本经营预算财政拨款支出。</w:t>
      </w:r>
    </w:p>
    <w:p>
      <w:pPr>
        <w:pStyle w:val="6"/>
        <w:shd w:val="clear" w:color="auto" w:fill="FFFFFF"/>
        <w:spacing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hint="default" w:ascii="Times New Roman" w:hAnsi="Times New Roman" w:eastAsia="黑体"/>
          <w:sz w:val="32"/>
          <w:szCs w:val="32"/>
          <w:shd w:val="clear" w:color="auto" w:fill="FFFFFF"/>
        </w:rPr>
        <w:t>三、</w:t>
      </w:r>
      <w:r>
        <w:rPr>
          <w:rStyle w:val="10"/>
          <w:rFonts w:ascii="黑体" w:hAnsi="黑体" w:eastAsia="黑体" w:cs="黑体"/>
          <w:sz w:val="32"/>
          <w:szCs w:val="32"/>
          <w:shd w:val="clear" w:color="auto" w:fill="FFFFFF"/>
        </w:rPr>
        <w:t>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6"/>
        <w:shd w:val="clear" w:color="auto" w:fill="FFFFFF"/>
        <w:spacing w:beforeAutospacing="0" w:after="0" w:afterAutospacing="0" w:line="594" w:lineRule="exact"/>
        <w:ind w:firstLine="643" w:firstLineChars="200"/>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w:t>
      </w:r>
      <w:r>
        <w:rPr>
          <w:rFonts w:hint="eastAsia" w:ascii="Times New Roman" w:hAnsi="Times New Roman" w:eastAsia="楷体"/>
          <w:b/>
          <w:bCs/>
          <w:sz w:val="32"/>
          <w:szCs w:val="32"/>
          <w:shd w:val="clear" w:color="auto" w:fill="FFFFFF"/>
          <w:lang w:eastAsia="zh-CN"/>
        </w:rPr>
        <w:t>三公</w:t>
      </w:r>
      <w:r>
        <w:rPr>
          <w:rFonts w:hint="default" w:ascii="Times New Roman" w:hAnsi="Times New Roman" w:eastAsia="楷体"/>
          <w:b/>
          <w:bCs/>
          <w:sz w:val="32"/>
          <w:szCs w:val="32"/>
          <w:shd w:val="clear" w:color="auto" w:fill="FFFFFF"/>
        </w:rPr>
        <w:t>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万元，较年初预算数增加2.49万元，增长83.00%，主要原因是公务接待费增加。较上年支出数增加0.44万元，增长8.71%，主要原因是公务接待费增加。</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cs="Times New Roman"/>
          <w:sz w:val="32"/>
          <w:szCs w:val="32"/>
          <w:shd w:val="clear" w:color="auto" w:fill="FFFFFF"/>
        </w:rPr>
        <w:t>2024年度本部门因公出国（境）费用0.00万元。费用</w:t>
      </w:r>
      <w:r>
        <w:rPr>
          <w:rFonts w:ascii="方正仿宋_GBK" w:hAnsi="方正仿宋_GBK" w:eastAsia="方正仿宋_GBK" w:cs="方正仿宋_GBK"/>
          <w:sz w:val="32"/>
          <w:szCs w:val="32"/>
          <w:shd w:val="clear" w:color="auto" w:fill="FFFFFF"/>
        </w:rPr>
        <w:t>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shd w:val="clear" w:color="auto" w:fill="FFFFFF"/>
          <w:lang w:bidi="ar"/>
        </w:rPr>
      </w:pPr>
      <w:r>
        <w:rPr>
          <w:rFonts w:hint="default" w:ascii="Times New Roman" w:hAnsi="Times New Roman" w:eastAsia="方正仿宋_GBK"/>
          <w:sz w:val="32"/>
          <w:szCs w:val="32"/>
          <w:shd w:val="clear" w:color="auto" w:fill="FFFFFF"/>
        </w:rPr>
        <w:t> </w:t>
      </w:r>
      <w:r>
        <w:rPr>
          <w:rFonts w:ascii="方正仿宋_GBK" w:hAnsi="方正仿宋_GBK" w:eastAsia="方正仿宋_GBK" w:cs="方正仿宋_GBK"/>
          <w:sz w:val="32"/>
          <w:szCs w:val="32"/>
          <w:shd w:val="clear" w:color="auto" w:fill="FFFFFF"/>
        </w:rPr>
        <w:t>公务</w:t>
      </w:r>
      <w:r>
        <w:rPr>
          <w:rFonts w:hint="default" w:ascii="Times New Roman" w:hAnsi="Times New Roman" w:eastAsia="方正仿宋_GBK" w:cs="Times New Roman"/>
          <w:sz w:val="32"/>
          <w:szCs w:val="32"/>
          <w:shd w:val="clear" w:color="auto" w:fill="FFFFFF"/>
        </w:rPr>
        <w:t>车购置费0.00万元</w:t>
      </w:r>
      <w:r>
        <w:rPr>
          <w:rFonts w:ascii="方正仿宋_GBK" w:hAnsi="方正仿宋_GBK" w:eastAsia="方正仿宋_GBK" w:cs="方正仿宋_GBK"/>
          <w:sz w:val="32"/>
          <w:szCs w:val="32"/>
          <w:shd w:val="clear" w:color="auto" w:fill="FFFFFF"/>
        </w:rPr>
        <w:t>。费用支出较年初预算数无增减，主要原因是年初预算未安排且本年未发生公务车购置费用。较上年支出数无增减，主要原因是上年和本年均未发生公务车购置费用。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highlight w:val="red"/>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hint="default" w:ascii="Times New Roman" w:hAnsi="Times New Roman" w:eastAsia="方正仿宋_GBK"/>
          <w:color w:val="333333"/>
          <w:sz w:val="32"/>
          <w:szCs w:val="32"/>
          <w:shd w:val="clear" w:color="auto" w:fill="FFFFFF"/>
        </w:rPr>
        <w:t>年初预算数未安排公务车运行维护费。</w:t>
      </w:r>
      <w:r>
        <w:rPr>
          <w:rFonts w:hint="default" w:ascii="Times New Roman" w:hAnsi="Times New Roman" w:eastAsia="方正仿宋_GBK"/>
          <w:sz w:val="32"/>
          <w:szCs w:val="32"/>
          <w:shd w:val="clear" w:color="auto" w:fill="FFFFFF"/>
        </w:rPr>
        <w:t>较上年支出数减少3.00万元，下降100.00%，主要原因是</w:t>
      </w:r>
      <w:r>
        <w:rPr>
          <w:rFonts w:hint="default" w:ascii="Times New Roman" w:hAnsi="Times New Roman" w:eastAsia="方正仿宋_GBK"/>
          <w:color w:val="333333"/>
          <w:sz w:val="32"/>
          <w:szCs w:val="32"/>
          <w:shd w:val="clear" w:color="auto" w:fill="FFFFFF"/>
        </w:rPr>
        <w:t>年初预算数未安排公务车运行维护费。</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万元，主要用于招商引资、接待上级、</w:t>
      </w:r>
      <w:r>
        <w:rPr>
          <w:rFonts w:hint="eastAsia" w:ascii="Times New Roman" w:hAnsi="Times New Roman" w:eastAsia="方正仿宋_GBK"/>
          <w:sz w:val="32"/>
          <w:szCs w:val="32"/>
          <w:shd w:val="clear" w:color="auto" w:fill="FFFFFF"/>
          <w:lang w:eastAsia="zh-CN"/>
        </w:rPr>
        <w:t>其他</w:t>
      </w:r>
      <w:bookmarkStart w:id="1" w:name="_GoBack"/>
      <w:bookmarkEnd w:id="1"/>
      <w:r>
        <w:rPr>
          <w:rFonts w:hint="default" w:ascii="Times New Roman" w:hAnsi="Times New Roman" w:eastAsia="方正仿宋_GBK"/>
          <w:sz w:val="32"/>
          <w:szCs w:val="32"/>
          <w:shd w:val="clear" w:color="auto" w:fill="FFFFFF"/>
        </w:rPr>
        <w:t>区县来垫调研。费用支出较年初预算数增加2.49万元，增长83.00%，主要原因是本部门本年度承担异地商会回垫、市委统战部帮扶大石乡振兴等活动增多。较上年支出数增加3.44万元，增长167.80%，主要原因是本部门本年度承担异地商会回垫、市委统战部帮扶大石乡振兴等活动增多。</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610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90.04</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本年度会议费支出</w:t>
      </w:r>
      <w:r>
        <w:rPr>
          <w:rFonts w:hint="default" w:ascii="Times New Roman" w:hAnsi="Times New Roman" w:eastAsia="方正仿宋_GBK"/>
          <w:sz w:val="32"/>
          <w:szCs w:val="32"/>
        </w:rPr>
        <w:t>1.17</w:t>
      </w:r>
      <w:r>
        <w:rPr>
          <w:rFonts w:hint="default" w:ascii="Times New Roman" w:hAnsi="Times New Roman" w:eastAsia="方正仿宋_GBK"/>
          <w:sz w:val="32"/>
          <w:szCs w:val="32"/>
          <w:shd w:val="clear" w:color="auto" w:fill="FFFFFF"/>
        </w:rPr>
        <w:t>万元，与2023年度相比，减少0.13万元，下降10.00%，主要原因是坚持</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过紧日子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原则，厉行勤俭节约减少了会议费用。本年度培训费支出</w:t>
      </w:r>
      <w:r>
        <w:rPr>
          <w:rFonts w:hint="default" w:ascii="Times New Roman" w:hAnsi="Times New Roman" w:eastAsia="方正仿宋_GBK"/>
          <w:sz w:val="32"/>
          <w:szCs w:val="32"/>
        </w:rPr>
        <w:t>0.83</w:t>
      </w:r>
      <w:r>
        <w:rPr>
          <w:rFonts w:hint="default" w:ascii="Times New Roman" w:hAnsi="Times New Roman" w:eastAsia="方正仿宋_GBK"/>
          <w:sz w:val="32"/>
          <w:szCs w:val="32"/>
          <w:shd w:val="clear" w:color="auto" w:fill="FFFFFF"/>
        </w:rPr>
        <w:t>万元，与2023年度相比，减少0.10万元，下降10.75%，主要原因是坚持</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过紧日子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原则，厉行勤俭节约减少了培训费用。</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72.55</w:t>
      </w:r>
      <w:r>
        <w:rPr>
          <w:rFonts w:hint="default" w:ascii="Times New Roman" w:hAnsi="Times New Roman" w:eastAsia="方正仿宋_GBK"/>
          <w:sz w:val="32"/>
          <w:szCs w:val="32"/>
          <w:shd w:val="clear" w:color="auto" w:fill="FFFFFF"/>
        </w:rPr>
        <w:t>万元，机关运行经费主要用于开支办公费、邮电费、差旅费</w:t>
      </w:r>
      <w:r>
        <w:rPr>
          <w:rFonts w:hint="default" w:ascii="Times New Roman" w:hAnsi="Times New Roman" w:eastAsia="方正仿宋_GBK"/>
          <w:color w:val="333333"/>
          <w:sz w:val="31"/>
          <w:szCs w:val="31"/>
          <w:shd w:val="clear" w:color="auto" w:fill="FFFFFF"/>
        </w:rPr>
        <w:t>等维持部门正常运转经费。</w:t>
      </w:r>
      <w:r>
        <w:rPr>
          <w:rFonts w:hint="default" w:ascii="Times New Roman" w:hAnsi="Times New Roman" w:eastAsia="方正仿宋_GBK"/>
          <w:sz w:val="32"/>
          <w:szCs w:val="32"/>
          <w:shd w:val="clear" w:color="auto" w:fill="FFFFFF"/>
        </w:rPr>
        <w:t>机关运行经费较上年支出数减少3.13万元，下降4.14%，主要原因是坚持</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过紧日子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原则，厉行勤俭节约减少了各类运行成本。</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截至2024年12月31日，本部门共有车</w:t>
      </w:r>
      <w:r>
        <w:rPr>
          <w:rFonts w:hint="default" w:ascii="Times New Roman" w:hAnsi="Times New Roman" w:eastAsia="方正仿宋_GBK"/>
          <w:sz w:val="32"/>
          <w:szCs w:val="32"/>
        </w:rPr>
        <w:t>辆</w:t>
      </w:r>
      <w:r>
        <w:rPr>
          <w:rFonts w:ascii="Times New Roman" w:hAnsi="Times New Roman" w:eastAsia="方正仿宋_GBK"/>
          <w:sz w:val="32"/>
          <w:szCs w:val="32"/>
        </w:rPr>
        <w:t>0</w:t>
      </w:r>
      <w:r>
        <w:rPr>
          <w:rFonts w:hint="default" w:ascii="Times New Roman" w:hAnsi="Times New Roman" w:eastAsia="方正仿宋_GBK"/>
          <w:sz w:val="32"/>
          <w:szCs w:val="32"/>
        </w:rPr>
        <w:t>辆</w:t>
      </w:r>
      <w:r>
        <w:rPr>
          <w:rFonts w:hint="default" w:ascii="Times New Roman" w:hAnsi="Times New Roman" w:eastAsia="方正仿宋_GBK"/>
          <w:sz w:val="32"/>
          <w:szCs w:val="32"/>
          <w:shd w:val="clear" w:color="auto" w:fill="FFFFFF"/>
        </w:rPr>
        <w:t>，其中，副部（省）级及以上领导用车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11"/>
        <w:autoSpaceDE w:val="0"/>
        <w:spacing w:line="594" w:lineRule="exact"/>
        <w:ind w:firstLine="640"/>
        <w:rPr>
          <w:rFonts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w:t>
      </w:r>
      <w:r>
        <w:rPr>
          <w:rFonts w:ascii="方正仿宋_GBK" w:hAnsi="方正仿宋_GBK" w:eastAsia="方正仿宋_GBK" w:cs="方正仿宋_GBK"/>
          <w:sz w:val="32"/>
          <w:szCs w:val="32"/>
          <w:shd w:val="clear" w:color="auto" w:fill="FFFFFF"/>
        </w:rPr>
        <w:t>府采购支</w:t>
      </w:r>
      <w:r>
        <w:rPr>
          <w:rFonts w:hint="default" w:ascii="Times New Roman" w:hAnsi="Times New Roman" w:eastAsia="方正仿宋_GBK" w:cs="Times New Roman"/>
          <w:sz w:val="32"/>
          <w:szCs w:val="32"/>
          <w:shd w:val="clear" w:color="auto" w:fill="FFFFFF"/>
        </w:rPr>
        <w:t>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.0%。2024年度我部门未发生政府采购事项，无相关经费支出。</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（一）部门自评情况</w:t>
      </w:r>
    </w:p>
    <w:p>
      <w:pPr>
        <w:pStyle w:val="11"/>
        <w:autoSpaceDE w:val="0"/>
        <w:spacing w:line="594" w:lineRule="exact"/>
        <w:ind w:firstLine="640"/>
        <w:rPr>
          <w:rFonts w:ascii="Times New Roman" w:hAnsi="Times New Roman" w:eastAsia="方正仿宋_GBK"/>
          <w:sz w:val="32"/>
          <w:szCs w:val="32"/>
          <w:highlight w:val="yellow"/>
          <w:shd w:val="clear" w:color="auto" w:fill="FFFFFF"/>
        </w:rPr>
      </w:pPr>
      <w:r>
        <w:rPr>
          <w:rFonts w:ascii="Times New Roman" w:hAnsi="Times New Roman" w:eastAsia="方正仿宋_GBK"/>
          <w:sz w:val="32"/>
          <w:szCs w:val="32"/>
          <w:shd w:val="clear" w:color="auto" w:fill="FFFFFF"/>
        </w:rPr>
        <w:t>根据预算绩效管理要求，我部门对部门整体和13个二级项目开展了绩效自评，涉及财政拨款项目支出资金121.6万元。</w:t>
      </w:r>
    </w:p>
    <w:p>
      <w:pPr>
        <w:pStyle w:val="12"/>
        <w:spacing w:before="0" w:beforeAutospacing="0"/>
        <w:rPr>
          <w:rFonts w:ascii="Times New Roman" w:hAnsi="Times New Roman"/>
        </w:rPr>
      </w:pPr>
    </w:p>
    <w:p>
      <w:pPr>
        <w:pStyle w:val="11"/>
        <w:autoSpaceDE w:val="0"/>
        <w:spacing w:line="594" w:lineRule="exact"/>
        <w:ind w:firstLine="480"/>
        <w:rPr>
          <w:rFonts w:cs="宋体"/>
        </w:rPr>
      </w:pPr>
      <w:r>
        <w:rPr>
          <w:rFonts w:ascii="Times New Roman" w:hAnsi="Times New Roman"/>
        </w:rPr>
        <w:drawing>
          <wp:anchor distT="0" distB="0" distL="114300" distR="114300" simplePos="0" relativeHeight="251661312" behindDoc="0" locked="0" layoutInCell="1" allowOverlap="1">
            <wp:simplePos x="0" y="0"/>
            <wp:positionH relativeFrom="column">
              <wp:posOffset>112395</wp:posOffset>
            </wp:positionH>
            <wp:positionV relativeFrom="paragraph">
              <wp:posOffset>-39370</wp:posOffset>
            </wp:positionV>
            <wp:extent cx="5337175" cy="3105150"/>
            <wp:effectExtent l="0" t="0" r="15875" b="0"/>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5337175" cy="3105150"/>
                    </a:xfrm>
                    <a:prstGeom prst="rect">
                      <a:avLst/>
                    </a:prstGeom>
                    <a:noFill/>
                    <a:ln w="9525">
                      <a:noFill/>
                    </a:ln>
                  </pic:spPr>
                </pic:pic>
              </a:graphicData>
            </a:graphic>
          </wp:anchor>
        </w:drawing>
      </w: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r>
        <w:rPr>
          <w:rFonts w:ascii="Times New Roman" w:hAnsi="Times New Roman"/>
        </w:rPr>
        <w:drawing>
          <wp:anchor distT="0" distB="0" distL="114300" distR="114300" simplePos="0" relativeHeight="251660288" behindDoc="0" locked="0" layoutInCell="1" allowOverlap="1">
            <wp:simplePos x="0" y="0"/>
            <wp:positionH relativeFrom="column">
              <wp:posOffset>118745</wp:posOffset>
            </wp:positionH>
            <wp:positionV relativeFrom="paragraph">
              <wp:posOffset>257175</wp:posOffset>
            </wp:positionV>
            <wp:extent cx="5342255" cy="2981325"/>
            <wp:effectExtent l="0" t="0" r="10795" b="9525"/>
            <wp:wrapNone/>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tretch>
                      <a:fillRect/>
                    </a:stretch>
                  </pic:blipFill>
                  <pic:spPr>
                    <a:xfrm>
                      <a:off x="0" y="0"/>
                      <a:ext cx="5342255" cy="2981325"/>
                    </a:xfrm>
                    <a:prstGeom prst="rect">
                      <a:avLst/>
                    </a:prstGeom>
                    <a:noFill/>
                    <a:ln w="9525">
                      <a:noFill/>
                    </a:ln>
                  </pic:spPr>
                </pic:pic>
              </a:graphicData>
            </a:graphic>
          </wp:anchor>
        </w:drawing>
      </w: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0" w:firstLineChars="0"/>
        <w:rPr>
          <w:rFonts w:ascii="Times New Roman" w:hAnsi="Times New Roman" w:eastAsia="楷体"/>
          <w:b/>
          <w:bCs/>
          <w:sz w:val="32"/>
          <w:szCs w:val="32"/>
          <w:shd w:val="clear" w:color="auto" w:fill="FFFFFF"/>
        </w:rPr>
      </w:pPr>
    </w:p>
    <w:p>
      <w:pPr>
        <w:pStyle w:val="11"/>
        <w:autoSpaceDE w:val="0"/>
        <w:spacing w:line="594" w:lineRule="exact"/>
        <w:ind w:firstLine="480"/>
        <w:rPr>
          <w:rFonts w:ascii="Times New Roman" w:hAnsi="Times New Roman" w:eastAsia="楷体"/>
          <w:b/>
          <w:bCs/>
          <w:sz w:val="32"/>
          <w:szCs w:val="32"/>
          <w:shd w:val="clear" w:color="auto" w:fill="FFFFFF"/>
        </w:rPr>
      </w:pPr>
      <w:r>
        <w:rPr>
          <w:rFonts w:cs="宋体"/>
        </w:rPr>
        <w:drawing>
          <wp:anchor distT="0" distB="0" distL="114300" distR="114300" simplePos="0" relativeHeight="251659264" behindDoc="0" locked="0" layoutInCell="1" allowOverlap="1">
            <wp:simplePos x="0" y="0"/>
            <wp:positionH relativeFrom="column">
              <wp:posOffset>58420</wp:posOffset>
            </wp:positionH>
            <wp:positionV relativeFrom="paragraph">
              <wp:posOffset>59690</wp:posOffset>
            </wp:positionV>
            <wp:extent cx="5658485" cy="3291840"/>
            <wp:effectExtent l="0" t="0" r="1841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5658485" cy="3291840"/>
                    </a:xfrm>
                    <a:prstGeom prst="rect">
                      <a:avLst/>
                    </a:prstGeom>
                    <a:noFill/>
                    <a:ln w="9525">
                      <a:noFill/>
                    </a:ln>
                  </pic:spPr>
                </pic:pic>
              </a:graphicData>
            </a:graphic>
          </wp:anchor>
        </w:drawing>
      </w: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我部门未组织开展绩效评价。</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县财政局未委托第三方对我部门开展绩效评价。</w:t>
      </w:r>
    </w:p>
    <w:p>
      <w:pPr>
        <w:pStyle w:val="6"/>
        <w:shd w:val="clear" w:color="auto" w:fill="FFFFFF"/>
        <w:spacing w:before="0" w:beforeAutospacing="0" w:after="0" w:afterAutospacing="0" w:line="594" w:lineRule="exact"/>
        <w:ind w:firstLine="643" w:firstLineChars="200"/>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w:t>
      </w:r>
      <w:r>
        <w:rPr>
          <w:rStyle w:val="10"/>
          <w:rFonts w:hint="default" w:ascii="Times New Roman" w:hAnsi="Times New Roman" w:eastAsia="黑体"/>
          <w:sz w:val="32"/>
          <w:szCs w:val="32"/>
          <w:shd w:val="clear" w:color="auto" w:fill="FFFFFF"/>
        </w:rPr>
        <w:t>六、专业名词解释</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其他收入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等不足以安排当年支出的情况下，使用以前年度积累的非财政拨款结余弥补本年度收支缺口的资金。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；公用经费指政府收支分类经济科目中除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外的其他支出。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（十二）</w:t>
      </w:r>
      <w:r>
        <w:rPr>
          <w:rStyle w:val="10"/>
          <w:rFonts w:hint="eastAsia" w:ascii="Times New Roman" w:hAnsi="Times New Roman" w:eastAsia="楷体"/>
          <w:sz w:val="32"/>
          <w:szCs w:val="32"/>
          <w:shd w:val="clear" w:color="auto" w:fill="FFFFFF"/>
          <w:lang w:eastAsia="zh-CN"/>
        </w:rPr>
        <w:t>三公</w:t>
      </w:r>
      <w:r>
        <w:rPr>
          <w:rStyle w:val="10"/>
          <w:rFonts w:hint="default" w:ascii="Times New Roman" w:hAnsi="Times New Roman" w:eastAsia="楷体"/>
          <w:sz w:val="32"/>
          <w:szCs w:val="32"/>
          <w:shd w:val="clear" w:color="auto" w:fill="FFFFFF"/>
        </w:rPr>
        <w:t>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napToGrid w:val="0"/>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七、决算公开联系方式及信息反馈渠道</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本部门决算公开信息反馈和联系方式：</w:t>
      </w:r>
      <w:r>
        <w:rPr>
          <w:rFonts w:ascii="Times New Roman" w:hAnsi="Times New Roman" w:eastAsia="方正仿宋_GBK"/>
          <w:sz w:val="32"/>
          <w:szCs w:val="32"/>
          <w:shd w:val="clear" w:color="auto" w:fill="FFFFFF"/>
        </w:rPr>
        <w:t xml:space="preserve">高老师 </w:t>
      </w:r>
      <w:r>
        <w:rPr>
          <w:rFonts w:hint="default" w:ascii="Times New Roman" w:hAnsi="Times New Roman" w:eastAsia="方正仿宋_GBK"/>
          <w:sz w:val="32"/>
          <w:szCs w:val="32"/>
          <w:shd w:val="clear" w:color="auto" w:fill="FFFFFF"/>
        </w:rPr>
        <w:t>023-85650041。</w:t>
      </w:r>
    </w:p>
    <w:p>
      <w:pPr>
        <w:pStyle w:val="11"/>
        <w:autoSpaceDE w:val="0"/>
        <w:spacing w:line="594" w:lineRule="exact"/>
        <w:ind w:firstLine="0" w:firstLineChars="0"/>
        <w:rPr>
          <w:rStyle w:val="10"/>
          <w:rFonts w:ascii="Times New Roman" w:hAnsi="Times New Roman" w:eastAsia="方正仿宋_GBK"/>
          <w:sz w:val="32"/>
          <w:szCs w:val="32"/>
          <w:shd w:val="clear" w:color="auto" w:fill="FFFF00"/>
        </w:rPr>
        <w:sectPr>
          <w:footerReference r:id="rId3" w:type="default"/>
          <w:pgSz w:w="11915" w:h="16840"/>
          <w:pgMar w:top="1984" w:right="1446" w:bottom="1531"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r>
              <w:rPr>
                <w:rFonts w:hint="default" w:ascii="Times New Roman" w:hAnsi="Times New Roman"/>
                <w:sz w:val="20"/>
                <w:szCs w:val="20"/>
              </w:rPr>
              <w:t>部门：</w:t>
            </w:r>
            <w:r>
              <w:rPr>
                <w:rFonts w:hint="default" w:ascii="Times New Roman" w:hAnsi="Times New Roman"/>
                <w:sz w:val="20"/>
              </w:rPr>
              <w:t>中国共产党垫江县委员会统战部</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472.90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101.26</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r>
    </w:tbl>
    <w:p>
      <w:pPr>
        <w:rPr>
          <w:rFonts w:hint="default" w:ascii="Times New Roman" w:hAnsi="Times New Roman"/>
          <w:sz w:val="21"/>
          <w:szCs w:val="21"/>
        </w:rPr>
      </w:pPr>
    </w:p>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sz w:val="20"/>
              </w:rPr>
              <w:t>中国共产党垫江县委员会统战部</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宗教事务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其他统战事务支出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ind w:left="600" w:hanging="600" w:hangingChars="300"/>
        <w:rPr>
          <w:rFonts w:hint="default" w:ascii="Times New Roman" w:hAnsi="Times New Roman"/>
          <w:sz w:val="20"/>
          <w:szCs w:val="20"/>
        </w:rPr>
      </w:pPr>
      <w:r>
        <w:rPr>
          <w:rFonts w:hint="default" w:ascii="Times New Roman" w:hAnsi="Times New Roman"/>
          <w:sz w:val="20"/>
          <w:szCs w:val="20"/>
        </w:rPr>
        <w:t>备注：1.本表反映部门本年度取得的各项收入情况。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 xml:space="preserve">中国共产党垫江县委员会统战部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499.33</w:t>
            </w:r>
            <w:r>
              <w:rPr>
                <w:rFonts w:hint="default"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hint="default"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宗教事务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其他统战事务支出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0"/>
          <w:szCs w:val="20"/>
        </w:rPr>
      </w:pPr>
      <w:r>
        <w:rPr>
          <w:rFonts w:hint="default" w:ascii="Times New Roman" w:hAnsi="Times New Roman"/>
          <w:sz w:val="20"/>
          <w:szCs w:val="20"/>
        </w:rPr>
        <w:t>备注：1.本表反映部门本年度各项支出情况。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472.90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472.90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499.33</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统战事务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宗教事务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其他统战事务支出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备注：1.本表反映部门本年度一般公共预算财政拨款支出情况。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w:t>
            </w:r>
            <w:r>
              <w:rPr>
                <w:rFonts w:ascii="Times New Roman" w:hAnsi="Times New Roman"/>
                <w:b/>
                <w:color w:val="000000"/>
                <w:sz w:val="18"/>
                <w:szCs w:val="18"/>
              </w:rPr>
              <w:t>“</w:t>
            </w:r>
            <w:r>
              <w:rPr>
                <w:rFonts w:hint="default" w:ascii="Times New Roman" w:hAnsi="Times New Roman"/>
                <w:b/>
                <w:color w:val="000000"/>
                <w:sz w:val="18"/>
                <w:szCs w:val="18"/>
              </w:rPr>
              <w:t>款</w:t>
            </w:r>
            <w:r>
              <w:rPr>
                <w:rFonts w:ascii="Times New Roman" w:hAnsi="Times New Roman"/>
                <w:b/>
                <w:color w:val="000000"/>
                <w:sz w:val="18"/>
                <w:szCs w:val="18"/>
              </w:rPr>
              <w:t>”</w:t>
            </w:r>
            <w:r>
              <w:rPr>
                <w:rFonts w:hint="default" w:ascii="Times New Roman" w:hAnsi="Times New Roman"/>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w:t>
            </w:r>
            <w:r>
              <w:rPr>
                <w:rFonts w:ascii="Times New Roman" w:hAnsi="Times New Roman"/>
                <w:b/>
                <w:color w:val="000000"/>
                <w:sz w:val="18"/>
                <w:szCs w:val="18"/>
              </w:rPr>
              <w:t>“</w:t>
            </w:r>
            <w:r>
              <w:rPr>
                <w:rFonts w:hint="default" w:ascii="Times New Roman" w:hAnsi="Times New Roman"/>
                <w:b/>
                <w:color w:val="000000"/>
                <w:sz w:val="18"/>
                <w:szCs w:val="18"/>
              </w:rPr>
              <w:t>款</w:t>
            </w:r>
            <w:r>
              <w:rPr>
                <w:rFonts w:ascii="Times New Roman" w:hAnsi="Times New Roman"/>
                <w:b/>
                <w:color w:val="000000"/>
                <w:sz w:val="18"/>
                <w:szCs w:val="18"/>
              </w:rPr>
              <w:t>”</w:t>
            </w:r>
            <w:r>
              <w:rPr>
                <w:rFonts w:hint="default" w:ascii="Times New Roman" w:hAnsi="Times New Roman"/>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w:t>
            </w:r>
            <w:r>
              <w:rPr>
                <w:rFonts w:ascii="Times New Roman" w:hAnsi="Times New Roman"/>
                <w:b/>
                <w:color w:val="000000"/>
                <w:sz w:val="18"/>
                <w:szCs w:val="18"/>
              </w:rPr>
              <w:t>“</w:t>
            </w:r>
            <w:r>
              <w:rPr>
                <w:rFonts w:hint="default" w:ascii="Times New Roman" w:hAnsi="Times New Roman"/>
                <w:b/>
                <w:color w:val="000000"/>
                <w:sz w:val="18"/>
                <w:szCs w:val="18"/>
              </w:rPr>
              <w:t>款</w:t>
            </w:r>
            <w:r>
              <w:rPr>
                <w:rFonts w:ascii="Times New Roman" w:hAnsi="Times New Roman"/>
                <w:b/>
                <w:color w:val="000000"/>
                <w:sz w:val="18"/>
                <w:szCs w:val="18"/>
              </w:rPr>
              <w:t>”</w:t>
            </w:r>
            <w:r>
              <w:rPr>
                <w:rFonts w:hint="default" w:ascii="Times New Roman" w:hAnsi="Times New Roman"/>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379.25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84.10</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78.52</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80.20</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58.89</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45.53</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415.23</w:t>
            </w:r>
            <w:r>
              <w:rPr>
                <w:rFonts w:hint="default"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84.10</w:t>
            </w:r>
            <w:r>
              <w:rPr>
                <w:rFonts w:hint="default" w:ascii="Times New Roman" w:hAnsi="Times New Roman"/>
                <w:color w:val="000000"/>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ascii="Times New Roman" w:hAnsi="Times New Roman"/>
          <w:sz w:val="21"/>
          <w:szCs w:val="21"/>
        </w:rPr>
      </w:pPr>
      <w:r>
        <w:rPr>
          <w:rFonts w:hint="default" w:ascii="Times New Roman" w:hAnsi="Times New Roman"/>
          <w:sz w:val="20"/>
          <w:szCs w:val="20"/>
        </w:rPr>
        <w:t>备注：本表反映部门本年度国有资本经营预算财政拨款支出情况。本部门无国有资本经营收支，故本表无数据。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sz w:val="20"/>
              </w:rPr>
              <w:t>中国共产党垫江县委员会统战部</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w:t>
            </w:r>
            <w:r>
              <w:rPr>
                <w:rFonts w:hint="eastAsia" w:ascii="Times New Roman" w:hAnsi="Times New Roman"/>
                <w:b/>
                <w:color w:val="000000"/>
                <w:kern w:val="2"/>
                <w:sz w:val="16"/>
                <w:szCs w:val="16"/>
                <w:lang w:eastAsia="zh-CN"/>
              </w:rPr>
              <w:t>三公</w:t>
            </w:r>
            <w:r>
              <w:rPr>
                <w:rFonts w:hint="default" w:ascii="Times New Roman" w:hAnsi="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610</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0.83</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szCs w:val="18"/>
              </w:rPr>
              <w:t>2</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sz w:val="16"/>
                <w:szCs w:val="16"/>
              </w:rPr>
            </w:pPr>
          </w:p>
        </w:tc>
      </w:tr>
    </w:tbl>
    <w:p>
      <w:pPr>
        <w:rPr>
          <w:rFonts w:hint="default" w:ascii="Times New Roman" w:hAnsi="Times New Roman"/>
        </w:rPr>
      </w:pPr>
      <w:r>
        <w:rPr>
          <w:rFonts w:hint="default" w:ascii="Times New Roman" w:hAnsi="Times New Roman"/>
          <w:sz w:val="18"/>
          <w:szCs w:val="18"/>
        </w:rPr>
        <w:t>备注：1.本表反映部门本年度财政拨款</w:t>
      </w:r>
      <w:r>
        <w:rPr>
          <w:rFonts w:hint="eastAsia" w:ascii="Times New Roman" w:hAnsi="Times New Roman"/>
          <w:sz w:val="18"/>
          <w:szCs w:val="18"/>
          <w:lang w:eastAsia="zh-CN"/>
        </w:rPr>
        <w:t>三公</w:t>
      </w:r>
      <w:r>
        <w:rPr>
          <w:rFonts w:hint="default" w:ascii="Times New Roman" w:hAnsi="Times New Roman"/>
          <w:sz w:val="18"/>
          <w:szCs w:val="18"/>
        </w:rPr>
        <w:t>经费支出预决算情况。其中，预算数为</w:t>
      </w:r>
      <w:r>
        <w:rPr>
          <w:rFonts w:hint="eastAsia" w:ascii="Times New Roman" w:hAnsi="Times New Roman"/>
          <w:sz w:val="18"/>
          <w:szCs w:val="18"/>
          <w:lang w:eastAsia="zh-CN"/>
        </w:rPr>
        <w:t>三公</w:t>
      </w:r>
      <w:r>
        <w:rPr>
          <w:rFonts w:hint="default" w:ascii="Times New Roman" w:hAnsi="Times New Roman"/>
          <w:sz w:val="18"/>
          <w:szCs w:val="18"/>
        </w:rPr>
        <w:t>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C01CC"/>
    <w:rsid w:val="000D7702"/>
    <w:rsid w:val="001E29C4"/>
    <w:rsid w:val="00261065"/>
    <w:rsid w:val="002D0E5A"/>
    <w:rsid w:val="002E5443"/>
    <w:rsid w:val="0032196C"/>
    <w:rsid w:val="004C12FF"/>
    <w:rsid w:val="00550ABE"/>
    <w:rsid w:val="005B023C"/>
    <w:rsid w:val="005B15FC"/>
    <w:rsid w:val="00600322"/>
    <w:rsid w:val="006137D7"/>
    <w:rsid w:val="00616A6B"/>
    <w:rsid w:val="00634FA8"/>
    <w:rsid w:val="0063613A"/>
    <w:rsid w:val="006E2034"/>
    <w:rsid w:val="00732392"/>
    <w:rsid w:val="007578CA"/>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81625"/>
    <w:rsid w:val="00BF5A85"/>
    <w:rsid w:val="00C307F6"/>
    <w:rsid w:val="00C73EEA"/>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087338"/>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23087"/>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253197"/>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807056"/>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33423D"/>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166D7F"/>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10324</Words>
  <Characters>13396</Characters>
  <Lines>118</Lines>
  <Paragraphs>33</Paragraphs>
  <TotalTime>13</TotalTime>
  <ScaleCrop>false</ScaleCrop>
  <LinksUpToDate>false</LinksUpToDate>
  <CharactersWithSpaces>14582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2025-09-16T03:48:43Z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AEAEA113BE994FB6925D12783A3F4CDF_13</vt:lpwstr>
  </property>
  <property fmtid="{D5CDD505-2E9C-101B-9397-08002B2CF9AE}" pid="4" name="KSOTemplateDocerSaveRecord">
    <vt:lpwstr>eyJoZGlkIjoiMDUwMjYyMTAwZTM5NTcxOGVhNzI3YWZjMDRhMjZkZDEifQ==</vt:lpwstr>
  </property>
</Properties>
</file>