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rPr>
        <w:t>中国共产党垫江县委员会统战部（本级）</w:t>
      </w:r>
      <w:r>
        <w:rPr>
          <w:rFonts w:hint="default" w:ascii="Times New Roman" w:hAnsi="Times New Roman" w:eastAsia="方正小标宋_GBK"/>
          <w:sz w:val="44"/>
          <w:szCs w:val="44"/>
          <w:shd w:val="clear" w:color="auto" w:fill="FFFFFF"/>
        </w:rPr>
        <w:t>2024年度决算公开说明</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p>
    <w:p>
      <w:pPr>
        <w:pStyle w:val="6"/>
        <w:shd w:val="clear" w:color="auto" w:fill="FFFFFF"/>
        <w:spacing w:beforeAutospacing="0" w:after="0" w:afterAutospacing="0" w:line="594" w:lineRule="exact"/>
        <w:ind w:firstLine="643" w:firstLineChars="200"/>
        <w:rPr>
          <w:rFonts w:hint="default" w:ascii="Times New Roman" w:hAnsi="Times New Roman" w:eastAsia="黑体"/>
          <w:sz w:val="32"/>
          <w:szCs w:val="32"/>
        </w:rPr>
      </w:pPr>
      <w:r>
        <w:rPr>
          <w:rStyle w:val="10"/>
          <w:rFonts w:hint="default" w:ascii="Times New Roman" w:hAnsi="Times New Roman" w:eastAsia="黑体"/>
          <w:sz w:val="32"/>
          <w:szCs w:val="32"/>
          <w:shd w:val="clear" w:color="auto" w:fill="FFFFFF"/>
        </w:rPr>
        <w:t>一、</w:t>
      </w:r>
      <w:r>
        <w:rPr>
          <w:rStyle w:val="10"/>
          <w:rFonts w:ascii="Times New Roman" w:hAnsi="Times New Roman" w:eastAsia="黑体"/>
          <w:sz w:val="32"/>
          <w:szCs w:val="32"/>
          <w:shd w:val="clear" w:color="auto" w:fill="FFFFFF"/>
        </w:rPr>
        <w:t>单位</w:t>
      </w:r>
      <w:r>
        <w:rPr>
          <w:rStyle w:val="10"/>
          <w:rFonts w:hint="default" w:ascii="Times New Roman" w:hAnsi="Times New Roman" w:eastAsia="黑体"/>
          <w:sz w:val="32"/>
          <w:szCs w:val="32"/>
          <w:shd w:val="clear" w:color="auto" w:fill="FFFFFF"/>
        </w:rPr>
        <w:t>基本情况</w:t>
      </w:r>
    </w:p>
    <w:p>
      <w:pPr>
        <w:pStyle w:val="6"/>
        <w:shd w:val="clear" w:color="auto" w:fill="FFFFFF"/>
        <w:spacing w:beforeAutospacing="0" w:after="0" w:afterAutospacing="0" w:line="594" w:lineRule="exact"/>
        <w:ind w:firstLine="420"/>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中国共产党垫江县委员会统一战线工作部是县委主管全县统一战线工作的县委工作机构，主要职能职责是：</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和落实党中央关于统一战线工作的决策部署和市委、县委工作要求，巩固壮大最广泛的统一战线。</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2.贯彻落实统一战线工作的理论、政策和法律法规，及时向县委报告统一战线工作</w:t>
      </w:r>
      <w:bookmarkStart w:id="0" w:name="page1"/>
      <w:bookmarkEnd w:id="0"/>
      <w:r>
        <w:rPr>
          <w:rFonts w:hint="default" w:ascii="Times New Roman" w:hAnsi="Times New Roman" w:eastAsia="方正仿宋_GBK"/>
          <w:bCs/>
          <w:sz w:val="32"/>
        </w:rPr>
        <w:t>情况并提出建议，组织协调统一战线政策和法律法规的贯彻落实、检查执行情况，统筹协调和指导各乡镇（街道）各部门各单位统一战线工作。</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3.负责发现、培养党外代表人士，负责党外人士的政治安排，会同有关部门做好安排党外人士担任政府和司法机关等领导职务的工作，协助民主党派、县工商联做好干部管理工作，反映和协调解决党外代表人士工作生活中的实际困难。</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4.负责联系全县各民主党派，通报情况、反映意见，贯彻落实中国共产党领导的多党合作和政治协商制度以及对民主党派的方针政策，支持、帮助全县民主党派加强自身建设，做好支持全县民主党派履行职责、发挥作用的工作。</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5.贯彻落实党的民族工作方针、政策和法律法规，牵头协调检查落实情况，协调处理民族工作中的重大问题，根据分工做好少数民族干部工作，依法管理民族事务，全面促进全县民族事业发展。</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6.统一领导全县宗教工作，贯彻落实党的宗教工作基本方针和政策，牵头协调检查落实情况，依法管理宗教行政事务、保护公民宗教信仰自由和正常的宗教活动、维护宗教界合法权益、抵御境外利用宗教进行渗透，引导各宗教坚持中国化方向，巩固和发展同宗教界的爱国统一战线。</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7.统一领导全县海外统战工作，牵头开展港澳统战工作，开展对台统战工作。贯彻落实党中央、市委海外统战工作政策、规划和县委的相关的工作部署，会同有关部门落实香港、澳门地区统一战线工作政策，贯彻执行党中央国务院、市委市政府确定的对台工作的方针政策，联系香港、澳门、台湾有关党派、团体及代表人士，联系海外有关社团及代表人士，做好台胞、台属有关工作。</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8.参与制定、推动贯彻落实党中央、市委和县委鼓励支持引导非公有制经济发展的方针和政策，调查研究我县非公有制经济人士情况并提出政策建议，了解和反映非公有制经济人士的意见，团结、服务、引导、教育我县非公有制经济人士，促进全县非公有制经济健康发展和非公有制经济人士健康成长。</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9.负责联系、培养全县无党派代表人士，支持、帮助无党派人士加强自身建设、发挥作用。调查研究我县党外知识分子和新的社会阶层人士情况并提出政策建议，联系、培养党外知识分子和新的社会阶层代表人士，开展思想政治工作，指导县级有关单位、企事业等有关单位和社会组织开展党外知识分子和新的社会阶层人士统战工作。做好全县出国和归国留学人员统战工作。</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10.统一管理全县侨务工作，管理侨务行政事务，贯彻党中央、市委侨务工作政策和规划，调查研究侨情和侨务工作情况，统筹协调有关部门和社会团体涉侨工作，联系海外有关侨团及代表人士，指导推动涉侨宣传、文化交流、华文教育工作等，保护华侨和归侨侨眷在我县的合法权利和利益。</w:t>
      </w:r>
    </w:p>
    <w:p>
      <w:pPr>
        <w:widowControl w:val="0"/>
        <w:spacing w:line="594" w:lineRule="exact"/>
        <w:ind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11.贯彻落实党的宣传工作方针，统筹推进全县统一战线宣传工作和理论政策研究工作。研判涉及统一战线的舆情并协同有关部门应对处置。</w:t>
      </w:r>
    </w:p>
    <w:p>
      <w:pPr>
        <w:widowControl w:val="0"/>
        <w:spacing w:line="594" w:lineRule="exact"/>
        <w:ind w:left="60" w:right="60"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12.协助管理乡镇（街道）党（工）委统战委员。受县委委托，领导县工商联党组，指导县工商联工作。指导垫江社会主义学院工作。做好全县统一战线有关单位和团体的管理工作。</w:t>
      </w:r>
    </w:p>
    <w:p>
      <w:pPr>
        <w:widowControl w:val="0"/>
        <w:spacing w:line="594" w:lineRule="exact"/>
        <w:ind w:right="46" w:firstLine="640" w:firstLineChars="200"/>
        <w:jc w:val="both"/>
        <w:rPr>
          <w:rFonts w:hint="default" w:ascii="Times New Roman" w:hAnsi="Times New Roman" w:eastAsia="方正仿宋_GBK"/>
          <w:bCs/>
          <w:sz w:val="32"/>
        </w:rPr>
      </w:pPr>
      <w:r>
        <w:rPr>
          <w:rFonts w:hint="default" w:ascii="Times New Roman" w:hAnsi="Times New Roman" w:eastAsia="方正仿宋_GBK"/>
          <w:bCs/>
          <w:sz w:val="32"/>
        </w:rPr>
        <w:t>13.负责机关、直属单位和主管的社会组织党建工作。</w:t>
      </w:r>
    </w:p>
    <w:p>
      <w:pPr>
        <w:widowControl w:val="0"/>
        <w:spacing w:line="594" w:lineRule="exact"/>
        <w:ind w:right="46" w:firstLine="640" w:firstLineChars="200"/>
        <w:jc w:val="both"/>
        <w:rPr>
          <w:rFonts w:hint="default" w:ascii="Times New Roman" w:hAnsi="Times New Roman" w:eastAsia="方正仿宋_GBK"/>
          <w:sz w:val="32"/>
          <w:szCs w:val="32"/>
        </w:rPr>
      </w:pPr>
      <w:r>
        <w:rPr>
          <w:rFonts w:hint="default" w:ascii="Times New Roman" w:hAnsi="Times New Roman" w:eastAsia="方正仿宋_GBK"/>
          <w:bCs/>
          <w:sz w:val="32"/>
        </w:rPr>
        <w:t>14.完成县委交办的其他任务。</w:t>
      </w:r>
    </w:p>
    <w:p>
      <w:pPr>
        <w:pStyle w:val="6"/>
        <w:shd w:val="clear" w:color="auto" w:fill="FFFFFF"/>
        <w:spacing w:beforeAutospacing="0" w:after="0" w:afterAutospacing="0" w:line="594" w:lineRule="exact"/>
        <w:ind w:firstLine="42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bCs/>
          <w:sz w:val="32"/>
        </w:rPr>
        <w:t>本单位</w:t>
      </w:r>
      <w:r>
        <w:rPr>
          <w:rFonts w:hint="default" w:ascii="Times New Roman" w:hAnsi="Times New Roman" w:eastAsia="方正仿宋_GBK"/>
          <w:bCs/>
          <w:sz w:val="32"/>
        </w:rPr>
        <w:t>内设办公室、干部科、民主党派工作科、民族宗教工作科、港澳台侨统战工作科、新的社会阶层人士统战工作科。2024年末，本级实有在职人数11人。</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w:t>
      </w:r>
      <w:r>
        <w:rPr>
          <w:rStyle w:val="10"/>
          <w:rFonts w:ascii="Times New Roman" w:hAnsi="Times New Roman" w:eastAsia="黑体"/>
          <w:sz w:val="32"/>
          <w:szCs w:val="32"/>
          <w:shd w:val="clear" w:color="auto" w:fill="FFFFFF"/>
        </w:rPr>
        <w:t>单位</w:t>
      </w:r>
      <w:r>
        <w:rPr>
          <w:rStyle w:val="10"/>
          <w:rFonts w:ascii="黑体" w:hAnsi="黑体" w:eastAsia="黑体" w:cs="黑体"/>
          <w:sz w:val="32"/>
          <w:szCs w:val="32"/>
          <w:shd w:val="clear" w:color="auto" w:fill="FFFFFF"/>
        </w:rPr>
        <w:t>决算收支情况说明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shd w:val="clear" w:color="auto" w:fill="FFFFFF"/>
        <w:spacing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2024年度收入总计481.39万元，支出总计</w:t>
      </w:r>
      <w:r>
        <w:rPr>
          <w:rFonts w:hint="default" w:ascii="Times New Roman" w:hAnsi="Times New Roman" w:eastAsia="方正仿宋_GBK"/>
          <w:sz w:val="32"/>
          <w:szCs w:val="32"/>
        </w:rPr>
        <w:t>481.39</w:t>
      </w:r>
      <w:r>
        <w:rPr>
          <w:rFonts w:hint="default" w:ascii="Times New Roman" w:hAnsi="Times New Roman" w:eastAsia="方正仿宋_GBK"/>
          <w:sz w:val="32"/>
          <w:szCs w:val="32"/>
          <w:shd w:val="clear" w:color="auto" w:fill="FFFFFF"/>
        </w:rPr>
        <w:t>万元。收、支与2023年度相比，减少35.68万元，下降6.90%，主要原因是</w:t>
      </w:r>
      <w:bookmarkStart w:id="1" w:name="OLE_LINK1"/>
      <w:r>
        <w:rPr>
          <w:rFonts w:hint="default" w:ascii="Times New Roman" w:hAnsi="Times New Roman" w:eastAsia="方正仿宋_GBK"/>
          <w:sz w:val="32"/>
          <w:szCs w:val="32"/>
          <w:shd w:val="clear" w:color="auto" w:fill="FFFFFF"/>
        </w:rPr>
        <w:t>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bookmarkEnd w:id="1"/>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2024年度收入合计481.39万元，与2023年度相比，减少35.23万元，下降6.82%，主要原因是厉行过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原则，勤俭节约，减少开支。其中：财政拨款收入</w:t>
      </w:r>
      <w:r>
        <w:rPr>
          <w:rFonts w:hint="default" w:ascii="Times New Roman" w:hAnsi="Times New Roman" w:eastAsia="方正仿宋_GBK"/>
          <w:sz w:val="32"/>
          <w:szCs w:val="32"/>
        </w:rPr>
        <w:t>481.39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481.39</w:t>
      </w:r>
      <w:r>
        <w:rPr>
          <w:rFonts w:hint="default" w:ascii="Times New Roman" w:hAnsi="Times New Roman" w:eastAsia="方正仿宋_GBK"/>
          <w:sz w:val="32"/>
          <w:szCs w:val="32"/>
          <w:shd w:val="clear" w:color="auto" w:fill="FFFFFF"/>
        </w:rPr>
        <w:t>万元，与2023年度相比，减少35.58万元，下降6.88%，主要原因是厉行过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原则，勤俭节约，减少开支。其中：基本支出</w:t>
      </w:r>
      <w:r>
        <w:rPr>
          <w:rFonts w:hint="default" w:ascii="Times New Roman" w:hAnsi="Times New Roman" w:eastAsia="方正仿宋_GBK"/>
          <w:sz w:val="32"/>
          <w:szCs w:val="32"/>
        </w:rPr>
        <w:t>359.79</w:t>
      </w:r>
      <w:r>
        <w:rPr>
          <w:rFonts w:hint="default" w:ascii="Times New Roman" w:hAnsi="Times New Roman" w:eastAsia="方正仿宋_GBK"/>
          <w:sz w:val="32"/>
          <w:szCs w:val="32"/>
          <w:shd w:val="clear" w:color="auto" w:fill="FFFFFF"/>
        </w:rPr>
        <w:t>万元，占74.74%；项目支出</w:t>
      </w:r>
      <w:r>
        <w:rPr>
          <w:rFonts w:hint="default" w:ascii="Times New Roman" w:hAnsi="Times New Roman" w:eastAsia="方正仿宋_GBK"/>
          <w:sz w:val="32"/>
          <w:szCs w:val="32"/>
        </w:rPr>
        <w:t>121.60</w:t>
      </w:r>
      <w:r>
        <w:rPr>
          <w:rFonts w:hint="default" w:ascii="Times New Roman" w:hAnsi="Times New Roman" w:eastAsia="方正仿宋_GBK"/>
          <w:sz w:val="32"/>
          <w:szCs w:val="32"/>
          <w:shd w:val="clear" w:color="auto" w:fill="FFFFFF"/>
        </w:rPr>
        <w:t>万元，占25.26%；经营支出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万元，与2023年度相比，减少0.10万元，下降100.00%，主要原因是上年度</w:t>
      </w:r>
      <w:r>
        <w:rPr>
          <w:rFonts w:ascii="Times New Roman" w:hAnsi="Times New Roman" w:eastAsia="方正仿宋_GBK"/>
          <w:sz w:val="32"/>
          <w:szCs w:val="32"/>
          <w:shd w:val="clear" w:color="auto" w:fill="FFFFFF"/>
        </w:rPr>
        <w:t>结余</w:t>
      </w:r>
      <w:r>
        <w:rPr>
          <w:rFonts w:hint="default" w:ascii="Times New Roman" w:hAnsi="Times New Roman" w:eastAsia="方正仿宋_GBK"/>
          <w:sz w:val="32"/>
          <w:szCs w:val="32"/>
          <w:shd w:val="clear" w:color="auto" w:fill="FFFFFF"/>
        </w:rPr>
        <w:t>本年</w:t>
      </w:r>
      <w:r>
        <w:rPr>
          <w:rFonts w:ascii="Times New Roman" w:hAnsi="Times New Roman" w:eastAsia="方正仿宋_GBK"/>
          <w:sz w:val="32"/>
          <w:szCs w:val="32"/>
          <w:shd w:val="clear" w:color="auto" w:fill="FFFFFF"/>
        </w:rPr>
        <w:t>收缴</w:t>
      </w:r>
      <w:r>
        <w:rPr>
          <w:rFonts w:hint="default" w:ascii="Times New Roman" w:hAnsi="Times New Roman" w:eastAsia="方正仿宋_GBK"/>
          <w:sz w:val="32"/>
          <w:szCs w:val="32"/>
          <w:shd w:val="clear" w:color="auto" w:fill="FFFFFF"/>
        </w:rPr>
        <w:t>。</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6"/>
        <w:shd w:val="clear" w:color="auto" w:fill="FFFFFF"/>
        <w:spacing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2024年度财政拨款收、支总计481.39万元。与2023年相比，财政拨款收、支总计各减少35.68万元，下降6.90%。主要原因是厉行过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481.39</w:t>
      </w:r>
      <w:r>
        <w:rPr>
          <w:rFonts w:hint="default" w:ascii="Times New Roman" w:hAnsi="Times New Roman" w:eastAsia="方正仿宋_GBK"/>
          <w:sz w:val="32"/>
          <w:szCs w:val="32"/>
          <w:shd w:val="clear" w:color="auto" w:fill="FFFFFF"/>
        </w:rPr>
        <w:t>万元，与2023年度相比，减少35.23万元，下降6.82%。主要原因是人员减少，工资福利、商品和服务支出减少。较年初预算数减少40.69万元，下降7.79%。主要原因是厉行过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481.39</w:t>
      </w:r>
      <w:r>
        <w:rPr>
          <w:rFonts w:hint="default" w:ascii="Times New Roman" w:hAnsi="Times New Roman" w:eastAsia="方正仿宋_GBK"/>
          <w:sz w:val="32"/>
          <w:szCs w:val="32"/>
          <w:shd w:val="clear" w:color="auto" w:fill="FFFFFF"/>
        </w:rPr>
        <w:t>万元，与2023年度相比，减少35.58万元，下降6.88%。主要原因是厉行过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原则，勤俭节约，减少开支。较年初预算数减少40.69万元，下降7.79%。主要原因是人员减少，工资福利、商品和服务支出减少。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万元，与2023年度相比，减少0.10万元，下降100.00%，主要原因是上年度</w:t>
      </w:r>
      <w:r>
        <w:rPr>
          <w:rFonts w:ascii="Times New Roman" w:hAnsi="Times New Roman" w:eastAsia="方正仿宋_GBK"/>
          <w:sz w:val="32"/>
          <w:szCs w:val="32"/>
          <w:shd w:val="clear" w:color="auto" w:fill="FFFFFF"/>
        </w:rPr>
        <w:t>结余</w:t>
      </w:r>
      <w:r>
        <w:rPr>
          <w:rFonts w:hint="default" w:ascii="Times New Roman" w:hAnsi="Times New Roman" w:eastAsia="方正仿宋_GBK"/>
          <w:sz w:val="32"/>
          <w:szCs w:val="32"/>
          <w:shd w:val="clear" w:color="auto" w:fill="FFFFFF"/>
        </w:rPr>
        <w:t>本年</w:t>
      </w:r>
      <w:r>
        <w:rPr>
          <w:rFonts w:ascii="Times New Roman" w:hAnsi="Times New Roman" w:eastAsia="方正仿宋_GBK"/>
          <w:sz w:val="32"/>
          <w:szCs w:val="32"/>
          <w:shd w:val="clear" w:color="auto" w:fill="FFFFFF"/>
        </w:rPr>
        <w:t>收缴</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375.86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78.08</w:t>
      </w:r>
      <w:r>
        <w:rPr>
          <w:rFonts w:hint="default" w:ascii="Times New Roman" w:hAnsi="Times New Roman" w:eastAsia="方正仿宋_GBK"/>
          <w:sz w:val="32"/>
          <w:szCs w:val="32"/>
          <w:shd w:val="clear" w:color="auto" w:fill="FFFFFF"/>
        </w:rPr>
        <w:t>%，较年初预算数减少38.07万元，下降9.20%，主要原因是厉行过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0.70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0.15</w:t>
      </w:r>
      <w:r>
        <w:rPr>
          <w:rFonts w:hint="default" w:ascii="Times New Roman" w:hAnsi="Times New Roman" w:eastAsia="方正仿宋_GBK"/>
          <w:sz w:val="32"/>
          <w:szCs w:val="32"/>
          <w:shd w:val="clear" w:color="auto" w:fill="FFFFFF"/>
        </w:rPr>
        <w:t>%，较年初预算数减少0.19万元，下降21.35%，主要原因是厉行过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73.21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15.21</w:t>
      </w:r>
      <w:r>
        <w:rPr>
          <w:rFonts w:hint="default" w:ascii="Times New Roman" w:hAnsi="Times New Roman" w:eastAsia="方正仿宋_GBK"/>
          <w:sz w:val="32"/>
          <w:szCs w:val="32"/>
          <w:shd w:val="clear" w:color="auto" w:fill="FFFFFF"/>
        </w:rPr>
        <w:t>%，较年初预算数增加3.33万元，增长4.77%，主要原因是社会保障缴费基数调整。</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14.57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3.03</w:t>
      </w:r>
      <w:r>
        <w:rPr>
          <w:rFonts w:hint="default" w:ascii="Times New Roman" w:hAnsi="Times New Roman" w:eastAsia="方正仿宋_GBK"/>
          <w:sz w:val="32"/>
          <w:szCs w:val="32"/>
          <w:shd w:val="clear" w:color="auto" w:fill="FFFFFF"/>
        </w:rPr>
        <w:t>%，较年初预算数减少1.44万元，下降8.99%，主要原因是年初预算人员调出</w:t>
      </w:r>
      <w:r>
        <w:rPr>
          <w:rFonts w:ascii="Times New Roman" w:hAnsi="Times New Roman" w:eastAsia="方正仿宋_GBK"/>
          <w:sz w:val="32"/>
          <w:szCs w:val="32"/>
          <w:shd w:val="clear" w:color="auto" w:fill="FFFFFF"/>
        </w:rPr>
        <w:t>1名</w:t>
      </w:r>
      <w:r>
        <w:rPr>
          <w:rFonts w:hint="default" w:ascii="Times New Roman" w:hAnsi="Times New Roman" w:eastAsia="方正仿宋_GBK"/>
          <w:sz w:val="32"/>
          <w:szCs w:val="32"/>
          <w:shd w:val="clear" w:color="auto" w:fill="FFFFFF"/>
        </w:rPr>
        <w:t>，医疗保险减少。</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（5）</w:t>
      </w:r>
      <w:r>
        <w:rPr>
          <w:rFonts w:hint="default" w:ascii="Times New Roman" w:hAnsi="Times New Roman" w:eastAsia="方正仿宋_GBK"/>
          <w:sz w:val="32"/>
          <w:szCs w:val="32"/>
        </w:rPr>
        <w:t>住房保障支出17.05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3.54</w:t>
      </w:r>
      <w:r>
        <w:rPr>
          <w:rFonts w:hint="default" w:ascii="Times New Roman" w:hAnsi="Times New Roman" w:eastAsia="方正仿宋_GBK"/>
          <w:sz w:val="32"/>
          <w:szCs w:val="32"/>
          <w:shd w:val="clear" w:color="auto" w:fill="FFFFFF"/>
        </w:rPr>
        <w:t>%，较年初预算数减少4.32万元，下降20.22%，主要原因是年初预算人员调出</w:t>
      </w:r>
      <w:r>
        <w:rPr>
          <w:rFonts w:ascii="Times New Roman" w:hAnsi="Times New Roman" w:eastAsia="方正仿宋_GBK"/>
          <w:sz w:val="32"/>
          <w:szCs w:val="32"/>
          <w:shd w:val="clear" w:color="auto" w:fill="FFFFFF"/>
        </w:rPr>
        <w:t>1名</w:t>
      </w:r>
      <w:r>
        <w:rPr>
          <w:rFonts w:hint="default" w:ascii="Times New Roman" w:hAnsi="Times New Roman" w:eastAsia="方正仿宋_GBK"/>
          <w:sz w:val="32"/>
          <w:szCs w:val="32"/>
          <w:shd w:val="clear" w:color="auto" w:fill="FFFFFF"/>
        </w:rPr>
        <w:t>，住房公积金减少。</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359.79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287.24</w:t>
      </w:r>
      <w:r>
        <w:rPr>
          <w:rFonts w:hint="default" w:ascii="Times New Roman" w:hAnsi="Times New Roman" w:eastAsia="方正仿宋_GBK"/>
          <w:sz w:val="32"/>
          <w:szCs w:val="32"/>
          <w:shd w:val="clear" w:color="auto" w:fill="FFFFFF"/>
        </w:rPr>
        <w:t>万元，与2023年度相比，减少13.13万元，下降4.37%，主要原因是人员</w:t>
      </w:r>
      <w:r>
        <w:rPr>
          <w:rFonts w:ascii="Times New Roman" w:hAnsi="Times New Roman" w:eastAsia="方正仿宋_GBK"/>
          <w:sz w:val="32"/>
          <w:szCs w:val="32"/>
          <w:shd w:val="clear" w:color="auto" w:fill="FFFFFF"/>
        </w:rPr>
        <w:t>调出1名</w:t>
      </w:r>
      <w:r>
        <w:rPr>
          <w:rFonts w:hint="default" w:ascii="Times New Roman" w:hAnsi="Times New Roman" w:eastAsia="方正仿宋_GBK"/>
          <w:sz w:val="32"/>
          <w:szCs w:val="32"/>
          <w:shd w:val="clear" w:color="auto" w:fill="FFFFFF"/>
        </w:rPr>
        <w:t>。人员经费用途主要包括</w:t>
      </w:r>
      <w:r>
        <w:rPr>
          <w:rFonts w:hint="default" w:ascii="Times New Roman" w:hAnsi="Times New Roman" w:eastAsia="方正仿宋_GBK"/>
          <w:bCs/>
          <w:sz w:val="32"/>
          <w:szCs w:val="32"/>
        </w:rPr>
        <w:t>工资福利支出。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72.55</w:t>
      </w:r>
      <w:r>
        <w:rPr>
          <w:rFonts w:hint="default" w:ascii="Times New Roman" w:hAnsi="Times New Roman" w:eastAsia="方正仿宋_GBK"/>
          <w:sz w:val="32"/>
          <w:szCs w:val="32"/>
          <w:shd w:val="clear" w:color="auto" w:fill="FFFFFF"/>
        </w:rPr>
        <w:t>万元，与2023年度相比，减少3.13万元，下降4.14%，主要原因是厉行过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原则，勤俭节约，减少开支。公用经费用途主要包括</w:t>
      </w:r>
      <w:r>
        <w:rPr>
          <w:rFonts w:hint="default" w:ascii="Times New Roman" w:hAnsi="Times New Roman" w:eastAsia="方正仿宋_GBK"/>
          <w:bCs/>
          <w:sz w:val="32"/>
          <w:szCs w:val="32"/>
        </w:rPr>
        <w:t>办公经费、会议费、培训费、公务接待费、公务</w:t>
      </w:r>
      <w:r>
        <w:rPr>
          <w:rFonts w:hint="default" w:ascii="Times New Roman" w:hAnsi="Times New Roman" w:eastAsia="方正仿宋_GBK"/>
          <w:sz w:val="32"/>
          <w:szCs w:val="32"/>
          <w:shd w:val="clear" w:color="auto" w:fill="FFFFFF"/>
        </w:rPr>
        <w:t>用车</w:t>
      </w:r>
      <w:r>
        <w:rPr>
          <w:rFonts w:hint="default" w:ascii="Times New Roman" w:hAnsi="Times New Roman" w:eastAsia="方正仿宋_GBK"/>
          <w:bCs/>
          <w:sz w:val="32"/>
          <w:szCs w:val="32"/>
        </w:rPr>
        <w:t>运行维护费等。</w:t>
      </w:r>
    </w:p>
    <w:p>
      <w:pPr>
        <w:pStyle w:val="11"/>
        <w:autoSpaceDE w:val="0"/>
        <w:spacing w:line="594" w:lineRule="exact"/>
        <w:ind w:firstLine="643"/>
        <w:rPr>
          <w:rFonts w:ascii="Times New Roman" w:hAnsi="Times New Roman" w:eastAsia="楷体"/>
          <w:b/>
          <w:bCs/>
          <w:sz w:val="32"/>
          <w:szCs w:val="32"/>
        </w:rPr>
      </w:pPr>
      <w:r>
        <w:rPr>
          <w:rFonts w:ascii="Times New Roman" w:hAnsi="Times New Roman" w:eastAsia="楷体"/>
          <w:b/>
          <w:bCs/>
          <w:sz w:val="32"/>
          <w:szCs w:val="32"/>
        </w:rPr>
        <w:t>（五）政府性基金预算收支决算情况说明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是本年度无政府性基金预算财政拨款支出</w:t>
      </w:r>
      <w:r>
        <w:rPr>
          <w:rFonts w:ascii="Times New Roman" w:hAnsi="Times New Roman" w:eastAsia="方正仿宋_GBK"/>
          <w:color w:val="000000" w:themeColor="text1"/>
          <w:sz w:val="32"/>
          <w:szCs w:val="32"/>
          <w:shd w:val="clear" w:color="auto" w:fill="FFFFFF"/>
        </w:rPr>
        <w:t>。本单位2024年度无政府性基金预算财政拨款收支。</w:t>
      </w:r>
    </w:p>
    <w:p>
      <w:pPr>
        <w:pStyle w:val="11"/>
        <w:autoSpaceDE w:val="0"/>
        <w:spacing w:line="594" w:lineRule="exact"/>
        <w:ind w:firstLine="643"/>
        <w:rPr>
          <w:rFonts w:ascii="Times New Roman" w:hAnsi="Times New Roman" w:eastAsia="楷体"/>
          <w:b/>
          <w:bCs/>
          <w:sz w:val="32"/>
          <w:szCs w:val="32"/>
        </w:rPr>
      </w:pPr>
      <w:r>
        <w:rPr>
          <w:rFonts w:ascii="Times New Roman" w:hAnsi="Times New Roman" w:eastAsia="楷体"/>
          <w:b/>
          <w:bCs/>
          <w:sz w:val="32"/>
          <w:szCs w:val="32"/>
        </w:rPr>
        <w:t>（六）国有资本经营预算财政拨款支出决算情况说明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 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本年支出0.00万元，基本支出0.00万元，项目支出0.00万元。本单位2024年度无国有资本经营预算财政拨款支出。</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w:t>
      </w:r>
      <w:r>
        <w:rPr>
          <w:rStyle w:val="10"/>
          <w:rFonts w:ascii="黑体" w:hAnsi="黑体" w:eastAsia="黑体" w:cs="黑体"/>
          <w:sz w:val="32"/>
          <w:szCs w:val="32"/>
          <w:shd w:val="clear" w:color="auto" w:fill="FFFFFF"/>
        </w:rPr>
        <w:t>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5.49</w:t>
      </w:r>
      <w:r>
        <w:rPr>
          <w:rFonts w:hint="default" w:ascii="Times New Roman" w:hAnsi="Times New Roman" w:eastAsia="方正仿宋_GBK"/>
          <w:sz w:val="32"/>
          <w:szCs w:val="32"/>
          <w:shd w:val="clear" w:color="auto" w:fill="FFFFFF"/>
        </w:rPr>
        <w:t>万元，较年初预算数增加2.49万元，增长83.00%，主要原因是公务接待费增加。较上年支出数增加0.44万元，增长8.71%，主要原因是公务接待费增加。</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2024年度本单位因公出国（境）</w:t>
      </w:r>
      <w:r>
        <w:rPr>
          <w:rFonts w:hint="default" w:ascii="Times New Roman" w:hAnsi="Times New Roman" w:eastAsia="方正仿宋_GBK" w:cs="Times New Roman"/>
          <w:sz w:val="32"/>
          <w:szCs w:val="32"/>
          <w:shd w:val="clear" w:color="auto" w:fill="FFFFFF"/>
        </w:rPr>
        <w:t>费用0.00万元</w:t>
      </w:r>
      <w:r>
        <w:rPr>
          <w:rFonts w:ascii="方正仿宋_GBK" w:hAnsi="方正仿宋_GBK" w:eastAsia="方正仿宋_GBK" w:cs="方正仿宋_GBK"/>
          <w:sz w:val="32"/>
          <w:szCs w:val="32"/>
          <w:shd w:val="clear" w:color="auto" w:fill="FFFFFF"/>
        </w:rPr>
        <w:t>。费用支出较年初预算数无增减，主要原因是年初预算未安排因公出国（境）费用，也未发生因公出国（境）费用。较上年支出数无增减，主要原因是上年和本年均未发生因公出国（境）费用。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bCs/>
          <w:sz w:val="32"/>
          <w:szCs w:val="32"/>
          <w:shd w:val="clear" w:color="auto" w:fill="FFFFFF"/>
          <w:lang w:bidi="ar"/>
        </w:rPr>
      </w:pPr>
      <w:r>
        <w:rPr>
          <w:rFonts w:hint="default" w:ascii="Times New Roman" w:hAnsi="Times New Roman" w:eastAsia="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公务车购置费0.00万元。费</w:t>
      </w:r>
      <w:r>
        <w:rPr>
          <w:rFonts w:ascii="方正仿宋_GBK" w:hAnsi="方正仿宋_GBK" w:eastAsia="方正仿宋_GBK" w:cs="方正仿宋_GBK"/>
          <w:sz w:val="32"/>
          <w:szCs w:val="32"/>
          <w:shd w:val="clear" w:color="auto" w:fill="FFFFFF"/>
        </w:rPr>
        <w:t>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w:t>
      </w:r>
      <w:r>
        <w:rPr>
          <w:rFonts w:hint="default" w:ascii="Times New Roman" w:hAnsi="Times New Roman" w:eastAsia="方正仿宋_GBK"/>
          <w:color w:val="333333"/>
          <w:sz w:val="32"/>
          <w:szCs w:val="32"/>
          <w:shd w:val="clear" w:color="auto" w:fill="FFFFFF"/>
        </w:rPr>
        <w:t>年初预算数未安排公务车运行维护费。</w:t>
      </w:r>
      <w:r>
        <w:rPr>
          <w:rFonts w:hint="default" w:ascii="Times New Roman" w:hAnsi="Times New Roman" w:eastAsia="方正仿宋_GBK"/>
          <w:sz w:val="32"/>
          <w:szCs w:val="32"/>
          <w:shd w:val="clear" w:color="auto" w:fill="FFFFFF"/>
        </w:rPr>
        <w:t>较上年支出数减少3.00万元，下降100.00%，主要原因是</w:t>
      </w:r>
      <w:r>
        <w:rPr>
          <w:rFonts w:hint="default" w:ascii="Times New Roman" w:hAnsi="Times New Roman" w:eastAsia="方正仿宋_GBK"/>
          <w:color w:val="333333"/>
          <w:sz w:val="32"/>
          <w:szCs w:val="32"/>
          <w:shd w:val="clear" w:color="auto" w:fill="FFFFFF"/>
        </w:rPr>
        <w:t>年初预算数未安排公务车运行维护费。</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5.49</w:t>
      </w:r>
      <w:r>
        <w:rPr>
          <w:rFonts w:hint="default" w:ascii="Times New Roman" w:hAnsi="Times New Roman" w:eastAsia="方正仿宋_GBK"/>
          <w:sz w:val="32"/>
          <w:szCs w:val="32"/>
          <w:shd w:val="clear" w:color="auto" w:fill="FFFFFF"/>
        </w:rPr>
        <w:t>万元，主要用于招商引资、接待上级、其</w:t>
      </w:r>
      <w:r>
        <w:rPr>
          <w:rFonts w:hint="eastAsia" w:ascii="Times New Roman" w:hAnsi="Times New Roman" w:eastAsia="方正仿宋_GBK"/>
          <w:sz w:val="32"/>
          <w:szCs w:val="32"/>
          <w:shd w:val="clear" w:color="auto" w:fill="FFFFFF"/>
          <w:lang w:eastAsia="zh-CN"/>
        </w:rPr>
        <w:t>他</w:t>
      </w:r>
      <w:bookmarkStart w:id="2" w:name="_GoBack"/>
      <w:bookmarkEnd w:id="2"/>
      <w:r>
        <w:rPr>
          <w:rFonts w:hint="default" w:ascii="Times New Roman" w:hAnsi="Times New Roman" w:eastAsia="方正仿宋_GBK"/>
          <w:sz w:val="32"/>
          <w:szCs w:val="32"/>
          <w:shd w:val="clear" w:color="auto" w:fill="FFFFFF"/>
        </w:rPr>
        <w:t>区县来垫调研。费用支出较年初预算数增加2.49万元，增长83.00%，主要原因是</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本年度承担异地商会回垫、市委统战部帮扶大石乡振兴等活动增多。较上年支出数增加3.44万元，增长167.80%，主要原因是</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本年度承担异地商会回垫、市委统战部帮扶大石乡振兴等活动增多。</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77</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610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90.04</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1.17</w:t>
      </w:r>
      <w:r>
        <w:rPr>
          <w:rFonts w:hint="default" w:ascii="Times New Roman" w:hAnsi="Times New Roman" w:eastAsia="方正仿宋_GBK"/>
          <w:sz w:val="32"/>
          <w:szCs w:val="32"/>
          <w:shd w:val="clear" w:color="auto" w:fill="FFFFFF"/>
        </w:rPr>
        <w:t>万元，与2023年度相比，减少0.13万元，下降10.00%，主要原因是坚持过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原则，厉行勤俭节约减少了会议费用。本年度培训费支出</w:t>
      </w:r>
      <w:r>
        <w:rPr>
          <w:rFonts w:hint="default" w:ascii="Times New Roman" w:hAnsi="Times New Roman" w:eastAsia="方正仿宋_GBK"/>
          <w:sz w:val="32"/>
          <w:szCs w:val="32"/>
        </w:rPr>
        <w:t>0.83</w:t>
      </w:r>
      <w:r>
        <w:rPr>
          <w:rFonts w:hint="default" w:ascii="Times New Roman" w:hAnsi="Times New Roman" w:eastAsia="方正仿宋_GBK"/>
          <w:sz w:val="32"/>
          <w:szCs w:val="32"/>
          <w:shd w:val="clear" w:color="auto" w:fill="FFFFFF"/>
        </w:rPr>
        <w:t>万元，与2023年度相比，减少0.10万元，下降10.75%，主要原因是坚持过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原则，厉行勤俭节约减少了培训费用。</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机关运行经费支出</w:t>
      </w:r>
      <w:r>
        <w:rPr>
          <w:rFonts w:hint="default" w:ascii="Times New Roman" w:hAnsi="Times New Roman" w:eastAsia="方正仿宋_GBK"/>
          <w:sz w:val="32"/>
          <w:szCs w:val="32"/>
        </w:rPr>
        <w:t>72.55</w:t>
      </w:r>
      <w:r>
        <w:rPr>
          <w:rFonts w:hint="default" w:ascii="Times New Roman" w:hAnsi="Times New Roman" w:eastAsia="方正仿宋_GBK"/>
          <w:sz w:val="32"/>
          <w:szCs w:val="32"/>
          <w:shd w:val="clear" w:color="auto" w:fill="FFFFFF"/>
        </w:rPr>
        <w:t>万元，机关运行经费主要用于开支办公费、邮电费、差旅费</w:t>
      </w:r>
      <w:r>
        <w:rPr>
          <w:rFonts w:hint="default" w:ascii="Times New Roman" w:hAnsi="Times New Roman" w:eastAsia="方正仿宋_GBK"/>
          <w:color w:val="333333"/>
          <w:sz w:val="31"/>
          <w:szCs w:val="31"/>
          <w:shd w:val="clear" w:color="auto" w:fill="FFFFFF"/>
        </w:rPr>
        <w:t>等维持部门正常运转经费。</w:t>
      </w:r>
      <w:r>
        <w:rPr>
          <w:rFonts w:hint="default" w:ascii="Times New Roman" w:hAnsi="Times New Roman" w:eastAsia="方正仿宋_GBK"/>
          <w:sz w:val="32"/>
          <w:szCs w:val="32"/>
          <w:shd w:val="clear" w:color="auto" w:fill="FFFFFF"/>
        </w:rPr>
        <w:t>机关运行经费较上年支出数减少3.13万元，下降4.14%，主要原因是坚持过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原则，厉行勤俭节约减少了各类运行成本。</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截至2024年12月31日，</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共有车辆</w:t>
      </w:r>
      <w:r>
        <w:rPr>
          <w:rFonts w:ascii="Times New Roman" w:hAnsi="Times New Roman" w:eastAsia="方正仿宋_GBK"/>
          <w:sz w:val="32"/>
          <w:szCs w:val="32"/>
          <w:shd w:val="clear" w:color="auto" w:fill="FFFFFF"/>
        </w:rPr>
        <w:t>0</w:t>
      </w:r>
      <w:r>
        <w:rPr>
          <w:rFonts w:hint="default" w:ascii="Times New Roman" w:hAnsi="Times New Roman" w:eastAsia="方正仿宋_GBK"/>
          <w:sz w:val="32"/>
          <w:szCs w:val="32"/>
          <w:shd w:val="clear" w:color="auto" w:fill="FFFFFF"/>
        </w:rPr>
        <w:t>辆，其中，副部（省）级及以上领导用车0辆、主要负责人用车0辆、机要通信用车0辆、应急保障用车</w:t>
      </w:r>
      <w:r>
        <w:rPr>
          <w:rFonts w:ascii="Times New Roman" w:hAnsi="Times New Roman" w:eastAsia="方正仿宋_GBK"/>
          <w:sz w:val="32"/>
          <w:szCs w:val="32"/>
          <w:shd w:val="clear" w:color="auto" w:fill="FFFFFF"/>
        </w:rPr>
        <w:t>0</w:t>
      </w:r>
      <w:r>
        <w:rPr>
          <w:rFonts w:hint="default" w:ascii="Times New Roman" w:hAnsi="Times New Roman" w:eastAsia="方正仿宋_GBK"/>
          <w:sz w:val="32"/>
          <w:szCs w:val="32"/>
          <w:shd w:val="clear" w:color="auto" w:fill="FFFFFF"/>
        </w:rPr>
        <w:t>辆、执法执勤用车0辆，特种专业技术用车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11"/>
        <w:autoSpaceDE w:val="0"/>
        <w:spacing w:line="594"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政府采购支出总额0.00万元，其中：政府采购货物支出0.00万元、政府采购工程支出0.00万元、</w:t>
      </w:r>
      <w:r>
        <w:rPr>
          <w:rFonts w:ascii="方正仿宋_GBK" w:hAnsi="方正仿宋_GBK" w:eastAsia="方正仿宋_GBK" w:cs="方正仿宋_GBK"/>
          <w:sz w:val="32"/>
          <w:szCs w:val="32"/>
          <w:shd w:val="clear" w:color="auto" w:fill="FFFFFF"/>
        </w:rPr>
        <w:t>政</w:t>
      </w:r>
      <w:r>
        <w:rPr>
          <w:rFonts w:hint="default" w:ascii="Times New Roman" w:hAnsi="Times New Roman" w:eastAsia="方正仿宋_GBK" w:cs="Times New Roman"/>
          <w:sz w:val="32"/>
          <w:szCs w:val="32"/>
          <w:shd w:val="clear" w:color="auto" w:fill="FFFFFF"/>
          <w:lang w:val="en-US" w:eastAsia="zh-CN" w:bidi="ar-SA"/>
        </w:rPr>
        <w:t>府采购服务支出0.00万元。授予中小企业合同金额0.00万元，占政府采购支出总额的0.0%，其中：授予小微企业合同金额0.00万元，占政府采购支出总额的0 .0%。2024年度我</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未发生政府采购事项，无相关经费支出。</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五、</w:t>
      </w:r>
      <w:r>
        <w:rPr>
          <w:rStyle w:val="10"/>
          <w:rFonts w:ascii="黑体" w:hAnsi="黑体" w:eastAsia="黑体" w:cs="黑体"/>
          <w:sz w:val="32"/>
          <w:szCs w:val="32"/>
          <w:shd w:val="clear" w:color="auto" w:fill="FFFFFF"/>
        </w:rPr>
        <w:t>2024年度预算绩效管理情况说明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w:t>
      </w:r>
      <w:r>
        <w:rPr>
          <w:rFonts w:hint="eastAsia" w:ascii="Times New Roman" w:hAnsi="Times New Roman" w:eastAsia="楷体"/>
          <w:b/>
          <w:bCs/>
          <w:sz w:val="32"/>
          <w:szCs w:val="32"/>
          <w:shd w:val="clear" w:color="auto" w:fill="FFFFFF"/>
        </w:rPr>
        <w:t>单位</w:t>
      </w:r>
      <w:r>
        <w:rPr>
          <w:rFonts w:ascii="Times New Roman" w:hAnsi="Times New Roman" w:eastAsia="楷体"/>
          <w:b/>
          <w:bCs/>
          <w:sz w:val="32"/>
          <w:szCs w:val="32"/>
          <w:shd w:val="clear" w:color="auto" w:fill="FFFFFF"/>
        </w:rPr>
        <w:t>自评情况</w:t>
      </w:r>
    </w:p>
    <w:p>
      <w:pPr>
        <w:pStyle w:val="11"/>
        <w:autoSpaceDE w:val="0"/>
        <w:spacing w:line="594" w:lineRule="exact"/>
        <w:ind w:firstLine="640"/>
        <w:rPr>
          <w:rFonts w:ascii="Times New Roman" w:hAnsi="Times New Roman" w:eastAsia="方正仿宋_GBK"/>
          <w:sz w:val="32"/>
          <w:szCs w:val="32"/>
          <w:highlight w:val="yellow"/>
          <w:shd w:val="clear" w:color="auto" w:fill="FFFFFF"/>
        </w:rPr>
      </w:pPr>
      <w:r>
        <w:rPr>
          <w:rFonts w:ascii="Times New Roman" w:hAnsi="Times New Roman" w:eastAsia="方正仿宋_GBK"/>
          <w:sz w:val="32"/>
          <w:szCs w:val="32"/>
          <w:shd w:val="clear" w:color="auto" w:fill="FFFFFF"/>
        </w:rPr>
        <w:t>根据预算绩效管理要求，我</w:t>
      </w:r>
      <w:r>
        <w:rPr>
          <w:rFonts w:hint="eastAsia" w:ascii="Times New Roman" w:hAnsi="Times New Roman" w:eastAsia="方正仿宋_GBK"/>
          <w:sz w:val="32"/>
          <w:szCs w:val="32"/>
          <w:shd w:val="clear" w:color="auto" w:fill="FFFFFF"/>
        </w:rPr>
        <w:t>单位</w:t>
      </w:r>
      <w:r>
        <w:rPr>
          <w:rFonts w:ascii="Times New Roman" w:hAnsi="Times New Roman" w:eastAsia="方正仿宋_GBK"/>
          <w:sz w:val="32"/>
          <w:szCs w:val="32"/>
          <w:shd w:val="clear" w:color="auto" w:fill="FFFFFF"/>
        </w:rPr>
        <w:t>对13个二级项目开展了绩效自评，涉及财政拨款项目支出资金121.6万元。</w:t>
      </w:r>
    </w:p>
    <w:p>
      <w:pPr>
        <w:pStyle w:val="12"/>
        <w:spacing w:before="0" w:beforeAutospacing="0"/>
        <w:rPr>
          <w:rFonts w:ascii="Times New Roman" w:hAnsi="Times New Roman" w:eastAsia="方正仿宋_GBK"/>
          <w:sz w:val="32"/>
          <w:szCs w:val="32"/>
        </w:rPr>
      </w:pPr>
      <w:r>
        <w:rPr>
          <w:rFonts w:cs="宋体"/>
        </w:rPr>
        <w:drawing>
          <wp:anchor distT="0" distB="0" distL="114300" distR="114300" simplePos="0" relativeHeight="251659264" behindDoc="0" locked="0" layoutInCell="1" allowOverlap="1">
            <wp:simplePos x="0" y="0"/>
            <wp:positionH relativeFrom="column">
              <wp:posOffset>130175</wp:posOffset>
            </wp:positionH>
            <wp:positionV relativeFrom="paragraph">
              <wp:posOffset>3090545</wp:posOffset>
            </wp:positionV>
            <wp:extent cx="5250180" cy="3054350"/>
            <wp:effectExtent l="0" t="0" r="7620" b="1270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5250180" cy="3054350"/>
                    </a:xfrm>
                    <a:prstGeom prst="rect">
                      <a:avLst/>
                    </a:prstGeom>
                    <a:noFill/>
                    <a:ln w="9525">
                      <a:noFill/>
                    </a:ln>
                  </pic:spPr>
                </pic:pic>
              </a:graphicData>
            </a:graphic>
          </wp:anchor>
        </w:drawing>
      </w:r>
      <w:r>
        <w:rPr>
          <w:rFonts w:ascii="Times New Roman" w:hAnsi="Times New Roman" w:eastAsia="方正仿宋_GBK"/>
          <w:sz w:val="32"/>
          <w:szCs w:val="32"/>
          <w:shd w:val="clear" w:color="auto" w:fill="FFFFFF"/>
        </w:rPr>
        <w:t xml:space="preserve"> </w:t>
      </w:r>
      <w:r>
        <w:rPr>
          <w:rFonts w:ascii="Times New Roman" w:hAnsi="Times New Roman"/>
        </w:rPr>
        <w:drawing>
          <wp:inline distT="0" distB="0" distL="114300" distR="114300">
            <wp:extent cx="5257165" cy="2933700"/>
            <wp:effectExtent l="0" t="0" r="635"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5257165" cy="2933700"/>
                    </a:xfrm>
                    <a:prstGeom prst="rect">
                      <a:avLst/>
                    </a:prstGeom>
                    <a:noFill/>
                    <a:ln w="9525">
                      <a:noFill/>
                    </a:ln>
                  </pic:spPr>
                </pic:pic>
              </a:graphicData>
            </a:graphic>
          </wp:inline>
        </w:drawing>
      </w: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p>
    <w:p>
      <w:pPr>
        <w:pStyle w:val="11"/>
        <w:autoSpaceDE w:val="0"/>
        <w:spacing w:line="594" w:lineRule="exact"/>
        <w:ind w:firstLine="0" w:firstLineChars="0"/>
        <w:rPr>
          <w:rFonts w:ascii="Times New Roman" w:hAnsi="Times New Roman" w:eastAsia="楷体"/>
          <w:b/>
          <w:bCs/>
          <w:sz w:val="32"/>
          <w:szCs w:val="32"/>
          <w:shd w:val="clear" w:color="auto" w:fill="FFFFFF"/>
        </w:rPr>
      </w:pP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rPr>
        <w:t>单位</w:t>
      </w:r>
      <w:r>
        <w:rPr>
          <w:rFonts w:ascii="Times New Roman" w:hAnsi="Times New Roman" w:eastAsia="楷体"/>
          <w:b/>
          <w:bCs/>
          <w:sz w:val="32"/>
          <w:szCs w:val="32"/>
          <w:shd w:val="clear" w:color="auto" w:fill="FFFFFF"/>
        </w:rPr>
        <w:t>绩效评价情况</w:t>
      </w:r>
    </w:p>
    <w:p>
      <w:pPr>
        <w:pStyle w:val="11"/>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w:t>
      </w:r>
      <w:r>
        <w:rPr>
          <w:rFonts w:hint="eastAsia" w:ascii="Times New Roman" w:hAnsi="Times New Roman" w:eastAsia="方正仿宋_GBK"/>
          <w:sz w:val="32"/>
          <w:szCs w:val="32"/>
          <w:shd w:val="clear" w:color="auto" w:fill="FFFFFF"/>
        </w:rPr>
        <w:t>单位</w:t>
      </w:r>
      <w:r>
        <w:rPr>
          <w:rFonts w:ascii="Times New Roman" w:hAnsi="Times New Roman" w:eastAsia="方正仿宋_GBK"/>
          <w:sz w:val="32"/>
          <w:szCs w:val="32"/>
          <w:shd w:val="clear" w:color="auto" w:fill="FFFFFF"/>
        </w:rPr>
        <w:t>未组织开展绩效评价。</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pPr>
        <w:pStyle w:val="11"/>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w:t>
      </w:r>
      <w:r>
        <w:rPr>
          <w:rFonts w:hint="eastAsia" w:ascii="Times New Roman" w:hAnsi="Times New Roman" w:eastAsia="方正仿宋_GBK"/>
          <w:sz w:val="32"/>
          <w:szCs w:val="32"/>
          <w:shd w:val="clear" w:color="auto" w:fill="FFFFFF"/>
        </w:rPr>
        <w:t>单位</w:t>
      </w:r>
      <w:r>
        <w:rPr>
          <w:rFonts w:ascii="Times New Roman" w:hAnsi="Times New Roman" w:eastAsia="方正仿宋_GBK"/>
          <w:sz w:val="32"/>
          <w:szCs w:val="32"/>
          <w:shd w:val="clear" w:color="auto" w:fill="FFFFFF"/>
        </w:rPr>
        <w:t>开展绩效评价。</w:t>
      </w:r>
    </w:p>
    <w:p>
      <w:pPr>
        <w:pStyle w:val="6"/>
        <w:shd w:val="clear" w:color="auto" w:fill="FFFFFF"/>
        <w:spacing w:before="0" w:beforeAutospacing="0" w:after="0" w:afterAutospacing="0" w:line="594" w:lineRule="exact"/>
        <w:ind w:firstLine="643" w:firstLineChars="200"/>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hint="default" w:ascii="Times New Roman" w:hAnsi="Times New Roman" w:eastAsia="黑体"/>
          <w:sz w:val="32"/>
          <w:szCs w:val="32"/>
          <w:shd w:val="clear" w:color="auto" w:fill="FFFFFF"/>
        </w:rPr>
        <w:t>六、专业名词解释</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w:t>
      </w: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其他收入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；公用经费指政府收支分类经济科目中除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外的其他支出。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（十二）</w:t>
      </w:r>
      <w:r>
        <w:rPr>
          <w:rStyle w:val="10"/>
          <w:rFonts w:hint="eastAsia" w:ascii="Times New Roman" w:hAnsi="Times New Roman" w:eastAsia="楷体"/>
          <w:sz w:val="32"/>
          <w:szCs w:val="32"/>
          <w:shd w:val="clear" w:color="auto" w:fill="FFFFFF"/>
          <w:lang w:eastAsia="zh-CN"/>
        </w:rPr>
        <w:t>三公</w:t>
      </w:r>
      <w:r>
        <w:rPr>
          <w:rStyle w:val="10"/>
          <w:rFonts w:hint="default" w:ascii="Times New Roman" w:hAnsi="Times New Roman" w:eastAsia="楷体"/>
          <w:sz w:val="32"/>
          <w:szCs w:val="32"/>
          <w:shd w:val="clear" w:color="auto" w:fill="FFFFFF"/>
        </w:rPr>
        <w:t>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hint="default" w:ascii="Times New Roman" w:hAnsi="Times New Roman" w:eastAsia="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本单位决算公开信息反馈和联系方式：高老师 023-85650041</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中国共产党垫江县委员会统战部（本级）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481.39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中国共产党垫江县委员会统战部（本级）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481.39</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481.39</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宗教事务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中国共产党垫江县委员会统战部（本级）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481.39</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359.79</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121.60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254.28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宗教事务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中国共产党垫江县委员会统战部（本级）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中国共产党垫江县委员会统战部（本级）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481.39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359.79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宗教事务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73.19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73.19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73.19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中国共产党垫江县委员会统战部（本级）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287.24</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中国共产党垫江县委员会统战部（本级）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中国共产党垫江县委员会统战部（本级）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中国共产党垫江县委员会统战部（本级）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72.55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72.55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A3AF2"/>
    <w:rsid w:val="001D3BB7"/>
    <w:rsid w:val="00295A3A"/>
    <w:rsid w:val="002B254B"/>
    <w:rsid w:val="0034050A"/>
    <w:rsid w:val="0044504F"/>
    <w:rsid w:val="00466C9B"/>
    <w:rsid w:val="00486CFC"/>
    <w:rsid w:val="00491DDD"/>
    <w:rsid w:val="00550ABE"/>
    <w:rsid w:val="00623A85"/>
    <w:rsid w:val="00770383"/>
    <w:rsid w:val="007819D4"/>
    <w:rsid w:val="00787162"/>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D56F98"/>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2A60E0F"/>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223B1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10245</Words>
  <Characters>13148</Characters>
  <Lines>115</Lines>
  <Paragraphs>32</Paragraphs>
  <TotalTime>12</TotalTime>
  <ScaleCrop>false</ScaleCrop>
  <LinksUpToDate>false</LinksUpToDate>
  <CharactersWithSpaces>14307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2025-09-16T06:13:57Z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