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垫江县统一战线服务中心</w:t>
      </w:r>
      <w:r>
        <w:rPr>
          <w:rFonts w:hint="default" w:ascii="Times New Roman" w:hAnsi="Times New Roman" w:eastAsia="方正小标宋_GBK"/>
          <w:sz w:val="44"/>
          <w:szCs w:val="44"/>
          <w:shd w:val="clear" w:color="auto" w:fill="FFFFFF"/>
        </w:rPr>
        <w:t>2024年度决算</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公开说明</w:t>
      </w:r>
    </w:p>
    <w:p>
      <w:pPr>
        <w:pStyle w:val="6"/>
        <w:spacing w:before="0" w:beforeAutospacing="0" w:after="0" w:afterAutospacing="0" w:line="594" w:lineRule="exact"/>
        <w:jc w:val="center"/>
        <w:rPr>
          <w:rFonts w:hint="default" w:ascii="Times New Roman" w:hAnsi="Times New Roman" w:eastAsia="方正小标宋_GBK"/>
          <w:sz w:val="44"/>
          <w:szCs w:val="44"/>
          <w:shd w:val="clear" w:color="auto" w:fill="FFFFFF"/>
        </w:rPr>
      </w:pPr>
    </w:p>
    <w:p>
      <w:pPr>
        <w:pStyle w:val="6"/>
        <w:shd w:val="clear" w:color="auto" w:fill="FFFFFF"/>
        <w:spacing w:beforeAutospacing="0" w:after="0" w:afterAutospacing="0" w:line="594" w:lineRule="exact"/>
        <w:ind w:firstLine="643" w:firstLineChars="200"/>
        <w:rPr>
          <w:rFonts w:hint="default" w:ascii="Times New Roman" w:hAnsi="Times New Roman" w:eastAsia="黑体"/>
          <w:sz w:val="32"/>
          <w:szCs w:val="32"/>
        </w:rPr>
      </w:pPr>
      <w:r>
        <w:rPr>
          <w:rStyle w:val="10"/>
          <w:rFonts w:hint="default" w:ascii="Times New Roman" w:hAnsi="Times New Roman" w:eastAsia="黑体"/>
          <w:sz w:val="32"/>
          <w:szCs w:val="32"/>
          <w:shd w:val="clear" w:color="auto" w:fill="FFFFFF"/>
        </w:rPr>
        <w:t>一、</w:t>
      </w:r>
      <w:r>
        <w:rPr>
          <w:rStyle w:val="10"/>
          <w:rFonts w:ascii="Times New Roman" w:hAnsi="Times New Roman" w:eastAsia="黑体"/>
          <w:sz w:val="32"/>
          <w:szCs w:val="32"/>
          <w:shd w:val="clear" w:color="auto" w:fill="FFFFFF"/>
        </w:rPr>
        <w:t>单位</w:t>
      </w:r>
      <w:r>
        <w:rPr>
          <w:rStyle w:val="10"/>
          <w:rFonts w:hint="default" w:ascii="Times New Roman" w:hAnsi="Times New Roman" w:eastAsia="黑体"/>
          <w:sz w:val="32"/>
          <w:szCs w:val="32"/>
          <w:shd w:val="clear" w:color="auto" w:fill="FFFFFF"/>
        </w:rPr>
        <w:t>基本情况</w:t>
      </w:r>
    </w:p>
    <w:p>
      <w:pPr>
        <w:pStyle w:val="6"/>
        <w:shd w:val="clear" w:color="auto" w:fill="FFFFFF"/>
        <w:spacing w:beforeAutospacing="0" w:after="0" w:afterAutospacing="0" w:line="594" w:lineRule="exact"/>
        <w:ind w:firstLine="420"/>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（一）职能职责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1.承担统一战线理论课题研究。</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2.协助联系各界代表人士反映意见和建议。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3.协助做好民族宗教工作。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4.做好香港、澳门和海外有关社团及代表人士和台胞、台属的服务工作。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5.做好经济统战中的项目服务工作。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6.调查了解党外知识分子的情况、反映动态。</w:t>
      </w:r>
    </w:p>
    <w:p>
      <w:pPr>
        <w:pStyle w:val="6"/>
        <w:shd w:val="clear" w:color="auto" w:fill="FFFFFF"/>
        <w:spacing w:beforeAutospacing="0" w:after="0" w:afterAutospacing="0" w:line="594" w:lineRule="exact"/>
        <w:ind w:firstLine="42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olor w:val="FF0000"/>
          <w:sz w:val="32"/>
          <w:szCs w:val="32"/>
          <w:shd w:val="clear" w:color="auto" w:fill="FFFFFF"/>
        </w:rPr>
        <w:t>.</w:t>
      </w:r>
      <w:r>
        <w:rPr>
          <w:rFonts w:ascii="Times New Roman" w:hAnsi="Times New Roman" w:eastAsia="方正仿宋_GBK"/>
          <w:sz w:val="32"/>
          <w:szCs w:val="32"/>
        </w:rPr>
        <w:t>本单位</w:t>
      </w:r>
      <w:r>
        <w:rPr>
          <w:rFonts w:hint="default" w:ascii="Times New Roman" w:hAnsi="Times New Roman" w:eastAsia="方正仿宋_GBK"/>
          <w:sz w:val="32"/>
          <w:szCs w:val="32"/>
        </w:rPr>
        <w:t>内设机构2个（综合科、调研科），2024年末，实有在职人数8人。</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黑体"/>
          <w:sz w:val="32"/>
          <w:szCs w:val="32"/>
          <w:shd w:val="clear" w:color="auto" w:fill="FFFFFF"/>
        </w:rPr>
        <w:t>二、</w:t>
      </w:r>
      <w:r>
        <w:rPr>
          <w:rStyle w:val="10"/>
          <w:rFonts w:ascii="黑体" w:hAnsi="黑体" w:eastAsia="黑体" w:cs="黑体"/>
          <w:sz w:val="32"/>
          <w:szCs w:val="32"/>
          <w:shd w:val="clear" w:color="auto" w:fill="FFFFFF"/>
        </w:rPr>
        <w:t>单位决算收支情况说明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2024年度收入总计139.54万元，支出总计</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万元。收、支与2023年度相比，减少7.66万元，下降5.20%，主要原因是厉行过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2024年度收入合计139.54万元，与2023年度相比，减少7.66万元，下降5.20%，主要原因是厉行过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原则，勤俭节约，减少开支。其中：财政拨款收入</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万元，与2023年度相比，减少7.66万元，下降5.20%，主要原因是厉行过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原则，勤俭节约，减少开支。其中：基本支出</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本年度和上年度均无结转结余。</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2024年度财政拨款收、支总计139.54万元。与2023年相比，财政拨款收、支总计各减少7.66万元，下降5.20%。主要原因是厉行过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万元，与2023年度相比，减少7.66万元，下降5.20%。主要原因是厉行过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原则，勤俭节约，减少开支。较年初预算数增加7.48万元，增长5.66%。主要原因是新入职人员</w:t>
      </w:r>
      <w:r>
        <w:rPr>
          <w:rFonts w:ascii="Times New Roman" w:hAnsi="Times New Roman" w:eastAsia="方正仿宋_GBK"/>
          <w:sz w:val="32"/>
          <w:szCs w:val="32"/>
          <w:shd w:val="clear" w:color="auto" w:fill="FFFFFF"/>
        </w:rPr>
        <w:t>1名</w:t>
      </w:r>
      <w:r>
        <w:rPr>
          <w:rFonts w:hint="default" w:ascii="Times New Roman" w:hAnsi="Times New Roman" w:eastAsia="方正仿宋_GBK"/>
          <w:sz w:val="32"/>
          <w:szCs w:val="32"/>
          <w:shd w:val="clear" w:color="auto" w:fill="FFFFFF"/>
        </w:rPr>
        <w:t>未作年初预算。此外，年初财政拨款结转和结余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万元，与2023年度相比，减少7.66万元，下降5.20%。主要原因是厉行过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原则，勤俭节约，减少开支。较年初预算数增加7.48万元，增长5.66%。主要原因是新入职人员1名未作年初预算。</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本年度和上年度均无结转结余。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97.03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69.54</w:t>
      </w:r>
      <w:r>
        <w:rPr>
          <w:rFonts w:hint="default" w:ascii="Times New Roman" w:hAnsi="Times New Roman" w:eastAsia="方正仿宋_GBK"/>
          <w:sz w:val="32"/>
          <w:szCs w:val="32"/>
          <w:shd w:val="clear" w:color="auto" w:fill="FFFFFF"/>
        </w:rPr>
        <w:t>%，较年初预算数减少10.98万元，下降10.17%，主要原因是厉行过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28.05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20.10</w:t>
      </w:r>
      <w:r>
        <w:rPr>
          <w:rFonts w:hint="default" w:ascii="Times New Roman" w:hAnsi="Times New Roman" w:eastAsia="方正仿宋_GBK"/>
          <w:sz w:val="32"/>
          <w:szCs w:val="32"/>
          <w:shd w:val="clear" w:color="auto" w:fill="FFFFFF"/>
        </w:rPr>
        <w:t>%，较年初预算数增加15.71万元，增长127.31%，主要原因是社会保障缴费基数调整以及新入职人员1名未作年初预算。</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4.53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3.25</w:t>
      </w:r>
      <w:r>
        <w:rPr>
          <w:rFonts w:hint="default" w:ascii="Times New Roman" w:hAnsi="Times New Roman" w:eastAsia="方正仿宋_GBK"/>
          <w:sz w:val="32"/>
          <w:szCs w:val="32"/>
          <w:shd w:val="clear" w:color="auto" w:fill="FFFFFF"/>
        </w:rPr>
        <w:t>%，较年初预算数减少0.61万元，下降11.87%，主要原因是年初预算人员</w:t>
      </w:r>
      <w:r>
        <w:rPr>
          <w:rFonts w:ascii="Times New Roman" w:hAnsi="Times New Roman" w:eastAsia="方正仿宋_GBK"/>
          <w:sz w:val="32"/>
          <w:szCs w:val="32"/>
          <w:shd w:val="clear" w:color="auto" w:fill="FFFFFF"/>
        </w:rPr>
        <w:t>调出</w:t>
      </w:r>
      <w:r>
        <w:rPr>
          <w:rFonts w:hint="default" w:ascii="Times New Roman" w:hAnsi="Times New Roman" w:eastAsia="方正仿宋_GBK"/>
          <w:sz w:val="32"/>
          <w:szCs w:val="32"/>
          <w:shd w:val="clear" w:color="auto" w:fill="FFFFFF"/>
        </w:rPr>
        <w:t>1名。</w:t>
      </w:r>
    </w:p>
    <w:p>
      <w:pPr>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住房保障支出9.94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7.12</w:t>
      </w:r>
      <w:r>
        <w:rPr>
          <w:rFonts w:hint="default" w:ascii="Times New Roman" w:hAnsi="Times New Roman" w:eastAsia="方正仿宋_GBK"/>
          <w:sz w:val="32"/>
          <w:szCs w:val="32"/>
          <w:shd w:val="clear" w:color="auto" w:fill="FFFFFF"/>
        </w:rPr>
        <w:t>%，较年初预算数增加3.77万元，增长61.10%，主要原因是缴费基数调整。</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139.54</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127.99</w:t>
      </w:r>
      <w:r>
        <w:rPr>
          <w:rFonts w:hint="default" w:ascii="Times New Roman" w:hAnsi="Times New Roman" w:eastAsia="方正仿宋_GBK"/>
          <w:sz w:val="32"/>
          <w:szCs w:val="32"/>
          <w:shd w:val="clear" w:color="auto" w:fill="FFFFFF"/>
        </w:rPr>
        <w:t>万元，与2023年度相比，减少2.24万元，下降1.72%，主要原因是人员</w:t>
      </w:r>
      <w:r>
        <w:rPr>
          <w:rFonts w:ascii="Times New Roman" w:hAnsi="Times New Roman" w:eastAsia="方正仿宋_GBK"/>
          <w:sz w:val="32"/>
          <w:szCs w:val="32"/>
          <w:shd w:val="clear" w:color="auto" w:fill="FFFFFF"/>
        </w:rPr>
        <w:t>调出</w:t>
      </w:r>
      <w:r>
        <w:rPr>
          <w:rFonts w:hint="default" w:ascii="Times New Roman" w:hAnsi="Times New Roman" w:eastAsia="方正仿宋_GBK"/>
          <w:sz w:val="32"/>
          <w:szCs w:val="32"/>
          <w:shd w:val="clear" w:color="auto" w:fill="FFFFFF"/>
        </w:rPr>
        <w:t>1名。人员经费用途主要包括</w:t>
      </w:r>
      <w:r>
        <w:rPr>
          <w:rFonts w:hint="default" w:ascii="Times New Roman" w:hAnsi="Times New Roman" w:eastAsia="方正仿宋_GBK"/>
          <w:bCs/>
          <w:sz w:val="32"/>
          <w:szCs w:val="32"/>
        </w:rPr>
        <w:t>工资福利支出。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11.55</w:t>
      </w:r>
      <w:r>
        <w:rPr>
          <w:rFonts w:hint="default" w:ascii="Times New Roman" w:hAnsi="Times New Roman" w:eastAsia="方正仿宋_GBK"/>
          <w:sz w:val="32"/>
          <w:szCs w:val="32"/>
          <w:shd w:val="clear" w:color="auto" w:fill="FFFFFF"/>
        </w:rPr>
        <w:t>万元，与2023年度相比，减少5.42万元，下降31.94%，主要原因是厉行过</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紧日子</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原则，勤俭节约，减少开支。公用经费用途主要包括</w:t>
      </w:r>
      <w:r>
        <w:rPr>
          <w:rFonts w:hint="default" w:ascii="Times New Roman" w:hAnsi="Times New Roman" w:eastAsia="方正仿宋_GBK"/>
          <w:bCs/>
          <w:sz w:val="32"/>
          <w:szCs w:val="32"/>
        </w:rPr>
        <w:t>办公费、邮电费、培训费、差旅费、工会经费等。</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w:t>
      </w:r>
      <w:bookmarkStart w:id="0" w:name="_GoBack"/>
      <w:bookmarkEnd w:id="0"/>
      <w:r>
        <w:rPr>
          <w:rFonts w:hint="default" w:ascii="Times New Roman" w:hAnsi="Times New Roman" w:eastAsia="方正仿宋_GBK" w:cs="Times New Roman"/>
          <w:sz w:val="32"/>
          <w:szCs w:val="32"/>
          <w:shd w:val="clear" w:color="auto" w:fill="FFFFFF"/>
        </w:rPr>
        <w:t>本年度无政府性基金预算财政拨款支出。本单位2024年度无政府性基金预算财政拨</w:t>
      </w:r>
      <w:r>
        <w:rPr>
          <w:rFonts w:ascii="Times New Roman" w:hAnsi="Times New Roman" w:eastAsia="方正仿宋_GBK"/>
          <w:color w:val="000000" w:themeColor="text1"/>
          <w:sz w:val="32"/>
          <w:szCs w:val="32"/>
          <w:shd w:val="clear" w:color="auto" w:fill="FFFFFF"/>
        </w:rPr>
        <w:t>款收支。</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bCs/>
          <w:sz w:val="32"/>
          <w:szCs w:val="32"/>
        </w:rPr>
        <w:t> </w:t>
      </w: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本年支出0.00万元，基本支出0.00万元，项目支出0.00万元。本单位2024年度无国有资本经营预算财政拨款支出。</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w:t>
      </w:r>
      <w:r>
        <w:rPr>
          <w:rStyle w:val="10"/>
          <w:rFonts w:ascii="黑体" w:hAnsi="黑体" w:eastAsia="黑体" w:cs="黑体"/>
          <w:sz w:val="32"/>
          <w:szCs w:val="32"/>
          <w:shd w:val="clear" w:color="auto" w:fill="FFFFFF"/>
        </w:rPr>
        <w:t>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经费支出共计0.00万元，较年初预算数无增减，主要原因是我单位2024年未发生</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经费支出。较上年支出数无增减，主</w:t>
      </w:r>
      <w:r>
        <w:rPr>
          <w:rFonts w:ascii="方正仿宋_GBK" w:hAnsi="方正仿宋_GBK" w:eastAsia="方正仿宋_GBK" w:cs="方正仿宋_GBK"/>
          <w:sz w:val="32"/>
          <w:szCs w:val="32"/>
          <w:shd w:val="clear" w:color="auto" w:fill="FFFFFF"/>
        </w:rPr>
        <w:t>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2024年度本单位因公出国（境）费用0.00万元。费用</w:t>
      </w:r>
      <w:r>
        <w:rPr>
          <w:rFonts w:ascii="方正仿宋_GBK" w:hAnsi="方正仿宋_GBK" w:eastAsia="方正仿宋_GBK" w:cs="方正仿宋_GBK"/>
          <w:sz w:val="32"/>
          <w:szCs w:val="32"/>
          <w:shd w:val="clear" w:color="auto" w:fill="FFFFFF"/>
        </w:rPr>
        <w:t>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 公务车购置费0.00万元。费用支出较年初预算数无增减，主要原因是年初预算未</w:t>
      </w:r>
      <w:r>
        <w:rPr>
          <w:rFonts w:ascii="方正仿宋_GBK" w:hAnsi="方正仿宋_GBK" w:eastAsia="方正仿宋_GBK" w:cs="方正仿宋_GBK"/>
          <w:sz w:val="32"/>
          <w:szCs w:val="32"/>
          <w:shd w:val="clear" w:color="auto" w:fill="FFFFFF"/>
        </w:rPr>
        <w:t>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公务车运行维护费0.00万元。费用支出较年初预算数无增减，主要原因是年初预算未安排且</w:t>
      </w:r>
      <w:r>
        <w:rPr>
          <w:rFonts w:ascii="方正仿宋_GBK" w:hAnsi="方正仿宋_GBK" w:eastAsia="方正仿宋_GBK" w:cs="方正仿宋_GBK"/>
          <w:sz w:val="32"/>
          <w:szCs w:val="32"/>
          <w:shd w:val="clear" w:color="auto" w:fill="FFFFFF"/>
        </w:rPr>
        <w:t>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s="Times New Roman"/>
          <w:sz w:val="32"/>
          <w:szCs w:val="32"/>
          <w:shd w:val="clear" w:color="auto" w:fill="FFFFFF"/>
        </w:rPr>
        <w:t>公务接待费0.00万元。费用</w:t>
      </w:r>
      <w:r>
        <w:rPr>
          <w:rFonts w:ascii="方正仿宋_GBK" w:hAnsi="方正仿宋_GBK" w:eastAsia="方正仿宋_GBK" w:cs="方正仿宋_GBK"/>
          <w:sz w:val="32"/>
          <w:szCs w:val="32"/>
          <w:shd w:val="clear" w:color="auto" w:fill="FFFFFF"/>
        </w:rPr>
        <w:t>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万元，与2023年度相比，无增减，主要原因是本年度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无会议。本年度培训费支出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万元，与2023年度相比，无变化，主要原因是本年度</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无培训。</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2024年度本单位机关运行经费支出0.00万元，机关运行经费较上年支出数无增减，主要原因是按照部门</w:t>
      </w:r>
      <w:r>
        <w:rPr>
          <w:rFonts w:ascii="方正仿宋_GBK" w:eastAsia="方正仿宋_GBK"/>
          <w:bCs/>
          <w:sz w:val="32"/>
          <w:szCs w:val="32"/>
        </w:rPr>
        <w:t>决算列报口径，我单位不在机关运行经费统计范围之内。</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截至2024年12月31日，</w:t>
      </w: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11"/>
        <w:autoSpaceDE w:val="0"/>
        <w:spacing w:line="594"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部门政府采购支出总额0.00万元，其中：政府采购货物支出0.00万元、政府采购工程支出0.00万元、政府采购服务支出0.00万元。授予中小企业合同金额0.00万元，占政府采购支出总额的0.0%，其中：授予小微企业合同金额0.00万元，占政府采购支出总额的0 .0%。2024年度我部门未发生政府采购事项，无相关经费支出。</w:t>
      </w:r>
    </w:p>
    <w:p>
      <w:pPr>
        <w:pStyle w:val="6"/>
        <w:shd w:val="clear" w:color="auto" w:fill="FFFFFF"/>
        <w:spacing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hint="default" w:ascii="Times New Roman" w:hAnsi="Times New Roman" w:eastAsia="黑体"/>
          <w:sz w:val="32"/>
          <w:szCs w:val="32"/>
          <w:shd w:val="clear" w:color="auto" w:fill="FFFFFF"/>
        </w:rPr>
        <w:t>五、</w:t>
      </w:r>
      <w:r>
        <w:rPr>
          <w:rStyle w:val="10"/>
          <w:rFonts w:ascii="黑体" w:hAnsi="黑体" w:eastAsia="黑体" w:cs="黑体"/>
          <w:sz w:val="32"/>
          <w:szCs w:val="32"/>
          <w:shd w:val="clear" w:color="auto" w:fill="FFFFFF"/>
        </w:rPr>
        <w:t>2024年度预算绩效管理情况说明</w:t>
      </w:r>
    </w:p>
    <w:p>
      <w:pPr>
        <w:pStyle w:val="6"/>
        <w:shd w:val="clear" w:color="auto" w:fill="FFFFFF"/>
        <w:spacing w:beforeAutospacing="0" w:after="0" w:afterAutospacing="0" w:line="594" w:lineRule="exact"/>
        <w:ind w:firstLine="643" w:firstLineChars="200"/>
        <w:rPr>
          <w:rFonts w:hint="default"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1"/>
        <w:autoSpaceDE w:val="0"/>
        <w:spacing w:line="594" w:lineRule="exact"/>
        <w:ind w:firstLine="640"/>
        <w:rPr>
          <w:rFonts w:ascii="方正仿宋_GBK" w:hAnsi="方正仿宋_GBK" w:eastAsia="方正仿宋_GBK" w:cs="方正仿宋_GBK"/>
          <w:color w:val="333333"/>
          <w:sz w:val="32"/>
          <w:szCs w:val="32"/>
          <w:shd w:val="clear" w:color="auto" w:fill="FFFFFF"/>
        </w:rPr>
      </w:pPr>
      <w:r>
        <w:rPr>
          <w:rFonts w:ascii="Times New Roman" w:hAnsi="Times New Roman"/>
          <w:color w:val="333333"/>
          <w:sz w:val="32"/>
          <w:szCs w:val="32"/>
          <w:shd w:val="clear" w:color="auto" w:fill="FFFFFF"/>
        </w:rPr>
        <w:t>202</w:t>
      </w:r>
      <w:r>
        <w:rPr>
          <w:rFonts w:hint="eastAsia" w:ascii="Times New Roman" w:hAnsi="Times New Roman"/>
          <w:color w:val="333333"/>
          <w:sz w:val="32"/>
          <w:szCs w:val="32"/>
          <w:shd w:val="clear" w:color="auto" w:fill="FFFFFF"/>
        </w:rPr>
        <w:t>4</w:t>
      </w:r>
      <w:r>
        <w:rPr>
          <w:rFonts w:ascii="方正仿宋_GBK" w:hAnsi="方正仿宋_GBK" w:eastAsia="方正仿宋_GBK" w:cs="方正仿宋_GBK"/>
          <w:color w:val="333333"/>
          <w:sz w:val="32"/>
          <w:szCs w:val="32"/>
          <w:shd w:val="clear" w:color="auto" w:fill="FFFFFF"/>
        </w:rPr>
        <w:t>年度我单位无项目支出，故无绩效自评。</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（二）部门绩效评价情况</w:t>
      </w:r>
    </w:p>
    <w:p>
      <w:pPr>
        <w:pStyle w:val="11"/>
        <w:autoSpaceDE w:val="0"/>
        <w:spacing w:line="594" w:lineRule="exact"/>
        <w:ind w:firstLine="640"/>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我</w:t>
      </w:r>
      <w:r>
        <w:rPr>
          <w:rFonts w:hint="eastAsia" w:ascii="Times New Roman" w:hAnsi="Times New Roman" w:eastAsia="方正仿宋_GBK"/>
          <w:bCs/>
          <w:sz w:val="32"/>
          <w:szCs w:val="32"/>
          <w:shd w:val="clear" w:color="auto" w:fill="FFFFFF"/>
        </w:rPr>
        <w:t>单位</w:t>
      </w:r>
      <w:r>
        <w:rPr>
          <w:rFonts w:ascii="Times New Roman" w:hAnsi="Times New Roman" w:eastAsia="方正仿宋_GBK"/>
          <w:bCs/>
          <w:sz w:val="32"/>
          <w:szCs w:val="32"/>
          <w:shd w:val="clear" w:color="auto" w:fill="FFFFFF"/>
        </w:rPr>
        <w:t>未组织开展绩效评价。</w:t>
      </w:r>
    </w:p>
    <w:p>
      <w:pPr>
        <w:pStyle w:val="11"/>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pPr>
        <w:pStyle w:val="11"/>
        <w:autoSpaceDE w:val="0"/>
        <w:spacing w:line="594" w:lineRule="exact"/>
        <w:ind w:firstLine="640"/>
        <w:rPr>
          <w:rFonts w:ascii="Times New Roman"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县财政局未委托第三方对我</w:t>
      </w:r>
      <w:r>
        <w:rPr>
          <w:rFonts w:hint="eastAsia" w:ascii="Times New Roman" w:hAnsi="Times New Roman" w:eastAsia="方正仿宋_GBK"/>
          <w:bCs/>
          <w:sz w:val="32"/>
          <w:szCs w:val="32"/>
          <w:shd w:val="clear" w:color="auto" w:fill="FFFFFF"/>
        </w:rPr>
        <w:t>单位</w:t>
      </w:r>
      <w:r>
        <w:rPr>
          <w:rFonts w:ascii="Times New Roman" w:hAnsi="Times New Roman" w:eastAsia="方正仿宋_GBK"/>
          <w:bCs/>
          <w:sz w:val="32"/>
          <w:szCs w:val="32"/>
          <w:shd w:val="clear" w:color="auto" w:fill="FFFFFF"/>
        </w:rPr>
        <w:t>开展绩效评价。</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六、专业名词解释</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外的其他支出。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（十二）</w:t>
      </w:r>
      <w:r>
        <w:rPr>
          <w:rStyle w:val="10"/>
          <w:rFonts w:hint="eastAsia" w:ascii="Times New Roman" w:hAnsi="Times New Roman" w:eastAsia="楷体"/>
          <w:sz w:val="32"/>
          <w:szCs w:val="32"/>
          <w:shd w:val="clear" w:color="auto" w:fill="FFFFFF"/>
          <w:lang w:eastAsia="zh-CN"/>
        </w:rPr>
        <w:t>三公</w:t>
      </w:r>
      <w:r>
        <w:rPr>
          <w:rStyle w:val="10"/>
          <w:rFonts w:hint="default" w:ascii="Times New Roman" w:hAnsi="Times New Roman" w:eastAsia="楷体"/>
          <w:sz w:val="32"/>
          <w:szCs w:val="32"/>
          <w:shd w:val="clear" w:color="auto" w:fill="FFFFFF"/>
        </w:rPr>
        <w:t>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line="594" w:lineRule="exact"/>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 xml:space="preserve">  </w:t>
      </w:r>
      <w:r>
        <w:rPr>
          <w:rStyle w:val="10"/>
          <w:rFonts w:hint="default" w:ascii="Times New Roman" w:hAnsi="Times New Roman" w:eastAsia="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本单位决算公开信息反馈和联系方式：高老师 023-85650041</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垫江县统一战线服务中心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垫江县统一战线服务中心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垫江县统一战线服务中心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垫江县统一战线服务中心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垫江县统一战线服务中心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139.54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垫江县统一战线服务中心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127.99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垫江县统一战线服务中心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垫江县统一战线服务中心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垫江县统一战线服务中心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F7CAB"/>
    <w:rsid w:val="00984C6A"/>
    <w:rsid w:val="00994AF7"/>
    <w:rsid w:val="009B67B8"/>
    <w:rsid w:val="009C14C9"/>
    <w:rsid w:val="009D2B67"/>
    <w:rsid w:val="009E1452"/>
    <w:rsid w:val="00A566F9"/>
    <w:rsid w:val="00AF04D6"/>
    <w:rsid w:val="00AF2751"/>
    <w:rsid w:val="00B03CCD"/>
    <w:rsid w:val="00B92600"/>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AC03D4"/>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90B18F7"/>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8130</Words>
  <Characters>10123</Characters>
  <Lines>91</Lines>
  <Paragraphs>25</Paragraphs>
  <TotalTime>1</TotalTime>
  <ScaleCrop>false</ScaleCrop>
  <LinksUpToDate>false</LinksUpToDate>
  <CharactersWithSpaces>11124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2025-09-16T06:18:01Z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