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垫江县残疾人联合会</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1、坚持党的领导。坚决贯彻党的意志和主张，坚定不移走中国特色社会主义残联发展道路，切实增强残联组织的政治性、先进性、群众性，汇聚全县广大残疾人推进社会主义现代化建设的强大合力。</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2、加强对广大残疾人的政治引领和思想引导。切实承担引导广大残疾人听党话、跟党走的政治任务，把残疾人最广泛最紧密地团结在党的周围，坚定不移走中国特色社会主义残疾人事业发展道路。</w:t>
      </w:r>
    </w:p>
    <w:p>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rPr>
        <w:t>3、依法依章程独立自主开展工作。按照县委和市残联的要求，指导</w:t>
      </w:r>
      <w:r>
        <w:rPr>
          <w:rFonts w:ascii="方正仿宋_GBK" w:eastAsia="方正仿宋_GBK" w:cs="宋体"/>
          <w:sz w:val="32"/>
          <w:szCs w:val="32"/>
        </w:rPr>
        <w:t>全县各级残联按照《中国残疾人联合会章程》和残疾人代表大会的决议，开展残疾人工作，改善残疾人参与社会生活的环境和条件。</w:t>
      </w:r>
    </w:p>
    <w:p>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rPr>
        <w:t>4、团结动员广大残疾人干事创业。进一步激发残疾人自尊、自信、自强、自立精神，组织动员广大残疾人积极主动融入社会，围绕中心、服务大局，参与党委、政府各</w:t>
      </w:r>
      <w:r>
        <w:rPr>
          <w:rFonts w:ascii="方正仿宋_GBK" w:eastAsia="方正仿宋_GBK" w:cs="宋体"/>
          <w:sz w:val="32"/>
          <w:szCs w:val="32"/>
        </w:rPr>
        <w:t>项中心工作，让残疾人成为促进经济社会发展的一支重要力量。</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5、突出残联代表、服务、管理的职责。代表残疾人共同利益，代表广大残疾人参与相关法律法规和政策的制定。团结帮助残疾人，为残疾人服务，依法维护残疾人合法权益。履行法律赋予的职责，承担政府委托的任务，管理和发展残疾人事业。发挥民主参与和社</w:t>
      </w:r>
      <w:r>
        <w:rPr>
          <w:rFonts w:ascii="方正仿宋_GBK" w:hAnsi="方正仿宋_GBK" w:eastAsia="方正仿宋_GBK" w:cs="方正仿宋_GBK"/>
          <w:sz w:val="32"/>
          <w:szCs w:val="32"/>
        </w:rPr>
        <w:t>会监督作用，积极代表和组织残疾人参与协商民主，有</w:t>
      </w:r>
      <w:r>
        <w:rPr>
          <w:rFonts w:ascii="方正仿宋_GBK" w:eastAsia="方正仿宋_GBK" w:cs="宋体"/>
          <w:sz w:val="32"/>
          <w:szCs w:val="32"/>
        </w:rPr>
        <w:t>序参与基层民主自治和企事业单位民主管理。</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eastAsia="方正仿宋_GBK" w:cs="宋体"/>
          <w:sz w:val="32"/>
          <w:szCs w:val="32"/>
        </w:rPr>
        <w:t>6、拓展残联的组织覆盖。适应人口流动、新兴群体发展等新情况，加强对乡</w:t>
      </w:r>
      <w:r>
        <w:rPr>
          <w:rFonts w:ascii="方正仿宋_GBK" w:hAnsi="方正仿宋_GBK" w:eastAsia="方正仿宋_GBK" w:cs="方正仿宋_GBK"/>
          <w:sz w:val="32"/>
          <w:szCs w:val="32"/>
        </w:rPr>
        <w:t>镇（街道）、村（社区）的残联组织覆盖，在特殊教育学校、残疾人服务机构、“两新”组织、福利企业等残疾人集中的领域，建立残联或残协，强化基层基础。充分发挥残疾人专门协会桥梁纽带作用，切实履行协会“代表、服务、维权”职责。</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拓展残联的工作覆盖。积极探索开展网上残疾人工作，大力发展以互联网为载体、线上线下互动的“互联网+残疾人服务”。打造残联“筑梦善行、残健共融”工作服务品牌，开展助行、助听、助视、助健、助居、助教、助保障、助就业、助维权、助精神提升等“十助”行动。优化残疾人服务体系，创新残联工作方式方法和工作评价机制。引导、培育、管理好助残社会组织。</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研究指导残联自身改革和建设。加强理论政策研究，开展全县持证残疾人基本状况调查工作，及时为县委、县政府决策提出建议。弘扬人道主义，宣传残疾人事业，动员社会理解、尊重、关心、帮助残疾人，消除歧视、偏见和障碍。表彰、宣传残疾人自强模范，培养推荐残疾人人才，开展残疾人培训。</w:t>
      </w:r>
    </w:p>
    <w:p>
      <w:pPr>
        <w:pStyle w:val="6"/>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9、完成县委、县政府交办的其他事项。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垫江县残疾人联合会是在县委、县政府领导下负责全县残疾人工作的群众团体，内设一科一室，即：办公室、业务科；下属全额拨款事业单位一个，即：垫江县残疾人服务总社。</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从预算单位构成看，纳入本部门2024年度决算编制的二级预算单位主要包括垫江县残疾人联合会（本级）和垫江县残疾人服务总社。</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2024年度收入总计1334.83万元，支出总计</w:t>
      </w:r>
      <w:r>
        <w:rPr>
          <w:rFonts w:ascii="方正仿宋_GBK" w:hAnsi="方正仿宋_GBK" w:eastAsia="方正仿宋_GBK" w:cs="方正仿宋_GBK"/>
          <w:sz w:val="32"/>
          <w:szCs w:val="32"/>
        </w:rPr>
        <w:t>1334.83</w:t>
      </w:r>
      <w:r>
        <w:rPr>
          <w:rFonts w:ascii="方正仿宋_GBK" w:hAnsi="方正仿宋_GBK" w:eastAsia="方正仿宋_GBK" w:cs="方正仿宋_GBK"/>
          <w:sz w:val="32"/>
          <w:szCs w:val="32"/>
          <w:shd w:val="clear" w:color="auto" w:fill="FFFFFF"/>
        </w:rPr>
        <w:t>万元。收、支与2023年度相比，减少149.23万元，下降10.1%，主要原因是</w:t>
      </w:r>
      <w:r>
        <w:rPr>
          <w:rFonts w:ascii="方正仿宋_GBK" w:hAnsi="方正仿宋_GBK" w:eastAsia="方正仿宋_GBK" w:cs="方正仿宋_GBK"/>
          <w:color w:val="333333"/>
          <w:sz w:val="32"/>
          <w:szCs w:val="32"/>
          <w:shd w:val="clear" w:color="auto" w:fill="FFFFFF"/>
        </w:rPr>
        <w:t>本年度残疾人事业发展经费减少，上级专项资金减少</w:t>
      </w:r>
      <w:r>
        <w:rPr>
          <w:rFonts w:ascii="方正仿宋_GBK" w:hAnsi="方正仿宋_GBK" w:eastAsia="方正仿宋_GBK" w:cs="方正仿宋_GBK"/>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2024年度收入合计1334.83万元，与2023年度相比，减少149.04万元，下降10.0%，主要原因是</w:t>
      </w:r>
      <w:r>
        <w:rPr>
          <w:rFonts w:ascii="方正仿宋_GBK" w:hAnsi="方正仿宋_GBK" w:eastAsia="方正仿宋_GBK" w:cs="方正仿宋_GBK"/>
          <w:color w:val="333333"/>
          <w:sz w:val="32"/>
          <w:szCs w:val="32"/>
          <w:shd w:val="clear" w:color="auto" w:fill="FFFFFF"/>
        </w:rPr>
        <w:t>本年度残疾人事业发展经费减少，收入减少。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1334.83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1334.83</w:t>
      </w:r>
      <w:r>
        <w:rPr>
          <w:rFonts w:ascii="方正仿宋_GBK" w:hAnsi="方正仿宋_GBK" w:eastAsia="方正仿宋_GBK" w:cs="方正仿宋_GBK"/>
          <w:sz w:val="32"/>
          <w:szCs w:val="32"/>
          <w:shd w:val="clear" w:color="auto" w:fill="FFFFFF"/>
        </w:rPr>
        <w:t>万元，与2023年度相比，减少149.23万元，下降10.1%，主要原因是</w:t>
      </w:r>
      <w:r>
        <w:rPr>
          <w:rFonts w:ascii="方正仿宋_GBK" w:hAnsi="方正仿宋_GBK" w:eastAsia="方正仿宋_GBK" w:cs="方正仿宋_GBK"/>
          <w:color w:val="333333"/>
          <w:sz w:val="32"/>
          <w:szCs w:val="32"/>
          <w:shd w:val="clear" w:color="auto" w:fill="FFFFFF"/>
        </w:rPr>
        <w:t>本年度残疾人事业发展经费减少，支出减少。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264.65</w:t>
      </w:r>
      <w:r>
        <w:rPr>
          <w:rFonts w:ascii="方正仿宋_GBK" w:hAnsi="方正仿宋_GBK" w:eastAsia="方正仿宋_GBK" w:cs="方正仿宋_GBK"/>
          <w:sz w:val="32"/>
          <w:szCs w:val="32"/>
          <w:shd w:val="clear" w:color="auto" w:fill="FFFFFF"/>
        </w:rPr>
        <w:t>万元，占19.8%；项目支出</w:t>
      </w:r>
      <w:r>
        <w:rPr>
          <w:rFonts w:ascii="方正仿宋_GBK" w:hAnsi="方正仿宋_GBK" w:eastAsia="方正仿宋_GBK" w:cs="方正仿宋_GBK"/>
          <w:sz w:val="32"/>
          <w:szCs w:val="32"/>
        </w:rPr>
        <w:t>1070.18</w:t>
      </w:r>
      <w:r>
        <w:rPr>
          <w:rFonts w:ascii="方正仿宋_GBK" w:hAnsi="方正仿宋_GBK" w:eastAsia="方正仿宋_GBK" w:cs="方正仿宋_GBK"/>
          <w:sz w:val="32"/>
          <w:szCs w:val="32"/>
          <w:shd w:val="clear" w:color="auto" w:fill="FFFFFF"/>
        </w:rPr>
        <w:t>万元，占80.2%；经营支出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widowControl w:val="0"/>
        <w:spacing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本年度残疾人事业发展经费及时支付</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与上年持平，</w:t>
      </w:r>
      <w:r>
        <w:rPr>
          <w:rFonts w:hint="default" w:ascii="方正仿宋_GBK" w:hAnsi="方正仿宋_GBK" w:eastAsia="方正仿宋_GBK" w:cs="方正仿宋_GBK"/>
          <w:sz w:val="32"/>
          <w:szCs w:val="32"/>
        </w:rPr>
        <w:t>无结转结余</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2024年度财政拨款收、支总计1334.83万元。与2023年相比，财政拨款收、支总计各减少149.23万元，下降10.1%。主要原因是</w:t>
      </w:r>
      <w:r>
        <w:rPr>
          <w:rFonts w:ascii="方正仿宋_GBK" w:hAnsi="方正仿宋_GBK" w:eastAsia="方正仿宋_GBK" w:cs="方正仿宋_GBK"/>
          <w:color w:val="333333"/>
          <w:sz w:val="32"/>
          <w:szCs w:val="32"/>
          <w:shd w:val="clear" w:color="auto" w:fill="FFFFFF"/>
        </w:rPr>
        <w:t>残疾人事业发展经费减少，上级专项资金减少</w:t>
      </w:r>
      <w:r>
        <w:rPr>
          <w:rFonts w:ascii="方正仿宋_GBK" w:hAnsi="方正仿宋_GBK" w:eastAsia="方正仿宋_GBK" w:cs="方正仿宋_GBK"/>
          <w:color w:val="333333"/>
          <w:kern w:val="2"/>
          <w:sz w:val="32"/>
          <w:szCs w:val="32"/>
          <w:shd w:val="clear" w:color="auto" w:fill="FFFFFF"/>
        </w:rPr>
        <w:t>，收</w:t>
      </w:r>
      <w:r>
        <w:rPr>
          <w:rFonts w:ascii="方正仿宋_GBK" w:hAnsi="方正仿宋_GBK" w:eastAsia="方正仿宋_GBK" w:cs="方正仿宋_GBK"/>
          <w:color w:val="333333"/>
          <w:sz w:val="32"/>
          <w:szCs w:val="32"/>
          <w:shd w:val="clear" w:color="auto" w:fill="FFFFFF"/>
        </w:rPr>
        <w:t>支相应减少。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1160.73</w:t>
      </w:r>
      <w:r>
        <w:rPr>
          <w:rFonts w:ascii="方正仿宋_GBK" w:hAnsi="方正仿宋_GBK" w:eastAsia="方正仿宋_GBK" w:cs="方正仿宋_GBK"/>
          <w:sz w:val="32"/>
          <w:szCs w:val="32"/>
          <w:shd w:val="clear" w:color="auto" w:fill="FFFFFF"/>
        </w:rPr>
        <w:t>万元，与2023年度相比，减少187.14万元，下降13.9%。主要原因是</w:t>
      </w:r>
      <w:r>
        <w:rPr>
          <w:rFonts w:ascii="方正仿宋_GBK" w:hAnsi="方正仿宋_GBK" w:eastAsia="方正仿宋_GBK" w:cs="方正仿宋_GBK"/>
          <w:color w:val="333333"/>
          <w:sz w:val="32"/>
          <w:szCs w:val="32"/>
          <w:shd w:val="clear" w:color="auto" w:fill="FFFFFF"/>
        </w:rPr>
        <w:t>本年度残疾人事业经费减少，</w:t>
      </w:r>
      <w:r>
        <w:rPr>
          <w:rFonts w:ascii="方正仿宋_GBK" w:hAnsi="方正仿宋_GBK" w:eastAsia="方正仿宋_GBK" w:cs="方正仿宋_GBK"/>
          <w:sz w:val="32"/>
          <w:szCs w:val="32"/>
        </w:rPr>
        <w:t>收入减少。</w:t>
      </w:r>
      <w:r>
        <w:rPr>
          <w:rFonts w:ascii="方正仿宋_GBK" w:hAnsi="方正仿宋_GBK" w:eastAsia="方正仿宋_GBK" w:cs="方正仿宋_GBK"/>
          <w:sz w:val="32"/>
          <w:szCs w:val="32"/>
          <w:shd w:val="clear" w:color="auto" w:fill="FFFFFF"/>
        </w:rPr>
        <w:t>较年初预算数减少273.26万元，下降19.1%。主要原因是</w:t>
      </w:r>
      <w:r>
        <w:rPr>
          <w:rFonts w:ascii="方正仿宋_GBK" w:hAnsi="方正仿宋_GBK" w:eastAsia="方正仿宋_GBK" w:cs="方正仿宋_GBK"/>
          <w:sz w:val="32"/>
          <w:szCs w:val="32"/>
        </w:rPr>
        <w:t>残疾人事业发展经费调减预算至各镇（街）拨付。</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1160.73</w:t>
      </w:r>
      <w:r>
        <w:rPr>
          <w:rFonts w:ascii="方正仿宋_GBK" w:hAnsi="方正仿宋_GBK" w:eastAsia="方正仿宋_GBK" w:cs="方正仿宋_GBK"/>
          <w:sz w:val="32"/>
          <w:szCs w:val="32"/>
          <w:shd w:val="clear" w:color="auto" w:fill="FFFFFF"/>
        </w:rPr>
        <w:t>万元，与2023年度相比，减少187.33万元，下降13.9%。主要原因是</w:t>
      </w:r>
      <w:r>
        <w:rPr>
          <w:rFonts w:ascii="方正仿宋_GBK" w:hAnsi="方正仿宋_GBK" w:eastAsia="方正仿宋_GBK" w:cs="方正仿宋_GBK"/>
          <w:color w:val="333333"/>
          <w:sz w:val="32"/>
          <w:szCs w:val="32"/>
          <w:shd w:val="clear" w:color="auto" w:fill="FFFFFF"/>
        </w:rPr>
        <w:t>本年度残疾人事业经费减少，支出减少</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较年初预算数减少273.26万元，下降19.1%。主要原因是</w:t>
      </w:r>
      <w:r>
        <w:rPr>
          <w:rFonts w:ascii="方正仿宋_GBK" w:hAnsi="方正仿宋_GBK" w:eastAsia="方正仿宋_GBK" w:cs="方正仿宋_GBK"/>
          <w:sz w:val="32"/>
          <w:szCs w:val="32"/>
        </w:rPr>
        <w:t>残疾人事业发展经费调减预算至各镇（街）拨付。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与上年持平，严格按照预算开支费用，项目经费及时支付。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，较年初预算数减少0.32万元，下降49.2%，主要原因是</w:t>
      </w:r>
      <w:r>
        <w:rPr>
          <w:rFonts w:ascii="方正仿宋_GBK" w:hAnsi="方正仿宋_GBK" w:eastAsia="方正仿宋_GBK" w:cs="方正仿宋_GBK"/>
          <w:sz w:val="32"/>
          <w:szCs w:val="32"/>
        </w:rPr>
        <w:t>严格按照年初预算开支费用，2024年度本级单位职工外出培训减少，教育支出减少。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1136.20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97.9%</w:t>
      </w:r>
      <w:r>
        <w:rPr>
          <w:rFonts w:ascii="方正仿宋_GBK" w:hAnsi="方正仿宋_GBK" w:eastAsia="方正仿宋_GBK" w:cs="方正仿宋_GBK"/>
          <w:sz w:val="32"/>
          <w:szCs w:val="32"/>
          <w:shd w:val="clear" w:color="auto" w:fill="FFFFFF"/>
        </w:rPr>
        <w:t>，较年初预算数减少272.68万元，下降19.4%，主要原因是</w:t>
      </w:r>
      <w:r>
        <w:rPr>
          <w:rFonts w:ascii="方正仿宋_GBK" w:hAnsi="方正仿宋_GBK" w:eastAsia="方正仿宋_GBK" w:cs="方正仿宋_GBK"/>
          <w:sz w:val="32"/>
          <w:szCs w:val="32"/>
        </w:rPr>
        <w:t>残疾人事业发展经费调减至各镇（街）拨付。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w:t>
      </w:r>
      <w:r>
        <w:rPr>
          <w:rFonts w:ascii="方正仿宋_GBK" w:hAnsi="方正仿宋_GBK" w:eastAsia="方正仿宋_GBK" w:cs="方正仿宋_GBK"/>
          <w:sz w:val="32"/>
          <w:szCs w:val="32"/>
          <w:shd w:val="clear" w:color="auto" w:fill="FFFFFF"/>
        </w:rPr>
        <w:t>，较年初预算数减少0.73万元，下降6.8%，主要原因是</w:t>
      </w:r>
      <w:r>
        <w:rPr>
          <w:rFonts w:ascii="方正仿宋_GBK" w:hAnsi="方正仿宋_GBK" w:eastAsia="方正仿宋_GBK" w:cs="方正仿宋_GBK"/>
          <w:sz w:val="32"/>
          <w:szCs w:val="32"/>
        </w:rPr>
        <w:t>职工医疗保险基数调整。</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住房保障支出14.21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，较年初预算数增加0.46万元，增长3.4%，主要原因是</w:t>
      </w:r>
      <w:r>
        <w:rPr>
          <w:rFonts w:ascii="方正仿宋_GBK" w:hAnsi="方正仿宋_GBK" w:eastAsia="方正仿宋_GBK" w:cs="方正仿宋_GBK"/>
          <w:sz w:val="32"/>
          <w:szCs w:val="32"/>
        </w:rPr>
        <w:t>住房保障浮动变化，基数调整。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264.65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225.42</w:t>
      </w:r>
      <w:r>
        <w:rPr>
          <w:rFonts w:ascii="方正仿宋_GBK" w:hAnsi="方正仿宋_GBK" w:eastAsia="方正仿宋_GBK" w:cs="方正仿宋_GBK"/>
          <w:sz w:val="32"/>
          <w:szCs w:val="32"/>
          <w:shd w:val="clear" w:color="auto" w:fill="FFFFFF"/>
        </w:rPr>
        <w:t>万元，与2023年度相比，减少25.14万元，下降10.0%，主要原因是2023年1名退休人员于下半年退休，较本年度人员经费减少，人员经费用途主要包括职工基</w:t>
      </w:r>
      <w:r>
        <w:rPr>
          <w:rFonts w:ascii="方正仿宋_GBK" w:hAnsi="方正仿宋_GBK" w:eastAsia="方正仿宋_GBK" w:cs="方正仿宋_GBK"/>
          <w:sz w:val="32"/>
          <w:szCs w:val="32"/>
        </w:rPr>
        <w:t>本工资、津贴补贴、奖金、绩效工资、社会保障缴费等。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39.23</w:t>
      </w:r>
      <w:r>
        <w:rPr>
          <w:rFonts w:ascii="方正仿宋_GBK" w:hAnsi="方正仿宋_GBK" w:eastAsia="方正仿宋_GBK" w:cs="方正仿宋_GBK"/>
          <w:sz w:val="32"/>
          <w:szCs w:val="32"/>
          <w:shd w:val="clear" w:color="auto" w:fill="FFFFFF"/>
        </w:rPr>
        <w:t>万元，与2023年度相比，减少9.92万元，下降20.2%，主要原因是</w:t>
      </w:r>
      <w:r>
        <w:rPr>
          <w:rFonts w:ascii="方正仿宋_GBK" w:hAnsi="方正仿宋_GBK" w:eastAsia="方正仿宋_GBK" w:cs="方正仿宋_GBK"/>
          <w:color w:val="333333"/>
          <w:sz w:val="32"/>
          <w:szCs w:val="32"/>
          <w:shd w:val="clear" w:color="auto" w:fill="FFFFFF"/>
        </w:rPr>
        <w:t>严格压缩机关一般性支出，政策性公用经费减少。</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单位办公费，印刷费，邮电费，培训费，差旅费，劳务费等。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174.10</w:t>
      </w:r>
      <w:r>
        <w:rPr>
          <w:rFonts w:ascii="方正仿宋_GBK" w:hAnsi="方正仿宋_GBK" w:eastAsia="方正仿宋_GBK" w:cs="方正仿宋_GBK"/>
          <w:sz w:val="32"/>
          <w:szCs w:val="32"/>
          <w:shd w:val="clear" w:color="auto" w:fill="FFFFFF"/>
        </w:rPr>
        <w:t>万元，与2023年度相比，增加38.10万元，增长28.0%，主要原因是上级补助资金增加，主要用于残疾儿童救助等</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174.10</w:t>
      </w:r>
      <w:r>
        <w:rPr>
          <w:rFonts w:ascii="方正仿宋_GBK" w:hAnsi="方正仿宋_GBK" w:eastAsia="方正仿宋_GBK" w:cs="方正仿宋_GBK"/>
          <w:sz w:val="32"/>
          <w:szCs w:val="32"/>
          <w:shd w:val="clear" w:color="auto" w:fill="FFFFFF"/>
        </w:rPr>
        <w:t>万元，与2023年度相比，增加38.10万元，增长28.0%，主要原因上级补助资金增加，残疾儿童救助支出增加</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3.77</w:t>
      </w:r>
      <w:r>
        <w:rPr>
          <w:rFonts w:ascii="方正仿宋_GBK" w:hAnsi="方正仿宋_GBK" w:eastAsia="方正仿宋_GBK" w:cs="方正仿宋_GBK"/>
          <w:sz w:val="32"/>
          <w:szCs w:val="32"/>
          <w:shd w:val="clear" w:color="auto" w:fill="FFFFFF"/>
        </w:rPr>
        <w:t>万元，较年初预算数减少0.77万元，下降17.0%，主要原因是</w:t>
      </w:r>
      <w:r>
        <w:rPr>
          <w:rFonts w:ascii="方正仿宋_GBK" w:eastAsia="方正仿宋_GBK"/>
          <w:sz w:val="32"/>
          <w:szCs w:val="32"/>
        </w:rPr>
        <w:t>我会认真贯彻落实中央八项规定精神和厉行节约要求，在公务接待费上全年实际支出较预算有</w:t>
      </w:r>
      <w:r>
        <w:rPr>
          <w:rFonts w:ascii="方正仿宋_GBK" w:hAnsi="方正仿宋_GBK" w:eastAsia="方正仿宋_GBK" w:cs="方正仿宋_GBK"/>
          <w:sz w:val="32"/>
          <w:szCs w:val="32"/>
        </w:rPr>
        <w:t>所下降。</w:t>
      </w:r>
      <w:r>
        <w:rPr>
          <w:rFonts w:ascii="方正仿宋_GBK" w:hAnsi="方正仿宋_GBK" w:eastAsia="方正仿宋_GBK" w:cs="方正仿宋_GBK"/>
          <w:sz w:val="32"/>
          <w:szCs w:val="32"/>
          <w:shd w:val="clear" w:color="auto" w:fill="FFFFFF"/>
        </w:rPr>
        <w:t>较上年支出数减少2.77万元，下降42.4%，主要原因是</w:t>
      </w:r>
      <w:r>
        <w:rPr>
          <w:rFonts w:ascii="方正仿宋_GBK" w:eastAsia="方正仿宋_GBK"/>
          <w:sz w:val="32"/>
          <w:szCs w:val="32"/>
        </w:rPr>
        <w:t>我会认真贯彻落实中央八项规定精神和厉行节约要求，在公务接待费上全年实际支出较预算有</w:t>
      </w:r>
      <w:r>
        <w:rPr>
          <w:rFonts w:ascii="方正仿宋_GBK" w:hAnsi="方正仿宋_GBK" w:eastAsia="方正仿宋_GBK" w:cs="方正仿宋_GBK"/>
          <w:sz w:val="32"/>
          <w:szCs w:val="32"/>
        </w:rPr>
        <w:t>所下降。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万元，主要用于公务车运行维护费支出。费用支出较年初预算数无增减，主要原因是按照预算严控支出。较上年支出数减少2.00万元，下降40.0%，主要原因是按照预算严控支出。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0.77</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333333"/>
          <w:sz w:val="32"/>
          <w:szCs w:val="32"/>
          <w:shd w:val="clear" w:color="auto" w:fill="FFFFFF"/>
        </w:rPr>
        <w:t>市级和其他区县残联来垫调研，检查残疾人工作等。</w:t>
      </w:r>
      <w:r>
        <w:rPr>
          <w:rFonts w:ascii="方正仿宋_GBK" w:hAnsi="方正仿宋_GBK" w:eastAsia="方正仿宋_GBK" w:cs="方正仿宋_GBK"/>
          <w:sz w:val="32"/>
          <w:szCs w:val="32"/>
          <w:shd w:val="clear" w:color="auto" w:fill="FFFFFF"/>
        </w:rPr>
        <w:t>费用支出较</w:t>
      </w:r>
      <w:bookmarkStart w:id="1" w:name="_GoBack"/>
      <w:bookmarkEnd w:id="1"/>
      <w:r>
        <w:rPr>
          <w:rFonts w:ascii="方正仿宋_GBK" w:hAnsi="方正仿宋_GBK" w:eastAsia="方正仿宋_GBK" w:cs="方正仿宋_GBK"/>
          <w:sz w:val="32"/>
          <w:szCs w:val="32"/>
          <w:shd w:val="clear" w:color="auto" w:fill="FFFFFF"/>
        </w:rPr>
        <w:t>年初预算数减少0.77万元，下降50.0%，主要原因是</w:t>
      </w:r>
      <w:r>
        <w:rPr>
          <w:rFonts w:ascii="方正仿宋_GBK" w:hAnsi="方正仿宋_GBK" w:eastAsia="方正仿宋_GBK" w:cs="方正仿宋_GBK"/>
          <w:sz w:val="32"/>
          <w:szCs w:val="32"/>
        </w:rPr>
        <w:t>严格按照八项规定精神，控制接待人数。</w:t>
      </w:r>
      <w:r>
        <w:rPr>
          <w:rFonts w:ascii="方正仿宋_GBK" w:hAnsi="方正仿宋_GBK" w:eastAsia="方正仿宋_GBK" w:cs="方正仿宋_GBK"/>
          <w:sz w:val="32"/>
          <w:szCs w:val="32"/>
          <w:shd w:val="clear" w:color="auto" w:fill="FFFFFF"/>
        </w:rPr>
        <w:t>较上年支出数减少0.77万元，下降50.0%，主要原因是</w:t>
      </w:r>
      <w:r>
        <w:rPr>
          <w:rFonts w:ascii="方正仿宋_GBK" w:hAnsi="方正仿宋_GBK" w:eastAsia="方正仿宋_GBK" w:cs="方正仿宋_GBK"/>
          <w:sz w:val="32"/>
          <w:szCs w:val="32"/>
        </w:rPr>
        <w:t>严格按照八项规定精神，控制接待人数。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70.73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万元，与2023年度相比，减少0.37万元，下降84.1%，主要原因是</w:t>
      </w:r>
      <w:r>
        <w:rPr>
          <w:rFonts w:ascii="方正仿宋_GBK" w:hAnsi="方正仿宋_GBK" w:eastAsia="方正仿宋_GBK" w:cs="方正仿宋_GBK"/>
          <w:sz w:val="32"/>
          <w:szCs w:val="32"/>
        </w:rPr>
        <w:t>本年度严控预算支出且会议减少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2.96</w:t>
      </w:r>
      <w:r>
        <w:rPr>
          <w:rFonts w:ascii="方正仿宋_GBK" w:hAnsi="方正仿宋_GBK" w:eastAsia="方正仿宋_GBK" w:cs="方正仿宋_GBK"/>
          <w:sz w:val="32"/>
          <w:szCs w:val="32"/>
          <w:shd w:val="clear" w:color="auto" w:fill="FFFFFF"/>
        </w:rPr>
        <w:t>万元，与2023年度相比，减少4.42万元，下降59.9%，主要原因是</w:t>
      </w:r>
      <w:r>
        <w:rPr>
          <w:rFonts w:ascii="方正仿宋_GBK" w:hAnsi="方正仿宋_GBK" w:eastAsia="方正仿宋_GBK" w:cs="方正仿宋_GBK"/>
          <w:sz w:val="32"/>
          <w:szCs w:val="32"/>
        </w:rPr>
        <w:t>本年度严控预算支出且培训减少。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21.50</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单位</w:t>
      </w:r>
      <w:r>
        <w:rPr>
          <w:rFonts w:ascii="方正仿宋_GBK" w:eastAsia="方正仿宋_GBK"/>
          <w:sz w:val="32"/>
          <w:szCs w:val="32"/>
        </w:rPr>
        <w:t>办公费，邮电费，劳务费，公务用车运行维护费、公务接待费，差旅费等。</w:t>
      </w:r>
      <w:r>
        <w:rPr>
          <w:rFonts w:ascii="方正仿宋_GBK" w:hAnsi="方正仿宋_GBK" w:eastAsia="方正仿宋_GBK" w:cs="方正仿宋_GBK"/>
          <w:sz w:val="32"/>
          <w:szCs w:val="32"/>
          <w:shd w:val="clear" w:color="auto" w:fill="FFFFFF"/>
        </w:rPr>
        <w:t>机关运行经费较上年支出数减少13.12万元，下降37.9%，主要原因是</w:t>
      </w:r>
      <w:r>
        <w:rPr>
          <w:rFonts w:ascii="方正仿宋_GBK" w:hAnsi="方正仿宋_GBK" w:eastAsia="方正仿宋_GBK" w:cs="方正仿宋_GBK"/>
          <w:color w:val="333333"/>
          <w:sz w:val="32"/>
          <w:szCs w:val="32"/>
          <w:shd w:val="clear" w:color="auto" w:fill="FFFFFF"/>
        </w:rPr>
        <w:t>严格压缩机关一般性支出，政策性公用经费减少。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459.19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142.51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76.81</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239.87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439.10万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95.62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439.10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95.62</w:t>
      </w:r>
      <w:r>
        <w:rPr>
          <w:rFonts w:ascii="方正仿宋_GBK" w:hAnsi="方正仿宋_GBK" w:eastAsia="方正仿宋_GBK" w:cs="方正仿宋_GBK"/>
          <w:sz w:val="32"/>
          <w:szCs w:val="32"/>
          <w:shd w:val="clear" w:color="auto" w:fill="FFFFFF"/>
        </w:rPr>
        <w:t xml:space="preserve"> %。主要用于采购</w:t>
      </w:r>
      <w:r>
        <w:rPr>
          <w:rFonts w:ascii="方正仿宋_GBK" w:eastAsia="方正仿宋_GBK"/>
          <w:sz w:val="32"/>
          <w:szCs w:val="32"/>
        </w:rPr>
        <w:t>残疾人基本型辅助器具和残疾少年儿童康教托三结合项目及补充以前年度合同金额登记。</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根据预算绩效管理要求，我部门对部门整体和10个二级项目开展了绩效自评，涉及财政拨款项目支出资金</w:t>
      </w:r>
      <w:r>
        <w:rPr>
          <w:rFonts w:hint="eastAsia" w:ascii="方正仿宋_GBK" w:hAnsi="方正仿宋_GBK" w:eastAsia="方正仿宋_GBK" w:cs="方正仿宋_GBK"/>
          <w:sz w:val="32"/>
          <w:szCs w:val="32"/>
        </w:rPr>
        <w:t>1,070.18</w:t>
      </w:r>
      <w:r>
        <w:rPr>
          <w:rFonts w:hint="eastAsia" w:ascii="方正仿宋_GBK" w:hAnsi="方正仿宋_GBK" w:eastAsia="方正仿宋_GBK" w:cs="方正仿宋_GBK"/>
          <w:sz w:val="32"/>
          <w:szCs w:val="32"/>
          <w:shd w:val="clear" w:color="auto" w:fill="FFFFFF"/>
        </w:rPr>
        <w:t>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480" w:firstLineChars="200"/>
        <w:rPr>
          <w:rFonts w:ascii="方正仿宋_GBK" w:hAnsi="方正仿宋_GBK" w:eastAsia="方正仿宋_GBK" w:cs="方正仿宋_GBK"/>
          <w:b/>
          <w:bCs/>
          <w:sz w:val="32"/>
          <w:szCs w:val="32"/>
          <w:shd w:val="clear" w:color="auto" w:fill="FFFFFF"/>
        </w:rPr>
      </w:pPr>
      <w:r>
        <w:drawing>
          <wp:anchor distT="0" distB="0" distL="114300" distR="114300" simplePos="0" relativeHeight="251659264" behindDoc="0" locked="0" layoutInCell="1" allowOverlap="1">
            <wp:simplePos x="0" y="0"/>
            <wp:positionH relativeFrom="column">
              <wp:posOffset>66675</wp:posOffset>
            </wp:positionH>
            <wp:positionV relativeFrom="paragraph">
              <wp:posOffset>12700</wp:posOffset>
            </wp:positionV>
            <wp:extent cx="5384800" cy="6127115"/>
            <wp:effectExtent l="0" t="0" r="635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84800" cy="6127115"/>
                    </a:xfrm>
                    <a:prstGeom prst="rect">
                      <a:avLst/>
                    </a:prstGeom>
                    <a:noFill/>
                    <a:ln>
                      <a:noFill/>
                    </a:ln>
                  </pic:spPr>
                </pic:pic>
              </a:graphicData>
            </a:graphic>
          </wp:anchor>
        </w:drawing>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480" w:firstLineChars="200"/>
        <w:rPr>
          <w:rFonts w:ascii="方正仿宋_GBK" w:hAnsi="方正仿宋_GBK" w:eastAsia="方正仿宋_GBK" w:cs="方正仿宋_GBK"/>
          <w:b/>
          <w:bCs/>
          <w:sz w:val="32"/>
          <w:szCs w:val="32"/>
          <w:shd w:val="clear" w:color="auto" w:fill="FFFFFF"/>
        </w:rPr>
      </w:pPr>
      <w:r>
        <w:drawing>
          <wp:anchor distT="0" distB="0" distL="114300" distR="114300" simplePos="0" relativeHeight="251660288" behindDoc="0" locked="0" layoutInCell="1" allowOverlap="1">
            <wp:simplePos x="0" y="0"/>
            <wp:positionH relativeFrom="column">
              <wp:posOffset>47625</wp:posOffset>
            </wp:positionH>
            <wp:positionV relativeFrom="paragraph">
              <wp:posOffset>12700</wp:posOffset>
            </wp:positionV>
            <wp:extent cx="5277485" cy="5052060"/>
            <wp:effectExtent l="0" t="0" r="18415"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7485" cy="5052060"/>
                    </a:xfrm>
                    <a:prstGeom prst="rect">
                      <a:avLst/>
                    </a:prstGeom>
                    <a:noFill/>
                    <a:ln>
                      <a:noFill/>
                    </a:ln>
                  </pic:spPr>
                </pic:pic>
              </a:graphicData>
            </a:graphic>
          </wp:anchor>
        </w:drawing>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480" w:firstLineChars="200"/>
        <w:rPr>
          <w:rFonts w:ascii="楷体" w:hAnsi="楷体" w:eastAsia="楷体" w:cs="楷体"/>
          <w:b/>
          <w:bCs/>
          <w:sz w:val="32"/>
          <w:szCs w:val="32"/>
          <w:shd w:val="clear" w:color="auto" w:fill="FFFFFF"/>
        </w:rPr>
      </w:pPr>
      <w:r>
        <w:drawing>
          <wp:anchor distT="0" distB="0" distL="114300" distR="114300" simplePos="0" relativeHeight="251661312" behindDoc="0" locked="0" layoutInCell="1" allowOverlap="1">
            <wp:simplePos x="0" y="0"/>
            <wp:positionH relativeFrom="column">
              <wp:posOffset>95250</wp:posOffset>
            </wp:positionH>
            <wp:positionV relativeFrom="paragraph">
              <wp:posOffset>3175</wp:posOffset>
            </wp:positionV>
            <wp:extent cx="5148580" cy="5293360"/>
            <wp:effectExtent l="0" t="0" r="1397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148580" cy="5293360"/>
                    </a:xfrm>
                    <a:prstGeom prst="rect">
                      <a:avLst/>
                    </a:prstGeom>
                    <a:noFill/>
                    <a:ln>
                      <a:noFill/>
                    </a:ln>
                  </pic:spPr>
                </pic:pic>
              </a:graphicData>
            </a:graphic>
          </wp:anchor>
        </w:drawing>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Style w:val="13"/>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0"/>
          <w:sz w:val="32"/>
          <w:szCs w:val="32"/>
          <w:shd w:val="clear" w:fill="FFFFFF"/>
          <w:lang w:val="en-US" w:eastAsia="zh-CN"/>
        </w:rPr>
        <w:t>县</w:t>
      </w:r>
      <w:r>
        <w:rPr>
          <w:rFonts w:hint="eastAsia" w:ascii="方正仿宋_GBK" w:hAnsi="方正仿宋_GBK" w:eastAsia="方正仿宋_GBK" w:cs="方正仿宋_GBK"/>
          <w:kern w:val="0"/>
          <w:sz w:val="32"/>
          <w:szCs w:val="32"/>
          <w:shd w:val="clear" w:fill="FFFFFF"/>
        </w:rPr>
        <w:t>财政局委托第三方对我部门</w:t>
      </w:r>
      <w:r>
        <w:rPr>
          <w:rFonts w:hint="eastAsia" w:ascii="方正仿宋_GBK" w:hAnsi="方正仿宋_GBK" w:eastAsia="方正仿宋_GBK" w:cs="方正仿宋_GBK"/>
          <w:kern w:val="0"/>
          <w:sz w:val="32"/>
          <w:szCs w:val="32"/>
          <w:shd w:val="clear" w:fill="FFFFFF"/>
          <w:lang w:eastAsia="zh-CN"/>
        </w:rPr>
        <w:t>残疾人康复</w:t>
      </w:r>
      <w:r>
        <w:rPr>
          <w:rFonts w:hint="eastAsia" w:ascii="方正仿宋_GBK" w:hAnsi="方正仿宋_GBK" w:eastAsia="方正仿宋_GBK" w:cs="方正仿宋_GBK"/>
          <w:kern w:val="0"/>
          <w:sz w:val="32"/>
          <w:szCs w:val="32"/>
          <w:shd w:val="clear" w:fill="FFFFFF"/>
        </w:rPr>
        <w:t>开展了绩效评价，对</w:t>
      </w:r>
      <w:r>
        <w:rPr>
          <w:rFonts w:hint="eastAsia" w:ascii="方正仿宋_GBK" w:hAnsi="方正仿宋_GBK" w:eastAsia="方正仿宋_GBK" w:cs="方正仿宋_GBK"/>
          <w:kern w:val="0"/>
          <w:sz w:val="32"/>
          <w:szCs w:val="32"/>
          <w:shd w:val="clear" w:fill="FFFFFF"/>
          <w:lang w:eastAsia="zh-CN"/>
        </w:rPr>
        <w:t>残疾人康复</w:t>
      </w:r>
      <w:r>
        <w:rPr>
          <w:rFonts w:hint="eastAsia" w:ascii="方正仿宋_GBK" w:hAnsi="方正仿宋_GBK" w:eastAsia="方正仿宋_GBK" w:cs="方正仿宋_GBK"/>
          <w:kern w:val="0"/>
          <w:sz w:val="32"/>
          <w:szCs w:val="32"/>
          <w:shd w:val="clear" w:fill="FFFFFF"/>
        </w:rPr>
        <w:t>开展了重点绩效评价，涉及财政拨款项目资金101.39万元，评价得分8</w:t>
      </w:r>
      <w:r>
        <w:rPr>
          <w:rFonts w:hint="eastAsia" w:ascii="方正仿宋_GBK" w:hAnsi="方正仿宋_GBK" w:eastAsia="方正仿宋_GBK" w:cs="方正仿宋_GBK"/>
          <w:kern w:val="0"/>
          <w:sz w:val="32"/>
          <w:szCs w:val="32"/>
          <w:shd w:val="clear" w:fill="FFFFFF"/>
          <w:lang w:val="en-US" w:eastAsia="zh-CN"/>
        </w:rPr>
        <w:t>7</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9分，评价等次为良，绩效评价发现了绩效目标不完善，指标编制不规范；预算编制科学性不足，测算明细度不够；资金使用合规性有瑕疵，资金监控力度较弱；康复训练效果有待提升，项目可持续性欠佳等主要问题，提出</w:t>
      </w:r>
      <w:bookmarkStart w:id="0" w:name="_Toc221"/>
      <w:r>
        <w:rPr>
          <w:rFonts w:hint="eastAsia" w:ascii="方正仿宋_GBK" w:hAnsi="方正仿宋_GBK" w:eastAsia="方正仿宋_GBK" w:cs="方正仿宋_GBK"/>
          <w:kern w:val="0"/>
          <w:sz w:val="32"/>
          <w:szCs w:val="32"/>
          <w:shd w:val="clear" w:fill="FFFFFF"/>
          <w:lang w:val="en-US" w:eastAsia="zh-CN"/>
        </w:rPr>
        <w:t>重视绩效目标前置作用，推进绩效关口前移</w:t>
      </w:r>
      <w:bookmarkEnd w:id="0"/>
      <w:r>
        <w:rPr>
          <w:rFonts w:hint="eastAsia" w:ascii="方正仿宋_GBK" w:hAnsi="方正仿宋_GBK" w:eastAsia="方正仿宋_GBK" w:cs="方正仿宋_GBK"/>
          <w:kern w:val="0"/>
          <w:sz w:val="32"/>
          <w:szCs w:val="32"/>
          <w:shd w:val="clear" w:fill="FFFFFF"/>
          <w:lang w:val="en-US" w:eastAsia="zh-CN"/>
        </w:rPr>
        <w:t>；精细化编制项目预算，确保预算精准度；加强结算审核力度，合理统筹使用上级资金；做好残疾家庭心理辅导工作，提高师资力量服务水平</w:t>
      </w:r>
      <w:r>
        <w:rPr>
          <w:rFonts w:hint="eastAsia" w:ascii="方正仿宋_GBK" w:hAnsi="方正仿宋_GBK" w:eastAsia="方正仿宋_GBK" w:cs="方正仿宋_GBK"/>
          <w:kern w:val="0"/>
          <w:sz w:val="32"/>
          <w:szCs w:val="32"/>
          <w:shd w:val="clear" w:fill="FFFFFF"/>
        </w:rPr>
        <w:t>等下一步工作建议。</w:t>
      </w:r>
      <w:r>
        <w:rPr>
          <w:rStyle w:val="13"/>
          <w:rFonts w:hint="eastAsia" w:ascii="方正仿宋_GBK" w:hAnsi="方正仿宋_GBK" w:eastAsia="方正仿宋_GBK" w:cs="方正仿宋_GBK"/>
          <w:sz w:val="32"/>
          <w:szCs w:val="32"/>
          <w:shd w:val="clear" w:color="auto" w:fill="FFFFFF"/>
        </w:rPr>
        <w:t xml:space="preserve">    </w:t>
      </w:r>
    </w:p>
    <w:p>
      <w:pPr>
        <w:pStyle w:val="12"/>
        <w:autoSpaceDE w:val="0"/>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董老师   023-74525740</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垫江县残疾人联合会</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1,160.73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垫江县残疾人联合会</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1,334.83</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1,334.83</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1,136.20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1,136.20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1,077.11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1,077.11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垫江县残疾人联合会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1,334.83</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264.65</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1,070.18</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1,077.11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181.06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垫江县残疾人联合会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1,160.73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1,334.83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1,334.83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垫江县残疾人联合会</w:t>
            </w: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1,160.73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264.65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896.08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1,136.20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59.07</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1,077.11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181.06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垫江县残疾人联合会</w:t>
            </w:r>
          </w:p>
        </w:tc>
        <w:tc>
          <w:tcPr>
            <w:tcW w:w="14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201.14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40.52</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36.99</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36.20</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23.57</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24.28</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225.42</w:t>
            </w:r>
            <w:r>
              <w:rPr>
                <w:rFonts w:ascii="Times New Roman" w:hAnsi="Times New Roman"/>
                <w:color w:val="000000"/>
                <w:sz w:val="18"/>
              </w:rPr>
              <w:t xml:space="preserve"> </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垫江县残疾人联合会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垫江县残疾人联合会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垫江县残疾人联合会</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3.77</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459.19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142.51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76.81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439.10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439.10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C17A2"/>
    <w:rsid w:val="000D7702"/>
    <w:rsid w:val="000F6721"/>
    <w:rsid w:val="001632EC"/>
    <w:rsid w:val="00261065"/>
    <w:rsid w:val="002D0E5A"/>
    <w:rsid w:val="002D71F4"/>
    <w:rsid w:val="002E5443"/>
    <w:rsid w:val="0032196C"/>
    <w:rsid w:val="00344461"/>
    <w:rsid w:val="004852DA"/>
    <w:rsid w:val="004C12FF"/>
    <w:rsid w:val="004D0390"/>
    <w:rsid w:val="00550ABE"/>
    <w:rsid w:val="005B023C"/>
    <w:rsid w:val="00600322"/>
    <w:rsid w:val="006137D7"/>
    <w:rsid w:val="00634FA8"/>
    <w:rsid w:val="0063613A"/>
    <w:rsid w:val="0068170B"/>
    <w:rsid w:val="006B6E65"/>
    <w:rsid w:val="006E2034"/>
    <w:rsid w:val="00732392"/>
    <w:rsid w:val="00792285"/>
    <w:rsid w:val="007A0D2E"/>
    <w:rsid w:val="007A3314"/>
    <w:rsid w:val="007B419D"/>
    <w:rsid w:val="007C5C5B"/>
    <w:rsid w:val="00810F13"/>
    <w:rsid w:val="00826B47"/>
    <w:rsid w:val="008306A6"/>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329D"/>
    <w:rsid w:val="00CC6B99"/>
    <w:rsid w:val="00D52B94"/>
    <w:rsid w:val="00D90216"/>
    <w:rsid w:val="00DB0FF3"/>
    <w:rsid w:val="00DF7706"/>
    <w:rsid w:val="00E05175"/>
    <w:rsid w:val="00E36073"/>
    <w:rsid w:val="00E654E2"/>
    <w:rsid w:val="00E76362"/>
    <w:rsid w:val="00E86B80"/>
    <w:rsid w:val="00F137D3"/>
    <w:rsid w:val="00F13C36"/>
    <w:rsid w:val="00F144E1"/>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0F5CCD"/>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1D4946"/>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1FFF5164"/>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072E30"/>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DE5F84"/>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A43AB"/>
    <w:rsid w:val="77EB79F7"/>
    <w:rsid w:val="796D60A4"/>
    <w:rsid w:val="79A031D5"/>
    <w:rsid w:val="7A1525F7"/>
    <w:rsid w:val="7A597437"/>
    <w:rsid w:val="7B420052"/>
    <w:rsid w:val="7B527AB2"/>
    <w:rsid w:val="7B861484"/>
    <w:rsid w:val="7BD06A28"/>
    <w:rsid w:val="7C3A7C0B"/>
    <w:rsid w:val="7C5248E4"/>
    <w:rsid w:val="7C566698"/>
    <w:rsid w:val="7C5866A3"/>
    <w:rsid w:val="7CBE2F89"/>
    <w:rsid w:val="7D7406BB"/>
    <w:rsid w:val="7DE94331"/>
    <w:rsid w:val="7F446A19"/>
    <w:rsid w:val="7F7452B9"/>
    <w:rsid w:val="7F8401D1"/>
    <w:rsid w:val="7FAC32D7"/>
    <w:rsid w:val="AFED32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10319</Words>
  <Characters>13760</Characters>
  <Lines>120</Lines>
  <Paragraphs>33</Paragraphs>
  <TotalTime>18</TotalTime>
  <ScaleCrop>false</ScaleCrop>
  <LinksUpToDate>false</LinksUpToDate>
  <CharactersWithSpaces>14993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毕欢</cp:lastModifiedBy>
  <cp:lastPrinted>2025-09-12T06:12:00Z</cp:lastPrinted>
  <dcterms:modified xsi:type="dcterms:W3CDTF">2025-09-16T02:48:13Z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