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垫江县残疾人联合会（本级）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1、坚持党的领导。坚决贯彻党的意志和主张，坚定不移走中国特色社会主义残联发展道路，切实增强残联组织的政治性、先进性、群众性，汇聚全县广大残疾人推进社会主义现代化建设的强大合力。</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2、加强对广大残疾人的政治引领和思想引导。切实承担引导广大残疾人听党话、跟党走的政治任务，把残疾人最广泛最紧密地团结在党的周围，坚定不移走中国特色社会主义残疾人事业发展道路。</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3、依法依章程独立自主开展工作。按照县委和市残联的要求，指导全县各级残联按照《中国残疾人联合会章程》和残疾人代表大会的决议，开展残疾人工作，改善残疾人参与社会生活的环境和条件。</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团结动员广大残疾人干事创业。进一步激发残疾人自尊、自信、自强、自立精神，组织动员广大残疾人积极主动融入社会，围绕中心、服务大局，参与党委、政府各项中心工作，让残疾人成为促进经济社会发展的一支重要力量。</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突出残联代表、服务、管理的职责。代表残疾人共同利益，代表广大残疾人参与相关法律法规和政策的制定。团结帮助残疾人，为残疾人服务，依法维护残疾人合法权益。履行法律赋予的职责，承担政府委托的任务，管理和发展残疾人事业。发挥民主参与和社会监督作用，积极代表和组织残疾人参与协商民主，有序参与基层民主自治和企事业单位民主管理。</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拓展残联的组织覆盖。适应人口流动、新兴群体发展等新情况，加强对乡镇（街道）、村（社区）的残联组织覆盖，在特殊教育学校、残疾人服务机构、“两新”组织、福利企业等残疾人集中的领域，建立残联或残协，强化基层基础。充分发挥残疾人专门协会桥梁纽带作用，切实履行协会“代表、服务、维权”职责。</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拓展残联的工作覆盖。积极探索开展网上残疾人工作，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pPr>
        <w:spacing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研究指导残联自身改革和建设。加强理论政策研究，开展全县持证残疾人基本状况调查工作，及时为县委、县政府决策提出建议。弘扬人道主义，宣传残疾人事业，动员社会理解、尊重、关心、帮助残疾人，消除歧视、偏见和障碍。表彰、宣传残疾人自强模范，培养推荐残疾人人才，开展残疾人培训。</w:t>
      </w:r>
    </w:p>
    <w:p>
      <w:pPr>
        <w:pStyle w:val="6"/>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9、完成县委、县政府交办的其他事项。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垫江县残疾人联合会是在县委、县政府领导下负责全县残疾人工作的群众团体，内设一科一室，即：办公室、业务科；下属全额拨款事业单位一个，即：垫江县残疾人服务总社。</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2024年度收入总计1230.43万元，支出总计</w:t>
      </w:r>
      <w:r>
        <w:rPr>
          <w:rFonts w:ascii="方正仿宋_GBK" w:hAnsi="方正仿宋_GBK" w:eastAsia="方正仿宋_GBK" w:cs="方正仿宋_GBK"/>
          <w:sz w:val="32"/>
          <w:szCs w:val="32"/>
        </w:rPr>
        <w:t>1230.43</w:t>
      </w:r>
      <w:r>
        <w:rPr>
          <w:rFonts w:ascii="方正仿宋_GBK" w:hAnsi="方正仿宋_GBK" w:eastAsia="方正仿宋_GBK" w:cs="方正仿宋_GBK"/>
          <w:sz w:val="32"/>
          <w:szCs w:val="32"/>
          <w:shd w:val="clear" w:color="auto" w:fill="FFFFFF"/>
        </w:rPr>
        <w:t>万元。收、支与2023年度相比，减少141.73万元，下降10.3%，主要原因是</w:t>
      </w:r>
      <w:r>
        <w:rPr>
          <w:rFonts w:ascii="方正仿宋_GBK" w:hAnsi="方正仿宋_GBK" w:eastAsia="方正仿宋_GBK" w:cs="方正仿宋_GBK"/>
          <w:color w:val="333333"/>
          <w:sz w:val="32"/>
          <w:szCs w:val="32"/>
          <w:shd w:val="clear" w:color="auto" w:fill="FFFFFF"/>
        </w:rPr>
        <w:t>本年度残疾人事业发展经费减少，上级专项资金减少</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2024年度收入合计1230.43万元，与2023年度相比，减少141.54万元，下降10.3%，主要原因是</w:t>
      </w:r>
      <w:r>
        <w:rPr>
          <w:rFonts w:ascii="方正仿宋_GBK" w:hAnsi="方正仿宋_GBK" w:eastAsia="方正仿宋_GBK" w:cs="方正仿宋_GBK"/>
          <w:color w:val="333333"/>
          <w:sz w:val="32"/>
          <w:szCs w:val="32"/>
          <w:shd w:val="clear" w:color="auto" w:fill="FFFFFF"/>
        </w:rPr>
        <w:t>本年度残疾人事业发展经费减少，收入减少。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1230.43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1230.43</w:t>
      </w:r>
      <w:r>
        <w:rPr>
          <w:rFonts w:ascii="方正仿宋_GBK" w:hAnsi="方正仿宋_GBK" w:eastAsia="方正仿宋_GBK" w:cs="方正仿宋_GBK"/>
          <w:sz w:val="32"/>
          <w:szCs w:val="32"/>
          <w:shd w:val="clear" w:color="auto" w:fill="FFFFFF"/>
        </w:rPr>
        <w:t>万元，与2023年度相比，减少141.73万元，下降10.3%，主要原因是</w:t>
      </w:r>
      <w:r>
        <w:rPr>
          <w:rFonts w:ascii="方正仿宋_GBK" w:hAnsi="方正仿宋_GBK" w:eastAsia="方正仿宋_GBK" w:cs="方正仿宋_GBK"/>
          <w:color w:val="333333"/>
          <w:sz w:val="32"/>
          <w:szCs w:val="32"/>
          <w:shd w:val="clear" w:color="auto" w:fill="FFFFFF"/>
        </w:rPr>
        <w:t>本年度残疾人事业发展经费减少，支出减少。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160.25</w:t>
      </w:r>
      <w:r>
        <w:rPr>
          <w:rFonts w:ascii="方正仿宋_GBK" w:hAnsi="方正仿宋_GBK" w:eastAsia="方正仿宋_GBK" w:cs="方正仿宋_GBK"/>
          <w:sz w:val="32"/>
          <w:szCs w:val="32"/>
          <w:shd w:val="clear" w:color="auto" w:fill="FFFFFF"/>
        </w:rPr>
        <w:t>万元，占13.0%；项目支出</w:t>
      </w:r>
      <w:r>
        <w:rPr>
          <w:rFonts w:ascii="方正仿宋_GBK" w:hAnsi="方正仿宋_GBK" w:eastAsia="方正仿宋_GBK" w:cs="方正仿宋_GBK"/>
          <w:sz w:val="32"/>
          <w:szCs w:val="32"/>
        </w:rPr>
        <w:t>1070.18</w:t>
      </w:r>
      <w:r>
        <w:rPr>
          <w:rFonts w:ascii="方正仿宋_GBK" w:hAnsi="方正仿宋_GBK" w:eastAsia="方正仿宋_GBK" w:cs="方正仿宋_GBK"/>
          <w:sz w:val="32"/>
          <w:szCs w:val="32"/>
          <w:shd w:val="clear" w:color="auto" w:fill="FFFFFF"/>
        </w:rPr>
        <w:t>万元，占87.0%；经营支出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与上年持平，本年度残疾人事业发展经费及时支付，</w:t>
      </w:r>
      <w:r>
        <w:rPr>
          <w:rFonts w:hint="default" w:ascii="方正仿宋_GBK" w:hAnsi="方正仿宋_GBK" w:eastAsia="方正仿宋_GBK" w:cs="方正仿宋_GBK"/>
          <w:sz w:val="32"/>
          <w:szCs w:val="32"/>
        </w:rPr>
        <w:t>无结转结余</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2024年度财政拨款收、支总计1230.43万元。与2023年相比，财政拨款收、支总计各减少141.73万元，下降10.3%。主要原因是</w:t>
      </w:r>
      <w:r>
        <w:rPr>
          <w:rFonts w:ascii="方正仿宋_GBK" w:hAnsi="方正仿宋_GBK" w:eastAsia="方正仿宋_GBK" w:cs="方正仿宋_GBK"/>
          <w:color w:val="333333"/>
          <w:sz w:val="32"/>
          <w:szCs w:val="32"/>
          <w:shd w:val="clear" w:color="auto" w:fill="FFFFFF"/>
        </w:rPr>
        <w:t>本年度残疾人事业发展经费减少，上级专项资金减少</w:t>
      </w:r>
      <w:r>
        <w:rPr>
          <w:rFonts w:ascii="方正仿宋_GBK" w:hAnsi="方正仿宋_GBK" w:eastAsia="方正仿宋_GBK" w:cs="方正仿宋_GBK"/>
          <w:color w:val="333333"/>
          <w:kern w:val="2"/>
          <w:sz w:val="32"/>
          <w:szCs w:val="32"/>
          <w:shd w:val="clear" w:color="auto" w:fill="FFFFFF"/>
        </w:rPr>
        <w:t>，收</w:t>
      </w:r>
      <w:r>
        <w:rPr>
          <w:rFonts w:ascii="方正仿宋_GBK" w:hAnsi="方正仿宋_GBK" w:eastAsia="方正仿宋_GBK" w:cs="方正仿宋_GBK"/>
          <w:color w:val="333333"/>
          <w:sz w:val="32"/>
          <w:szCs w:val="32"/>
          <w:shd w:val="clear" w:color="auto" w:fill="FFFFFF"/>
        </w:rPr>
        <w:t>支相应减少。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1056.33</w:t>
      </w:r>
      <w:r>
        <w:rPr>
          <w:rFonts w:ascii="方正仿宋_GBK" w:hAnsi="方正仿宋_GBK" w:eastAsia="方正仿宋_GBK" w:cs="方正仿宋_GBK"/>
          <w:sz w:val="32"/>
          <w:szCs w:val="32"/>
          <w:shd w:val="clear" w:color="auto" w:fill="FFFFFF"/>
        </w:rPr>
        <w:t>万元，与2023年度相比，减少179.64万元，下降14.5%。主要原因是</w:t>
      </w:r>
      <w:r>
        <w:rPr>
          <w:rFonts w:ascii="方正仿宋_GBK" w:hAnsi="方正仿宋_GBK" w:eastAsia="方正仿宋_GBK" w:cs="方正仿宋_GBK"/>
          <w:color w:val="333333"/>
          <w:sz w:val="32"/>
          <w:szCs w:val="32"/>
          <w:shd w:val="clear" w:color="auto" w:fill="FFFFFF"/>
        </w:rPr>
        <w:t>本年度残疾人事业经费减少，</w:t>
      </w:r>
      <w:r>
        <w:rPr>
          <w:rFonts w:ascii="方正仿宋_GBK" w:hAnsi="方正仿宋_GBK" w:eastAsia="方正仿宋_GBK" w:cs="方正仿宋_GBK"/>
          <w:sz w:val="32"/>
          <w:szCs w:val="32"/>
        </w:rPr>
        <w:t>收入减少。</w:t>
      </w:r>
      <w:r>
        <w:rPr>
          <w:rFonts w:ascii="方正仿宋_GBK" w:hAnsi="方正仿宋_GBK" w:eastAsia="方正仿宋_GBK" w:cs="方正仿宋_GBK"/>
          <w:sz w:val="32"/>
          <w:szCs w:val="32"/>
          <w:shd w:val="clear" w:color="auto" w:fill="FFFFFF"/>
        </w:rPr>
        <w:t>较年初预算数减少273.90万元，下降20.6%。主要原因是</w:t>
      </w:r>
      <w:r>
        <w:rPr>
          <w:rFonts w:ascii="方正仿宋_GBK" w:hAnsi="方正仿宋_GBK" w:eastAsia="方正仿宋_GBK" w:cs="方正仿宋_GBK"/>
          <w:sz w:val="32"/>
          <w:szCs w:val="32"/>
        </w:rPr>
        <w:t>残疾人事业发展经费调减预算至各镇（街）拨付。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1056.33</w:t>
      </w:r>
      <w:r>
        <w:rPr>
          <w:rFonts w:ascii="方正仿宋_GBK" w:hAnsi="方正仿宋_GBK" w:eastAsia="方正仿宋_GBK" w:cs="方正仿宋_GBK"/>
          <w:sz w:val="32"/>
          <w:szCs w:val="32"/>
          <w:shd w:val="clear" w:color="auto" w:fill="FFFFFF"/>
        </w:rPr>
        <w:t>万元，与2023年度相比，减少179.83万元，下降14.6%。主要原因是</w:t>
      </w:r>
      <w:r>
        <w:rPr>
          <w:rFonts w:ascii="方正仿宋_GBK" w:hAnsi="方正仿宋_GBK" w:eastAsia="方正仿宋_GBK" w:cs="方正仿宋_GBK"/>
          <w:color w:val="333333"/>
          <w:sz w:val="32"/>
          <w:szCs w:val="32"/>
          <w:shd w:val="clear" w:color="auto" w:fill="FFFFFF"/>
        </w:rPr>
        <w:t>本年度残疾人事业经费减少，支出减少</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较年初预算数减少273.90万元，下降20.6%。主要原因是</w:t>
      </w:r>
      <w:r>
        <w:rPr>
          <w:rFonts w:ascii="方正仿宋_GBK" w:hAnsi="方正仿宋_GBK" w:eastAsia="方正仿宋_GBK" w:cs="方正仿宋_GBK"/>
          <w:sz w:val="32"/>
          <w:szCs w:val="32"/>
        </w:rPr>
        <w:t>残疾人事业发展经费调减预算至各镇（街）拨付。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与上年持平，严格按照预算开支费用，项目经费及时支付。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，较年初预算数减少0.13万元，下降33.3%，主要原因是</w:t>
      </w:r>
      <w:r>
        <w:rPr>
          <w:rFonts w:ascii="方正仿宋_GBK" w:hAnsi="方正仿宋_GBK" w:eastAsia="方正仿宋_GBK" w:cs="方正仿宋_GBK"/>
          <w:sz w:val="32"/>
          <w:szCs w:val="32"/>
        </w:rPr>
        <w:t>严格按照年初预算开支费用，2024年度本级单位职工外出培训减少，教育支出减少。</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1040.20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98.5%</w:t>
      </w:r>
      <w:r>
        <w:rPr>
          <w:rFonts w:ascii="方正仿宋_GBK" w:hAnsi="方正仿宋_GBK" w:eastAsia="方正仿宋_GBK" w:cs="方正仿宋_GBK"/>
          <w:sz w:val="32"/>
          <w:szCs w:val="32"/>
          <w:shd w:val="clear" w:color="auto" w:fill="FFFFFF"/>
        </w:rPr>
        <w:t>，较年初预算数减少273.78万元，下降20.8%，主要原因是</w:t>
      </w:r>
      <w:r>
        <w:rPr>
          <w:rFonts w:ascii="方正仿宋_GBK" w:hAnsi="方正仿宋_GBK" w:eastAsia="方正仿宋_GBK" w:cs="方正仿宋_GBK"/>
          <w:sz w:val="32"/>
          <w:szCs w:val="32"/>
        </w:rPr>
        <w:t>残疾人事业发展经费调减至各镇（街）拨付。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严格预算</w:t>
      </w:r>
      <w:bookmarkStart w:id="1" w:name="_GoBack"/>
      <w:bookmarkEnd w:id="1"/>
      <w:r>
        <w:rPr>
          <w:rFonts w:hint="default" w:ascii="方正仿宋_GBK" w:hAnsi="方正仿宋_GBK" w:eastAsia="方正仿宋_GBK" w:cs="方正仿宋_GBK"/>
          <w:sz w:val="32"/>
          <w:szCs w:val="32"/>
          <w:shd w:val="clear" w:color="auto" w:fill="FFFFFF"/>
        </w:rPr>
        <w:t>执行</w:t>
      </w:r>
      <w:r>
        <w:rPr>
          <w:rFonts w:ascii="方正仿宋_GBK" w:hAnsi="方正仿宋_GBK" w:eastAsia="方正仿宋_GBK" w:cs="方正仿宋_GBK"/>
          <w:sz w:val="32"/>
          <w:szCs w:val="32"/>
        </w:rPr>
        <w:t>。</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严格预算</w:t>
      </w:r>
      <w:r>
        <w:rPr>
          <w:rFonts w:hint="default" w:ascii="方正仿宋_GBK" w:hAnsi="方正仿宋_GBK" w:eastAsia="方正仿宋_GBK" w:cs="方正仿宋_GBK"/>
          <w:sz w:val="32"/>
          <w:szCs w:val="32"/>
          <w:shd w:val="clear" w:color="auto" w:fill="FFFFFF"/>
        </w:rPr>
        <w:t>执行</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160.25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138.75</w:t>
      </w:r>
      <w:r>
        <w:rPr>
          <w:rFonts w:ascii="方正仿宋_GBK" w:hAnsi="方正仿宋_GBK" w:eastAsia="方正仿宋_GBK" w:cs="方正仿宋_GBK"/>
          <w:sz w:val="32"/>
          <w:szCs w:val="32"/>
          <w:shd w:val="clear" w:color="auto" w:fill="FFFFFF"/>
        </w:rPr>
        <w:t>万元，与2023年度相比，减少14.43万元，下降9.4%，主要原因是2023年1名退休人员于下半年退休，较本年度人员经费减少，人员经费用途主要包括职工基</w:t>
      </w:r>
      <w:r>
        <w:rPr>
          <w:rFonts w:ascii="方正仿宋_GBK" w:hAnsi="方正仿宋_GBK" w:eastAsia="方正仿宋_GBK" w:cs="方正仿宋_GBK"/>
          <w:sz w:val="32"/>
          <w:szCs w:val="32"/>
        </w:rPr>
        <w:t>本工资、津贴补贴、奖金、绩效工资、社会保障缴费等。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万元，与2023年度相比，减少13.12万元，下降37.9%，主要原因是</w:t>
      </w:r>
      <w:r>
        <w:rPr>
          <w:rFonts w:ascii="方正仿宋_GBK" w:hAnsi="方正仿宋_GBK" w:eastAsia="方正仿宋_GBK" w:cs="方正仿宋_GBK"/>
          <w:color w:val="333333"/>
          <w:sz w:val="32"/>
          <w:szCs w:val="32"/>
          <w:shd w:val="clear" w:color="auto" w:fill="FFFFFF"/>
        </w:rPr>
        <w:t>严格压缩机关一般性支出，政策性公用经费减少。</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单位办公费，印刷费，邮电费，培训费，差旅费，劳务费等。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174.10</w:t>
      </w:r>
      <w:r>
        <w:rPr>
          <w:rFonts w:ascii="方正仿宋_GBK" w:hAnsi="方正仿宋_GBK" w:eastAsia="方正仿宋_GBK" w:cs="方正仿宋_GBK"/>
          <w:sz w:val="32"/>
          <w:szCs w:val="32"/>
          <w:shd w:val="clear" w:color="auto" w:fill="FFFFFF"/>
        </w:rPr>
        <w:t>万元，与2023年度相比，增加38.10万元，增长28.0%，主要原因是上级补助资金增加，主要用于残疾儿童救助等</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174.10</w:t>
      </w:r>
      <w:r>
        <w:rPr>
          <w:rFonts w:ascii="方正仿宋_GBK" w:hAnsi="方正仿宋_GBK" w:eastAsia="方正仿宋_GBK" w:cs="方正仿宋_GBK"/>
          <w:sz w:val="32"/>
          <w:szCs w:val="32"/>
          <w:shd w:val="clear" w:color="auto" w:fill="FFFFFF"/>
        </w:rPr>
        <w:t>万元，与2023年度相比，增加38.10万元，增长28.0%，主要原因上级补助资金增加，残疾儿童救助支出增加</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万元，较年初预算数减少0.77万元，下降50.0%，主要原因是</w:t>
      </w:r>
      <w:r>
        <w:rPr>
          <w:rFonts w:ascii="方正仿宋_GBK" w:eastAsia="方正仿宋_GBK"/>
          <w:sz w:val="32"/>
          <w:szCs w:val="32"/>
        </w:rPr>
        <w:t>我会认真贯彻落实中央八项规定精神和厉行节约要求，在公务接待费上全年实际支出较预算有</w:t>
      </w:r>
      <w:r>
        <w:rPr>
          <w:rFonts w:ascii="方正仿宋_GBK" w:hAnsi="方正仿宋_GBK" w:eastAsia="方正仿宋_GBK" w:cs="方正仿宋_GBK"/>
          <w:sz w:val="32"/>
          <w:szCs w:val="32"/>
        </w:rPr>
        <w:t>所下降，公务车按车管所文件调至总社，费用经总社支出，公务车运行维护费较上年支出减少。</w:t>
      </w:r>
      <w:r>
        <w:rPr>
          <w:rFonts w:ascii="方正仿宋_GBK" w:hAnsi="方正仿宋_GBK" w:eastAsia="方正仿宋_GBK" w:cs="方正仿宋_GBK"/>
          <w:sz w:val="32"/>
          <w:szCs w:val="32"/>
          <w:shd w:val="clear" w:color="auto" w:fill="FFFFFF"/>
        </w:rPr>
        <w:t>较上年支出数减少5.77万元，下降88.2%，主要原因是</w:t>
      </w:r>
      <w:r>
        <w:rPr>
          <w:rFonts w:ascii="方正仿宋_GBK" w:eastAsia="方正仿宋_GBK"/>
          <w:sz w:val="32"/>
          <w:szCs w:val="32"/>
        </w:rPr>
        <w:t>我会认真贯彻落实中央八项规定精神和厉行节约要求，在公务接待费上全年实际支出较预算有</w:t>
      </w:r>
      <w:r>
        <w:rPr>
          <w:rFonts w:ascii="方正仿宋_GBK" w:hAnsi="方正仿宋_GBK" w:eastAsia="方正仿宋_GBK" w:cs="方正仿宋_GBK"/>
          <w:sz w:val="32"/>
          <w:szCs w:val="32"/>
        </w:rPr>
        <w:t>所下降，公务车按车管所文件调至总社，费用经总社支出，公务车运行维护费较上年支出减少。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与上年持平，2024年度未发生因公出国（境）支出。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本单位</w:t>
      </w:r>
      <w:r>
        <w:rPr>
          <w:rFonts w:ascii="方正仿宋_GBK" w:hAnsi="方正仿宋_GBK" w:eastAsia="方正仿宋_GBK" w:cs="方正仿宋_GBK"/>
          <w:sz w:val="32"/>
          <w:szCs w:val="32"/>
        </w:rPr>
        <w:t>2024年度未发生公务车购置支出</w:t>
      </w:r>
      <w:r>
        <w:rPr>
          <w:rFonts w:ascii="方正仿宋_GBK" w:hAnsi="方正仿宋_GBK" w:eastAsia="方正仿宋_GBK" w:cs="方正仿宋_GBK"/>
          <w:sz w:val="32"/>
          <w:szCs w:val="32"/>
          <w:shd w:val="clear" w:color="auto" w:fill="FFFFFF"/>
        </w:rPr>
        <w:t>。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本单位2024年度未发生公务车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本单位2024年度未发生公务车</w:t>
      </w:r>
      <w:r>
        <w:rPr>
          <w:rFonts w:ascii="方正仿宋_GBK" w:hAnsi="方正仿宋_GBK" w:eastAsia="方正仿宋_GBK" w:cs="方正仿宋_GBK"/>
          <w:sz w:val="32"/>
          <w:szCs w:val="32"/>
          <w:shd w:val="clear" w:color="auto" w:fill="FFFFFF"/>
        </w:rPr>
        <w:t>运行维护费支出。较上年支出数减少5.00万元，下降100.0%，主要原因是</w:t>
      </w:r>
      <w:r>
        <w:rPr>
          <w:rFonts w:ascii="方正仿宋_GBK" w:hAnsi="方正仿宋_GBK" w:eastAsia="方正仿宋_GBK" w:cs="方正仿宋_GBK"/>
          <w:sz w:val="32"/>
          <w:szCs w:val="32"/>
        </w:rPr>
        <w:t>公务车按车管所文件调至总社，费用经总社支出，公务车运行维护费较上年支出减少。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333333"/>
          <w:sz w:val="32"/>
          <w:szCs w:val="32"/>
          <w:shd w:val="clear" w:color="auto" w:fill="FFFFFF"/>
        </w:rPr>
        <w:t>市级和其他区县残联来垫调研，检查残疾人工作等。</w:t>
      </w:r>
      <w:r>
        <w:rPr>
          <w:rFonts w:ascii="方正仿宋_GBK" w:hAnsi="方正仿宋_GBK" w:eastAsia="方正仿宋_GBK" w:cs="方正仿宋_GBK"/>
          <w:sz w:val="32"/>
          <w:szCs w:val="32"/>
          <w:shd w:val="clear" w:color="auto" w:fill="FFFFFF"/>
        </w:rPr>
        <w:t>费用支出较年初预算数减少0.77万元，下降50.0%，主要原因是</w:t>
      </w:r>
      <w:r>
        <w:rPr>
          <w:rFonts w:ascii="方正仿宋_GBK" w:hAnsi="方正仿宋_GBK" w:eastAsia="方正仿宋_GBK" w:cs="方正仿宋_GBK"/>
          <w:sz w:val="32"/>
          <w:szCs w:val="32"/>
        </w:rPr>
        <w:t>严格按照八项规定精神，控制接待人数。</w:t>
      </w:r>
      <w:r>
        <w:rPr>
          <w:rFonts w:ascii="方正仿宋_GBK" w:hAnsi="方正仿宋_GBK" w:eastAsia="方正仿宋_GBK" w:cs="方正仿宋_GBK"/>
          <w:sz w:val="32"/>
          <w:szCs w:val="32"/>
          <w:shd w:val="clear" w:color="auto" w:fill="FFFFFF"/>
        </w:rPr>
        <w:t>较上年支出数减少0.77万元，下降50.0%，主要原因是</w:t>
      </w:r>
      <w:r>
        <w:rPr>
          <w:rFonts w:ascii="方正仿宋_GBK" w:hAnsi="方正仿宋_GBK" w:eastAsia="方正仿宋_GBK" w:cs="方正仿宋_GBK"/>
          <w:sz w:val="32"/>
          <w:szCs w:val="32"/>
        </w:rPr>
        <w:t>严格按照八项规定精神，控制接待人数。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70.73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万元，与2023年度相比，减少0.37万元，下降84.1%，主要原因是</w:t>
      </w:r>
      <w:r>
        <w:rPr>
          <w:rFonts w:ascii="方正仿宋_GBK" w:hAnsi="方正仿宋_GBK" w:eastAsia="方正仿宋_GBK" w:cs="方正仿宋_GBK"/>
          <w:sz w:val="32"/>
          <w:szCs w:val="32"/>
        </w:rPr>
        <w:t>本年度严控预算支出且会议减少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2.90</w:t>
      </w:r>
      <w:r>
        <w:rPr>
          <w:rFonts w:ascii="方正仿宋_GBK" w:hAnsi="方正仿宋_GBK" w:eastAsia="方正仿宋_GBK" w:cs="方正仿宋_GBK"/>
          <w:sz w:val="32"/>
          <w:szCs w:val="32"/>
          <w:shd w:val="clear" w:color="auto" w:fill="FFFFFF"/>
        </w:rPr>
        <w:t>万元，与2023年度相比，减少4.41万元，下降60.3%，主要原因是</w:t>
      </w:r>
      <w:r>
        <w:rPr>
          <w:rFonts w:ascii="方正仿宋_GBK" w:hAnsi="方正仿宋_GBK" w:eastAsia="方正仿宋_GBK" w:cs="方正仿宋_GBK"/>
          <w:sz w:val="32"/>
          <w:szCs w:val="32"/>
        </w:rPr>
        <w:t>本年度严控预算支出且培训减少。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21.50</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单位</w:t>
      </w:r>
      <w:r>
        <w:rPr>
          <w:rFonts w:ascii="方正仿宋_GBK" w:eastAsia="方正仿宋_GBK"/>
          <w:sz w:val="32"/>
          <w:szCs w:val="32"/>
        </w:rPr>
        <w:t>办公费，邮电费，劳务费，公务用车运行维护费、公务接待费，差旅费等。</w:t>
      </w:r>
      <w:r>
        <w:rPr>
          <w:rFonts w:ascii="方正仿宋_GBK" w:hAnsi="方正仿宋_GBK" w:eastAsia="方正仿宋_GBK" w:cs="方正仿宋_GBK"/>
          <w:sz w:val="32"/>
          <w:szCs w:val="32"/>
          <w:shd w:val="clear" w:color="auto" w:fill="FFFFFF"/>
        </w:rPr>
        <w:t>机关运行经费较上年支出数减少13.12万元，下降37.9%，主要原因是</w:t>
      </w:r>
      <w:r>
        <w:rPr>
          <w:rFonts w:ascii="方正仿宋_GBK" w:hAnsi="方正仿宋_GBK" w:eastAsia="方正仿宋_GBK" w:cs="方正仿宋_GBK"/>
          <w:color w:val="333333"/>
          <w:sz w:val="32"/>
          <w:szCs w:val="32"/>
          <w:shd w:val="clear" w:color="auto" w:fill="FFFFFF"/>
        </w:rPr>
        <w:t>严格压缩机关一般性支出，政策性公用经费减少。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459.19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142.51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76.81</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239.87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439.10万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95.6</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439.10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95.6</w:t>
      </w:r>
      <w:r>
        <w:rPr>
          <w:rFonts w:ascii="方正仿宋_GBK" w:hAnsi="方正仿宋_GBK" w:eastAsia="方正仿宋_GBK" w:cs="方正仿宋_GBK"/>
          <w:sz w:val="32"/>
          <w:szCs w:val="32"/>
          <w:shd w:val="clear" w:color="auto" w:fill="FFFFFF"/>
        </w:rPr>
        <w:t>%。主要用于采购</w:t>
      </w:r>
      <w:r>
        <w:rPr>
          <w:rFonts w:ascii="方正仿宋_GBK" w:eastAsia="方正仿宋_GBK"/>
          <w:sz w:val="32"/>
          <w:szCs w:val="32"/>
        </w:rPr>
        <w:t>残疾人基本型辅助器具和残疾少年儿童康教托三结合项目及补充以前年度合同金额登记。</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w:t>
      </w:r>
      <w:r>
        <w:rPr>
          <w:rFonts w:hint="eastAsia" w:ascii="方正仿宋_GBK" w:hAnsi="方正仿宋_GBK" w:eastAsia="方正仿宋_GBK" w:cs="方正仿宋_GBK"/>
          <w:sz w:val="32"/>
          <w:szCs w:val="32"/>
        </w:rPr>
        <w:t>1,070.18</w:t>
      </w:r>
      <w:r>
        <w:rPr>
          <w:rFonts w:hint="eastAsia" w:ascii="方正仿宋_GBK" w:hAnsi="方正仿宋_GBK" w:eastAsia="方正仿宋_GBK" w:cs="方正仿宋_GBK"/>
          <w:sz w:val="32"/>
          <w:szCs w:val="32"/>
          <w:shd w:val="clear" w:color="auto" w:fill="FFFFFF"/>
        </w:rPr>
        <w:t>万元。</w:t>
      </w: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240" w:firstLineChars="100"/>
        <w:rPr>
          <w:rFonts w:ascii="方正仿宋_GBK" w:hAnsi="方正仿宋_GBK" w:eastAsia="方正仿宋_GBK" w:cs="方正仿宋_GBK"/>
          <w:b/>
          <w:bCs/>
          <w:sz w:val="32"/>
          <w:szCs w:val="32"/>
          <w:shd w:val="clear" w:color="auto" w:fill="FFFFFF"/>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277485" cy="5384165"/>
            <wp:effectExtent l="0" t="0" r="18415"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7485" cy="5384165"/>
                    </a:xfrm>
                    <a:prstGeom prst="rect">
                      <a:avLst/>
                    </a:prstGeom>
                    <a:noFill/>
                    <a:ln>
                      <a:noFill/>
                    </a:ln>
                  </pic:spPr>
                </pic:pic>
              </a:graphicData>
            </a:graphic>
          </wp:anchor>
        </w:drawing>
      </w: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240" w:firstLineChars="100"/>
        <w:rPr>
          <w:rFonts w:ascii="方正仿宋_GBK" w:hAnsi="方正仿宋_GBK" w:eastAsia="方正仿宋_GBK" w:cs="方正仿宋_GBK"/>
          <w:b/>
          <w:bCs/>
          <w:sz w:val="32"/>
          <w:szCs w:val="32"/>
          <w:shd w:val="clear" w:color="auto" w:fill="FFFFFF"/>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45085</wp:posOffset>
            </wp:positionV>
            <wp:extent cx="5272405" cy="5578475"/>
            <wp:effectExtent l="0" t="0" r="4445"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2405" cy="5578475"/>
                    </a:xfrm>
                    <a:prstGeom prst="rect">
                      <a:avLst/>
                    </a:prstGeom>
                    <a:noFill/>
                    <a:ln>
                      <a:noFill/>
                    </a:ln>
                  </pic:spPr>
                </pic:pic>
              </a:graphicData>
            </a:graphic>
          </wp:anchor>
        </w:drawing>
      </w: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321" w:firstLineChars="1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0"/>
          <w:sz w:val="32"/>
          <w:szCs w:val="32"/>
          <w:shd w:val="clear" w:fill="FFFFFF"/>
          <w:lang w:val="en-US" w:eastAsia="zh-CN"/>
        </w:rPr>
        <w:t>县</w:t>
      </w:r>
      <w:r>
        <w:rPr>
          <w:rFonts w:hint="eastAsia" w:ascii="方正仿宋_GBK" w:hAnsi="方正仿宋_GBK" w:eastAsia="方正仿宋_GBK" w:cs="方正仿宋_GBK"/>
          <w:kern w:val="0"/>
          <w:sz w:val="32"/>
          <w:szCs w:val="32"/>
          <w:shd w:val="clear" w:fill="FFFFFF"/>
        </w:rPr>
        <w:t>财政局委托第三方对我</w:t>
      </w:r>
      <w:r>
        <w:rPr>
          <w:rFonts w:hint="eastAsia" w:ascii="方正仿宋_GBK" w:hAnsi="方正仿宋_GBK" w:eastAsia="方正仿宋_GBK" w:cs="方正仿宋_GBK"/>
          <w:kern w:val="0"/>
          <w:sz w:val="32"/>
          <w:szCs w:val="32"/>
          <w:shd w:val="clear" w:fill="FFFFFF"/>
          <w:lang w:eastAsia="zh-CN"/>
        </w:rPr>
        <w:t>单位残疾人康复</w:t>
      </w:r>
      <w:r>
        <w:rPr>
          <w:rFonts w:hint="eastAsia" w:ascii="方正仿宋_GBK" w:hAnsi="方正仿宋_GBK" w:eastAsia="方正仿宋_GBK" w:cs="方正仿宋_GBK"/>
          <w:kern w:val="0"/>
          <w:sz w:val="32"/>
          <w:szCs w:val="32"/>
          <w:shd w:val="clear" w:fill="FFFFFF"/>
        </w:rPr>
        <w:t>开展了绩效评价，对</w:t>
      </w:r>
      <w:r>
        <w:rPr>
          <w:rFonts w:hint="eastAsia" w:ascii="方正仿宋_GBK" w:hAnsi="方正仿宋_GBK" w:eastAsia="方正仿宋_GBK" w:cs="方正仿宋_GBK"/>
          <w:kern w:val="0"/>
          <w:sz w:val="32"/>
          <w:szCs w:val="32"/>
          <w:shd w:val="clear" w:fill="FFFFFF"/>
          <w:lang w:eastAsia="zh-CN"/>
        </w:rPr>
        <w:t>残疾人康复</w:t>
      </w:r>
      <w:r>
        <w:rPr>
          <w:rFonts w:hint="eastAsia" w:ascii="方正仿宋_GBK" w:hAnsi="方正仿宋_GBK" w:eastAsia="方正仿宋_GBK" w:cs="方正仿宋_GBK"/>
          <w:kern w:val="0"/>
          <w:sz w:val="32"/>
          <w:szCs w:val="32"/>
          <w:shd w:val="clear" w:fill="FFFFFF"/>
        </w:rPr>
        <w:t>开展了重点绩效评价，涉及财政拨款项目资金101.39万元，评价得分8</w:t>
      </w:r>
      <w:r>
        <w:rPr>
          <w:rFonts w:hint="eastAsia" w:ascii="方正仿宋_GBK" w:hAnsi="方正仿宋_GBK" w:eastAsia="方正仿宋_GBK" w:cs="方正仿宋_GBK"/>
          <w:kern w:val="0"/>
          <w:sz w:val="32"/>
          <w:szCs w:val="32"/>
          <w:shd w:val="clear" w:fill="FFFFFF"/>
          <w:lang w:val="en-US" w:eastAsia="zh-CN"/>
        </w:rPr>
        <w:t>7</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9分，评价等次为良，绩效评价发现了绩效目标不完善，指标编制不规范；预算编制科学性不足，测算明细度不够；资金使用合规性有瑕疵，资金监控力度较弱；康复训练效果有待提升，项目可持续性欠佳等主要问题，提出</w:t>
      </w:r>
      <w:bookmarkStart w:id="0" w:name="_Toc221"/>
      <w:r>
        <w:rPr>
          <w:rFonts w:hint="eastAsia" w:ascii="方正仿宋_GBK" w:hAnsi="方正仿宋_GBK" w:eastAsia="方正仿宋_GBK" w:cs="方正仿宋_GBK"/>
          <w:kern w:val="0"/>
          <w:sz w:val="32"/>
          <w:szCs w:val="32"/>
          <w:shd w:val="clear" w:fill="FFFFFF"/>
          <w:lang w:val="en-US" w:eastAsia="zh-CN"/>
        </w:rPr>
        <w:t>重视绩效目标前置作用，推进绩效关口前移</w:t>
      </w:r>
      <w:bookmarkEnd w:id="0"/>
      <w:r>
        <w:rPr>
          <w:rFonts w:hint="eastAsia" w:ascii="方正仿宋_GBK" w:hAnsi="方正仿宋_GBK" w:eastAsia="方正仿宋_GBK" w:cs="方正仿宋_GBK"/>
          <w:kern w:val="0"/>
          <w:sz w:val="32"/>
          <w:szCs w:val="32"/>
          <w:shd w:val="clear" w:fill="FFFFFF"/>
          <w:lang w:val="en-US" w:eastAsia="zh-CN"/>
        </w:rPr>
        <w:t>；精细化编制项目预算，确保预算精准度；加强结算审核力度，合理统筹使用上级资金；做好残疾家庭心理辅导工作，提高师资力量服务水平</w:t>
      </w:r>
      <w:r>
        <w:rPr>
          <w:rFonts w:hint="eastAsia" w:ascii="方正仿宋_GBK" w:hAnsi="方正仿宋_GBK" w:eastAsia="方正仿宋_GBK" w:cs="方正仿宋_GBK"/>
          <w:kern w:val="0"/>
          <w:sz w:val="32"/>
          <w:szCs w:val="32"/>
          <w:shd w:val="clear" w:fill="FFFFFF"/>
        </w:rPr>
        <w:t>等下一步工作建议。</w:t>
      </w:r>
      <w:r>
        <w:rPr>
          <w:rStyle w:val="13"/>
          <w:rFonts w:hint="eastAsia" w:ascii="方正仿宋_GBK" w:hAnsi="方正仿宋_GBK" w:eastAsia="方正仿宋_GBK" w:cs="方正仿宋_GBK"/>
          <w:sz w:val="32"/>
          <w:szCs w:val="32"/>
          <w:shd w:val="clear" w:color="auto" w:fill="FFFFFF"/>
        </w:rPr>
        <w:t xml:space="preserve">  </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董老师   023-74525740</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垫江县残疾人联合会（本级）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1,230.43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1,230.43</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1,230.43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垫江县残疾人联合会（本级）</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1,230.43</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1,230.43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1,040.20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1,040.20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1,002.37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垫江县残疾人联合会（本级）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1,230.43</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160.25</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1,070.18</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1,040.20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144.12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1,002.37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106.32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896.05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垫江县残疾人联合会（本级）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1,056.33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1,230.43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1,230.43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1,056.33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174.10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垫江县残疾人联合会（本级）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160.25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896.08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144.12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1,002.37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106.32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896.05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106.32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垫江县残疾人联合会（本级）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138.75</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垫江县残疾人联合会（本级）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174.10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垫江县残疾人联合会（本级）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垫江县残疾人联合会（本级）</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459.19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142.51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76.81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439.10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439.10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2.90</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7345A"/>
    <w:rsid w:val="000C01CC"/>
    <w:rsid w:val="000D7702"/>
    <w:rsid w:val="000F6721"/>
    <w:rsid w:val="001632EC"/>
    <w:rsid w:val="001C738B"/>
    <w:rsid w:val="00251D4B"/>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61615"/>
    <w:rsid w:val="0068170B"/>
    <w:rsid w:val="006934BB"/>
    <w:rsid w:val="006E136D"/>
    <w:rsid w:val="006E2034"/>
    <w:rsid w:val="00732392"/>
    <w:rsid w:val="00792285"/>
    <w:rsid w:val="007A0D2E"/>
    <w:rsid w:val="007A3314"/>
    <w:rsid w:val="007B419D"/>
    <w:rsid w:val="007B4D85"/>
    <w:rsid w:val="007C5C5B"/>
    <w:rsid w:val="00810F13"/>
    <w:rsid w:val="00826B47"/>
    <w:rsid w:val="00893689"/>
    <w:rsid w:val="009354EF"/>
    <w:rsid w:val="00940231"/>
    <w:rsid w:val="00944711"/>
    <w:rsid w:val="009574D5"/>
    <w:rsid w:val="00980CAD"/>
    <w:rsid w:val="009821E3"/>
    <w:rsid w:val="00984852"/>
    <w:rsid w:val="009B37A6"/>
    <w:rsid w:val="009B67B8"/>
    <w:rsid w:val="00A03B1E"/>
    <w:rsid w:val="00A33C7F"/>
    <w:rsid w:val="00A67739"/>
    <w:rsid w:val="00A820B7"/>
    <w:rsid w:val="00A830E1"/>
    <w:rsid w:val="00AC5566"/>
    <w:rsid w:val="00B03CCD"/>
    <w:rsid w:val="00B104B0"/>
    <w:rsid w:val="00B20CBC"/>
    <w:rsid w:val="00B40138"/>
    <w:rsid w:val="00BF511A"/>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7615E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E065A3"/>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8B4941"/>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3B42EE"/>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2C4588"/>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2CD4C2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0B360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BFC1A52"/>
    <w:rsid w:val="7C3A7C0B"/>
    <w:rsid w:val="7C5248E4"/>
    <w:rsid w:val="7C566698"/>
    <w:rsid w:val="7C5866A3"/>
    <w:rsid w:val="7CBE2F89"/>
    <w:rsid w:val="7D7406BB"/>
    <w:rsid w:val="7DE94331"/>
    <w:rsid w:val="7F446A19"/>
    <w:rsid w:val="7F7452B9"/>
    <w:rsid w:val="7F8401D1"/>
    <w:rsid w:val="7FAC32D7"/>
    <w:rsid w:val="EEA765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10364</Words>
  <Characters>13691</Characters>
  <Lines>119</Lines>
  <Paragraphs>33</Paragraphs>
  <TotalTime>0</TotalTime>
  <ScaleCrop>false</ScaleCrop>
  <LinksUpToDate>false</LinksUpToDate>
  <CharactersWithSpaces>14912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毕欢</cp:lastModifiedBy>
  <dcterms:modified xsi:type="dcterms:W3CDTF">2025-09-16T03:18:25Z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