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垫江县事业单位登记事务中心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widowControl w:val="0"/>
        <w:adjustRightInd w:val="0"/>
        <w:snapToGrid w:val="0"/>
        <w:spacing w:line="560" w:lineRule="exact"/>
        <w:ind w:firstLine="643" w:firstLineChars="200"/>
        <w:rPr>
          <w:rStyle w:val="10"/>
          <w:rFonts w:hint="default" w:ascii="方正楷体_GBK" w:hAnsi="方正楷体_GBK" w:eastAsia="方正楷体_GBK" w:cs="方正楷体_GBK"/>
          <w:b w:val="0"/>
          <w:bCs/>
          <w:sz w:val="32"/>
          <w:szCs w:val="32"/>
          <w:shd w:val="clear" w:color="auto" w:fill="FFFFFF"/>
          <w:lang w:bidi="ar"/>
        </w:rPr>
      </w:pPr>
      <w:r>
        <w:rPr>
          <w:rStyle w:val="10"/>
          <w:rFonts w:ascii="方正楷体_GBK" w:hAnsi="方正楷体_GBK" w:eastAsia="方正楷体_GBK" w:cs="方正楷体_GBK"/>
          <w:bCs/>
          <w:sz w:val="32"/>
          <w:szCs w:val="32"/>
          <w:shd w:val="clear" w:color="auto" w:fill="FFFFFF"/>
          <w:lang w:bidi="ar"/>
        </w:rPr>
        <w:t>（一）职能职责</w:t>
      </w:r>
    </w:p>
    <w:p>
      <w:pPr>
        <w:widowControl w:val="0"/>
        <w:adjustRightInd w:val="0"/>
        <w:snapToGrid w:val="0"/>
        <w:spacing w:line="560" w:lineRule="exact"/>
        <w:ind w:firstLine="640" w:firstLineChars="200"/>
        <w:rPr>
          <w:rFonts w:hint="default" w:ascii="Times New Roman" w:hAnsi="Times New Roman" w:eastAsia="方正仿宋_GBK"/>
          <w:sz w:val="32"/>
        </w:rPr>
      </w:pPr>
      <w:r>
        <w:rPr>
          <w:rFonts w:ascii="Times New Roman" w:hAnsi="Times New Roman" w:eastAsia="方正仿宋_GBK"/>
          <w:sz w:val="32"/>
        </w:rPr>
        <w:t>1.负责管辖范围内事业单位登记管理事务工作，负责辖区内事业单位设立、变更、注销、补领登记事务工作；2.负责实施管辖范围内事业单位法人年度报告公示工作；3.参与事业单位法人公示信息抽查；4.负责管辖范围内事业单位登记数据统计、档案管理工作；5.负责管辖范围内事业单位登记管理的社会服务工作。</w:t>
      </w:r>
    </w:p>
    <w:p>
      <w:pPr>
        <w:spacing w:line="594" w:lineRule="exact"/>
        <w:ind w:firstLine="643" w:firstLineChars="200"/>
        <w:rPr>
          <w:rStyle w:val="10"/>
          <w:rFonts w:hint="default" w:ascii="方正楷体_GBK" w:hAnsi="方正楷体_GBK" w:eastAsia="方正楷体_GBK" w:cs="方正楷体_GBK"/>
          <w:b w:val="0"/>
          <w:bCs/>
          <w:sz w:val="32"/>
          <w:szCs w:val="32"/>
          <w:shd w:val="clear" w:color="auto" w:fill="FFFFFF"/>
          <w:lang w:bidi="ar"/>
        </w:rPr>
      </w:pPr>
      <w:r>
        <w:rPr>
          <w:rStyle w:val="10"/>
          <w:rFonts w:ascii="方正楷体_GBK" w:hAnsi="方正楷体_GBK" w:eastAsia="方正楷体_GBK" w:cs="方正楷体_GBK"/>
          <w:bCs/>
          <w:sz w:val="32"/>
          <w:szCs w:val="32"/>
          <w:shd w:val="clear" w:color="auto" w:fill="FFFFFF"/>
          <w:lang w:bidi="ar"/>
        </w:rPr>
        <w:t>（二）机构设置</w:t>
      </w:r>
    </w:p>
    <w:p>
      <w:pPr>
        <w:widowControl w:val="0"/>
        <w:adjustRightInd w:val="0"/>
        <w:snapToGrid w:val="0"/>
        <w:spacing w:line="560" w:lineRule="exact"/>
        <w:ind w:firstLine="640" w:firstLineChars="200"/>
        <w:rPr>
          <w:rFonts w:hint="default" w:ascii="Times New Roman" w:hAnsi="Times New Roman" w:eastAsia="方正仿宋_GBK"/>
          <w:sz w:val="32"/>
        </w:rPr>
      </w:pPr>
      <w:r>
        <w:rPr>
          <w:rFonts w:ascii="Times New Roman" w:hAnsi="Times New Roman" w:eastAsia="方正仿宋_GBK"/>
          <w:sz w:val="32"/>
        </w:rPr>
        <w:t>根据以上职责，垫江县事业单位登记事务中心设1个内设机构：</w:t>
      </w:r>
    </w:p>
    <w:p>
      <w:pPr>
        <w:widowControl w:val="0"/>
        <w:adjustRightInd w:val="0"/>
        <w:snapToGrid w:val="0"/>
        <w:spacing w:line="560" w:lineRule="exact"/>
        <w:ind w:firstLine="640" w:firstLineChars="200"/>
        <w:rPr>
          <w:rFonts w:hint="default" w:ascii="Times New Roman" w:hAnsi="Times New Roman" w:eastAsia="方正仿宋_GBK"/>
          <w:sz w:val="32"/>
        </w:rPr>
      </w:pPr>
      <w:r>
        <w:rPr>
          <w:rFonts w:ascii="Times New Roman" w:hAnsi="Times New Roman" w:eastAsia="方正仿宋_GBK"/>
          <w:sz w:val="32"/>
        </w:rPr>
        <w:t>事业单位登记科：负责管辖范围内事业单位登记管理事务工作，负责辖区内事业单位设立、变更、注销、补领登记事务工作；负责实施管辖范围内事业单位法人年度报告公示工作；负责管辖范围内事业单位登记数据统计、档案管理工作。</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2024年度收入总计94.85万元，支出总计</w:t>
      </w:r>
      <w:r>
        <w:rPr>
          <w:rFonts w:ascii="方正仿宋_GBK" w:hAnsi="方正仿宋_GBK" w:eastAsia="方正仿宋_GBK" w:cs="方正仿宋_GBK"/>
          <w:sz w:val="32"/>
          <w:szCs w:val="32"/>
        </w:rPr>
        <w:t>94.85</w:t>
      </w:r>
      <w:r>
        <w:rPr>
          <w:rFonts w:ascii="方正仿宋_GBK" w:hAnsi="方正仿宋_GBK" w:eastAsia="方正仿宋_GBK" w:cs="方正仿宋_GBK"/>
          <w:sz w:val="32"/>
          <w:szCs w:val="32"/>
          <w:shd w:val="clear" w:color="auto" w:fill="FFFFFF"/>
        </w:rPr>
        <w:t>万元。收、支与2023年度相比，增加2.82万元，增长3.06%，主要原因是机构改革重点工作支出增加。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2024年度收入合计94.85万元，与2023年度相比，增加2.82万元，增长3.06%，主要原因是机构改革重点工作支出增加。其中：财政拨款收入</w:t>
      </w:r>
      <w:r>
        <w:rPr>
          <w:rFonts w:ascii="方正仿宋_GBK" w:hAnsi="方正仿宋_GBK" w:eastAsia="方正仿宋_GBK" w:cs="方正仿宋_GBK"/>
          <w:sz w:val="32"/>
          <w:szCs w:val="32"/>
        </w:rPr>
        <w:t>94.85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94.85</w:t>
      </w:r>
      <w:r>
        <w:rPr>
          <w:rFonts w:ascii="方正仿宋_GBK" w:hAnsi="方正仿宋_GBK" w:eastAsia="方正仿宋_GBK" w:cs="方正仿宋_GBK"/>
          <w:sz w:val="32"/>
          <w:szCs w:val="32"/>
          <w:shd w:val="clear" w:color="auto" w:fill="FFFFFF"/>
        </w:rPr>
        <w:t>万元，与2023年度相比，增加2.82万元，增长3.06%，主要原因是机构改革重点工作支出增加。其中：基本支出</w:t>
      </w:r>
      <w:r>
        <w:rPr>
          <w:rFonts w:ascii="方正仿宋_GBK" w:hAnsi="方正仿宋_GBK" w:eastAsia="方正仿宋_GBK" w:cs="方正仿宋_GBK"/>
          <w:sz w:val="32"/>
          <w:szCs w:val="32"/>
        </w:rPr>
        <w:t>94.85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万元，与2023年度相比，无增减，主要原因是无结转结余。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2024年度财政拨款收、支总计94.85万元。与2023年相比，财政拨款收、支总计各增加2.82万元，增长3.06%。主要原因是机构改革重点工作支出增加。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94.85</w:t>
      </w:r>
      <w:r>
        <w:rPr>
          <w:rFonts w:ascii="方正仿宋_GBK" w:hAnsi="方正仿宋_GBK" w:eastAsia="方正仿宋_GBK" w:cs="方正仿宋_GBK"/>
          <w:sz w:val="32"/>
          <w:szCs w:val="32"/>
          <w:shd w:val="clear" w:color="auto" w:fill="FFFFFF"/>
        </w:rPr>
        <w:t>万元，与2023年度相比，增加2.82万元，增长3.06%。主要原因是机构改革重点工作支出增加。较年初预算数减少10.04万元，下降9.57%。主要原因是人员减少。此外，年初财政拨款结转和结余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94.85</w:t>
      </w:r>
      <w:r>
        <w:rPr>
          <w:rFonts w:ascii="方正仿宋_GBK" w:hAnsi="方正仿宋_GBK" w:eastAsia="方正仿宋_GBK" w:cs="方正仿宋_GBK"/>
          <w:sz w:val="32"/>
          <w:szCs w:val="32"/>
          <w:shd w:val="clear" w:color="auto" w:fill="FFFFFF"/>
        </w:rPr>
        <w:t>万元，与2023年度相比，增加2.82万元，增长3.06%。主要原因是机构改革重点工作支出增加。较年初预算数减少10.04万元，下降9.57%。主要原因是人员减少。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71.11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74.97</w:t>
      </w:r>
      <w:r>
        <w:rPr>
          <w:rFonts w:ascii="方正仿宋_GBK" w:hAnsi="方正仿宋_GBK" w:eastAsia="方正仿宋_GBK" w:cs="方正仿宋_GBK"/>
          <w:sz w:val="32"/>
          <w:szCs w:val="32"/>
          <w:shd w:val="clear" w:color="auto" w:fill="FFFFFF"/>
        </w:rPr>
        <w:t>%，较年初预算数减少9.16万元，下降11.41%，主要原因是人员减少。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%，较年初预算数减少0.25万元，下降100.00%，主要原因是无教育支出。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11.84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12.48</w:t>
      </w:r>
      <w:r>
        <w:rPr>
          <w:rFonts w:ascii="方正仿宋_GBK" w:hAnsi="方正仿宋_GBK" w:eastAsia="方正仿宋_GBK" w:cs="方正仿宋_GBK"/>
          <w:sz w:val="32"/>
          <w:szCs w:val="32"/>
          <w:shd w:val="clear" w:color="auto" w:fill="FFFFFF"/>
        </w:rPr>
        <w:t>%，较年初预算数减少0.41万元，下降3.35%，主要原因是人员减少。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4.93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5.20</w:t>
      </w:r>
      <w:r>
        <w:rPr>
          <w:rFonts w:ascii="方正仿宋_GBK" w:hAnsi="方正仿宋_GBK" w:eastAsia="方正仿宋_GBK" w:cs="方正仿宋_GBK"/>
          <w:sz w:val="32"/>
          <w:szCs w:val="32"/>
          <w:shd w:val="clear" w:color="auto" w:fill="FFFFFF"/>
        </w:rPr>
        <w:t>%，较年初预算数减少0.17万元，下降3.33%，主要原因是人员减少。</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住房保障支出6.96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7.34</w:t>
      </w:r>
      <w:r>
        <w:rPr>
          <w:rFonts w:ascii="方正仿宋_GBK" w:hAnsi="方正仿宋_GBK" w:eastAsia="方正仿宋_GBK" w:cs="方正仿宋_GBK"/>
          <w:sz w:val="32"/>
          <w:szCs w:val="32"/>
          <w:shd w:val="clear" w:color="auto" w:fill="FFFFFF"/>
        </w:rPr>
        <w:t>%，较年初预算数减少0.06万元，下降0.85%，主要原因是人员减少。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94.85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74.83</w:t>
      </w:r>
      <w:r>
        <w:rPr>
          <w:rFonts w:ascii="方正仿宋_GBK" w:hAnsi="方正仿宋_GBK" w:eastAsia="方正仿宋_GBK" w:cs="方正仿宋_GBK"/>
          <w:sz w:val="32"/>
          <w:szCs w:val="32"/>
          <w:shd w:val="clear" w:color="auto" w:fill="FFFFFF"/>
        </w:rPr>
        <w:t>万元，与2023年度相比，减少3.77万元，下降4.80%，主要原因是人员减少。人员经费用途主要包括</w:t>
      </w:r>
      <w:r>
        <w:rPr>
          <w:rFonts w:hint="default" w:ascii="方正仿宋_GBK" w:hAnsi="方正仿宋_GBK" w:eastAsia="方正仿宋_GBK" w:cs="方正仿宋_GBK"/>
          <w:sz w:val="32"/>
          <w:szCs w:val="32"/>
          <w:lang w:bidi="ar"/>
        </w:rPr>
        <w:t>基本工资、津贴补贴、奖金、社会保障缴费</w:t>
      </w:r>
      <w:r>
        <w:rPr>
          <w:rFonts w:ascii="方正仿宋_GBK" w:hAnsi="方正仿宋_GBK" w:eastAsia="方正仿宋_GBK" w:cs="方正仿宋_GBK"/>
          <w:sz w:val="32"/>
          <w:szCs w:val="32"/>
          <w:lang w:bidi="ar"/>
        </w:rPr>
        <w:t>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20.02</w:t>
      </w:r>
      <w:r>
        <w:rPr>
          <w:rFonts w:ascii="方正仿宋_GBK" w:hAnsi="方正仿宋_GBK" w:eastAsia="方正仿宋_GBK" w:cs="方正仿宋_GBK"/>
          <w:sz w:val="32"/>
          <w:szCs w:val="32"/>
          <w:shd w:val="clear" w:color="auto" w:fill="FFFFFF"/>
        </w:rPr>
        <w:t>万元，与2023年度相比，增加6.59万元，增长49.07%，主要原因是机构改革重点工作支出增加。公用经费用途主要包括</w:t>
      </w:r>
      <w:r>
        <w:rPr>
          <w:rFonts w:ascii="方正仿宋_GBK" w:hAnsi="方正仿宋_GBK" w:eastAsia="方正仿宋_GBK" w:cs="方正仿宋_GBK"/>
          <w:sz w:val="32"/>
          <w:szCs w:val="32"/>
          <w:lang w:bidi="ar"/>
        </w:rPr>
        <w:t>办公费、邮电费、差旅费、培训费、公务接待费、劳务费、工会经费、其他交通费用、其他商品和服务支出等</w:t>
      </w:r>
      <w:r>
        <w:rPr>
          <w:rFonts w:hint="default" w:ascii="Times New Roman" w:hAnsi="Times New Roman" w:eastAsia="方正仿宋_GBK"/>
          <w:sz w:val="32"/>
          <w:szCs w:val="32"/>
          <w:shd w:val="clear" w:color="auto" w:fill="FFFFFF"/>
          <w:lang w:bidi="ar"/>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bookmarkStart w:id="0" w:name="_GoBack"/>
      <w:bookmarkEnd w:id="0"/>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经费支出。较上年支出数无增减，主要原因是我单位本年及上年均未发生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万元，与2023年度相比，无增减，主要原因是2024年无会议支出。本年度培训费支出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万元，与2023年度相比，无变化，主要原因是2024年无培训支出。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20.02</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lang w:bidi="ar"/>
        </w:rPr>
        <w:t>办公费、公务接待费、其他交通费用、工作餐费等</w:t>
      </w:r>
      <w:r>
        <w:rPr>
          <w:rFonts w:hint="default"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机关运行经费较上年支出数增加6.59万元，增长49.07%，主要原因是机构改革重点工作支出增加。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我单位无项目资金，故无自评情况。</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本单位决算公开信息反馈和联系方式：谭老师023-74525402</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垫江县事业单位登记事务中心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94.85</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垫江县事业单位登记事务中心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94.85</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94.85</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垫江县事业单位登记事务中心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94.85</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94.85</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垫江县事业单位登记事务中心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垫江县事业单位登记事务中心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94.85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94.85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71.11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垫江县事业单位登记事务中心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74.83</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垫江县事业单位登记事务中心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垫江县事业单位登记事务中心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垫江县事业单位登记事务中心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239C6"/>
    <w:rsid w:val="001D3BB7"/>
    <w:rsid w:val="002B254B"/>
    <w:rsid w:val="0034050A"/>
    <w:rsid w:val="003E4CFE"/>
    <w:rsid w:val="0044504F"/>
    <w:rsid w:val="00466C9B"/>
    <w:rsid w:val="00486CFC"/>
    <w:rsid w:val="00491DDD"/>
    <w:rsid w:val="00550ABE"/>
    <w:rsid w:val="005721A8"/>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DF2001"/>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8096E"/>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5977DEC"/>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8225</Words>
  <Characters>10213</Characters>
  <Lines>91</Lines>
  <Paragraphs>25</Paragraphs>
  <TotalTime>9</TotalTime>
  <ScaleCrop>false</ScaleCrop>
  <LinksUpToDate>false</LinksUpToDate>
  <CharactersWithSpaces>11185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2025-09-16T02:20:36Z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