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0" w:firstLineChars="0"/>
        <w:jc w:val="center"/>
        <w:textAlignment w:val="auto"/>
        <w:rPr>
          <w:rFonts w:hint="default" w:ascii="方正小标宋_GBK" w:hAnsi="方正小标宋_GBK" w:eastAsia="方正小标宋_GBK" w:cs="方正小标宋_GBK"/>
          <w:b/>
          <w:bCs/>
          <w:sz w:val="44"/>
          <w:szCs w:val="44"/>
        </w:rPr>
      </w:pPr>
      <w:r>
        <w:rPr>
          <w:rFonts w:hint="default" w:ascii="方正小标宋_GBK" w:hAnsi="方正小标宋_GBK" w:eastAsia="方正小标宋_GBK" w:cs="方正小标宋_GBK"/>
          <w:b/>
          <w:bCs/>
          <w:sz w:val="44"/>
          <w:szCs w:val="44"/>
        </w:rPr>
        <w:t>垫江县档案馆2024年度决算公开说明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b/>
          <w:bCs/>
          <w:sz w:val="44"/>
          <w:szCs w:val="44"/>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一、部门基本情况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（一）职能职责</w:t>
      </w:r>
    </w:p>
    <w:p>
      <w:pPr>
        <w:pStyle w:val="8"/>
        <w:shd w:val="clear" w:color="auto" w:fill="FFFFFF"/>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贯彻执行《中华人民共和国档案法》《党史学习教育工作条例》《地方志工作条例》以及党和国家有关史志档案工作法律、法规、规章和方针政策。征集整理垫江县区域内的党史资料，研究党的历史经验，利用史志档案资料开展社会教育服务，向社会进行爱国主义教育、革命传统教育，为社会主义建设和自身建设服务。组织地方志书编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（二）机构设置</w:t>
      </w:r>
    </w:p>
    <w:p>
      <w:pPr>
        <w:pStyle w:val="8"/>
        <w:shd w:val="clear" w:color="auto" w:fill="FFFFFF"/>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共有编制14名，实有人员13名，退休人员16名。内设办公室、档案馆务科、档案业务科、党史编研科和地方志工作科。</w:t>
      </w:r>
    </w:p>
    <w:p>
      <w:pPr>
        <w:pStyle w:val="8"/>
        <w:shd w:val="clear" w:color="auto" w:fill="FFFFFF"/>
        <w:spacing w:before="0" w:beforeAutospacing="0" w:after="0" w:afterAutospacing="0" w:line="596" w:lineRule="exact"/>
        <w:ind w:firstLine="643" w:firstLineChars="200"/>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二、部门决算收支情况说明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（一）收入支出决算总体情况说明。</w:t>
      </w:r>
    </w:p>
    <w:p>
      <w:pPr>
        <w:snapToGrid w:val="0"/>
        <w:spacing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2024年度收入总计485.56万元，支出总计</w:t>
      </w:r>
      <w:r>
        <w:rPr>
          <w:rFonts w:hint="default" w:ascii="Times New Roman" w:hAnsi="Times New Roman" w:eastAsia="方正仿宋_GBK" w:cs="Times New Roman"/>
          <w:sz w:val="32"/>
          <w:szCs w:val="32"/>
        </w:rPr>
        <w:t>485.56</w:t>
      </w:r>
      <w:r>
        <w:rPr>
          <w:rFonts w:hint="default" w:ascii="Times New Roman" w:hAnsi="Times New Roman" w:eastAsia="方正仿宋_GBK" w:cs="Times New Roman"/>
          <w:sz w:val="32"/>
          <w:szCs w:val="32"/>
          <w:shd w:val="clear" w:color="auto" w:fill="FFFFFF"/>
        </w:rPr>
        <w:t>万元。收、支与2023年度相比，减少51.62万元，下降9.6%，</w:t>
      </w:r>
      <w:r>
        <w:rPr>
          <w:rFonts w:hint="default" w:ascii="Times New Roman" w:hAnsi="Times New Roman" w:eastAsia="方正仿宋_GBK" w:cs="Times New Roman"/>
          <w:sz w:val="32"/>
          <w:szCs w:val="32"/>
        </w:rPr>
        <w:t>主要原因为落实过紧日子政策，压减</w:t>
      </w:r>
      <w:r>
        <w:rPr>
          <w:rFonts w:hint="default" w:ascii="Times New Roman" w:hAnsi="Times New Roman" w:eastAsia="方正仿宋_GBK" w:cs="Times New Roman"/>
          <w:color w:val="000000"/>
          <w:sz w:val="32"/>
          <w:szCs w:val="32"/>
        </w:rPr>
        <w:t>项目经费支出及人员支出</w:t>
      </w:r>
      <w:r>
        <w:rPr>
          <w:rFonts w:hint="default" w:ascii="Times New Roman" w:hAnsi="Times New Roman" w:eastAsia="方正仿宋_GBK" w:cs="Times New Roman"/>
          <w:sz w:val="32"/>
          <w:szCs w:val="32"/>
        </w:rPr>
        <w:t>。</w:t>
      </w:r>
    </w:p>
    <w:p>
      <w:pPr>
        <w:snapToGrid w:val="0"/>
        <w:spacing w:line="594" w:lineRule="exact"/>
        <w:ind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2024年度收入合计456.03万元，与2023年度相比，减少81.15万元，下降15.1%，主要原因是</w:t>
      </w:r>
      <w:r>
        <w:rPr>
          <w:rFonts w:hint="default" w:ascii="Times New Roman" w:hAnsi="Times New Roman" w:eastAsia="方正仿宋_GBK" w:cs="Times New Roman"/>
          <w:sz w:val="32"/>
          <w:szCs w:val="32"/>
        </w:rPr>
        <w:t>落实过紧日子政策，压减</w:t>
      </w:r>
      <w:r>
        <w:rPr>
          <w:rFonts w:hint="default" w:ascii="Times New Roman" w:hAnsi="Times New Roman" w:eastAsia="方正仿宋_GBK" w:cs="Times New Roman"/>
          <w:color w:val="000000"/>
          <w:sz w:val="32"/>
          <w:szCs w:val="32"/>
        </w:rPr>
        <w:t>项目经费支出及人员支出。</w:t>
      </w:r>
      <w:r>
        <w:rPr>
          <w:rFonts w:hint="default" w:ascii="Times New Roman" w:hAnsi="Times New Roman" w:eastAsia="方正仿宋_GBK" w:cs="Times New Roman"/>
          <w:sz w:val="32"/>
          <w:szCs w:val="32"/>
          <w:shd w:val="clear" w:color="auto" w:fill="FFFFFF"/>
        </w:rPr>
        <w:t>其中：财政拨款收入456.03万元，占100.0%；事业收入0.00万元，占0.0%；经营收入0.00万元，占0.0%；其他收入0.00万元，占0.0%。此外，使用非财政拨款结余和专用结余0.00万元，年初结转和结余29.54万元。</w:t>
      </w:r>
    </w:p>
    <w:p>
      <w:pPr>
        <w:snapToGrid w:val="0"/>
        <w:spacing w:line="594" w:lineRule="exact"/>
        <w:ind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485.56</w:t>
      </w:r>
      <w:r>
        <w:rPr>
          <w:rFonts w:hint="default" w:ascii="Times New Roman" w:hAnsi="Times New Roman" w:eastAsia="方正仿宋_GBK" w:cs="Times New Roman"/>
          <w:sz w:val="32"/>
          <w:szCs w:val="32"/>
          <w:shd w:val="clear" w:color="auto" w:fill="FFFFFF"/>
        </w:rPr>
        <w:t>万元，与2023年度相比，减少51.62万元，下降9.6%，</w:t>
      </w:r>
      <w:r>
        <w:rPr>
          <w:rFonts w:hint="default" w:ascii="Times New Roman" w:hAnsi="Times New Roman" w:eastAsia="方正仿宋_GBK" w:cs="Times New Roman"/>
          <w:sz w:val="32"/>
          <w:szCs w:val="32"/>
        </w:rPr>
        <w:t>主要原因为落实过紧日子政策，压减</w:t>
      </w:r>
      <w:r>
        <w:rPr>
          <w:rFonts w:hint="default" w:ascii="Times New Roman" w:hAnsi="Times New Roman" w:eastAsia="方正仿宋_GBK" w:cs="Times New Roman"/>
          <w:color w:val="000000"/>
          <w:sz w:val="32"/>
          <w:szCs w:val="32"/>
        </w:rPr>
        <w:t>项目经费支出及人员支出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其中：基本支出388.27万元，占80.0%；项目支出97.29万元，占20.0%；经营支出0.00万元，占0.0%。此外，结余分配0.00万元。</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bCs/>
          <w:sz w:val="32"/>
          <w:szCs w:val="32"/>
          <w:shd w:val="clear" w:color="auto" w:fill="FFFFFF"/>
        </w:rPr>
        <w:t>本年度及上年度均无结转结余。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（二）财政拨款收入支出决算总体情况说明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2024年度财政拨款收、支总计485.56万元。与2023年相比，财政拨款收、支总计各减少51.62万元，下降9.6%。</w:t>
      </w:r>
      <w:r>
        <w:rPr>
          <w:rFonts w:hint="default" w:ascii="Times New Roman" w:hAnsi="Times New Roman" w:eastAsia="方正仿宋_GBK" w:cs="Times New Roman"/>
          <w:sz w:val="32"/>
          <w:szCs w:val="32"/>
        </w:rPr>
        <w:t>主要原因为落实过紧日子政策，压减</w:t>
      </w:r>
      <w:r>
        <w:rPr>
          <w:rFonts w:hint="default" w:ascii="Times New Roman" w:hAnsi="Times New Roman" w:eastAsia="方正仿宋_GBK" w:cs="Times New Roman"/>
          <w:color w:val="000000"/>
          <w:sz w:val="32"/>
          <w:szCs w:val="32"/>
        </w:rPr>
        <w:t>项目经费支出及人员支出</w:t>
      </w:r>
      <w:r>
        <w:rPr>
          <w:rFonts w:hint="default" w:ascii="Times New Roman" w:hAnsi="Times New Roman" w:eastAsia="方正仿宋_GBK" w:cs="Times New Roman"/>
          <w:sz w:val="32"/>
          <w:szCs w:val="32"/>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456.03</w:t>
      </w:r>
      <w:r>
        <w:rPr>
          <w:rFonts w:hint="default" w:ascii="Times New Roman" w:hAnsi="Times New Roman" w:eastAsia="方正仿宋_GBK" w:cs="Times New Roman"/>
          <w:sz w:val="32"/>
          <w:szCs w:val="32"/>
          <w:shd w:val="clear" w:color="auto" w:fill="FFFFFF"/>
        </w:rPr>
        <w:t>万元，与2023年度相比，减少81.15万元，下降15.1%。</w:t>
      </w:r>
      <w:r>
        <w:rPr>
          <w:rFonts w:hint="default" w:ascii="Times New Roman" w:hAnsi="Times New Roman" w:eastAsia="方正仿宋_GBK" w:cs="Times New Roman"/>
          <w:sz w:val="32"/>
          <w:szCs w:val="32"/>
        </w:rPr>
        <w:t>主要原因为落实过紧日子政策，压减</w:t>
      </w:r>
      <w:r>
        <w:rPr>
          <w:rFonts w:hint="default" w:ascii="Times New Roman" w:hAnsi="Times New Roman" w:eastAsia="方正仿宋_GBK" w:cs="Times New Roman"/>
          <w:color w:val="000000"/>
          <w:sz w:val="32"/>
          <w:szCs w:val="32"/>
        </w:rPr>
        <w:t>项目经费支出及人员支出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较年初预算数增加0.97万元，增长0.2%。主要原因是年中追加党史工作经费和《中共垫江县委执政纪实（2023年卷）》编纂项目经费。此外，年初财政拨款结转和结余</w:t>
      </w:r>
      <w:r>
        <w:rPr>
          <w:rFonts w:hint="default" w:ascii="Times New Roman" w:hAnsi="Times New Roman" w:eastAsia="方正仿宋_GBK" w:cs="Times New Roman"/>
          <w:sz w:val="32"/>
          <w:szCs w:val="32"/>
        </w:rPr>
        <w:t>29.54</w:t>
      </w:r>
      <w:r>
        <w:rPr>
          <w:rFonts w:hint="default" w:ascii="Times New Roman" w:hAnsi="Times New Roman" w:eastAsia="方正仿宋_GBK" w:cs="Times New Roman"/>
          <w:sz w:val="32"/>
          <w:szCs w:val="32"/>
          <w:shd w:val="clear" w:color="auto" w:fill="FFFFFF"/>
        </w:rPr>
        <w:t>万元。</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485.56</w:t>
      </w:r>
      <w:r>
        <w:rPr>
          <w:rFonts w:hint="default" w:ascii="Times New Roman" w:hAnsi="Times New Roman" w:eastAsia="方正仿宋_GBK" w:cs="Times New Roman"/>
          <w:sz w:val="32"/>
          <w:szCs w:val="32"/>
          <w:shd w:val="clear" w:color="auto" w:fill="FFFFFF"/>
        </w:rPr>
        <w:t>万元，与2023年度相比，减少51.62万元，下降9.6%。</w:t>
      </w:r>
      <w:r>
        <w:rPr>
          <w:rFonts w:hint="default" w:ascii="Times New Roman" w:hAnsi="Times New Roman" w:eastAsia="方正仿宋_GBK" w:cs="Times New Roman"/>
          <w:sz w:val="32"/>
          <w:szCs w:val="32"/>
        </w:rPr>
        <w:t>主要原因为落实过紧日子政策，压减</w:t>
      </w:r>
      <w:r>
        <w:rPr>
          <w:rFonts w:hint="default" w:ascii="Times New Roman" w:hAnsi="Times New Roman" w:eastAsia="方正仿宋_GBK" w:cs="Times New Roman"/>
          <w:color w:val="000000"/>
          <w:sz w:val="32"/>
          <w:szCs w:val="32"/>
        </w:rPr>
        <w:t>项目经费支出及人员支出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较年初预算数增加30.50万元，增长6.7%。主要原因是年中追加党史工作经费和《中共垫江县委执政纪实（2023年卷）》编纂项目经费。</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万元，与2023年度相比，无增减，主要原因是本年度与上年度均无结转结余。</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359.15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74.0%</w:t>
      </w:r>
      <w:r>
        <w:rPr>
          <w:rFonts w:hint="default" w:ascii="Times New Roman" w:hAnsi="Times New Roman" w:eastAsia="方正仿宋_GBK" w:cs="Times New Roman"/>
          <w:sz w:val="32"/>
          <w:szCs w:val="32"/>
          <w:shd w:val="clear" w:color="auto" w:fill="FFFFFF"/>
        </w:rPr>
        <w:t>，较年初预算数增加29.28万元，增长8.9%，主要原因是2024年年中补缴职工2022年社保、住房公积金单位差额部分。</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，较年初预算数减少0.93万元，下降100.0%，主要原因是2024年未安排职工外出开展培训。</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90.30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18.6%</w:t>
      </w:r>
      <w:r>
        <w:rPr>
          <w:rFonts w:hint="default" w:ascii="Times New Roman" w:hAnsi="Times New Roman" w:eastAsia="方正仿宋_GBK" w:cs="Times New Roman"/>
          <w:sz w:val="32"/>
          <w:szCs w:val="32"/>
          <w:shd w:val="clear" w:color="auto" w:fill="FFFFFF"/>
        </w:rPr>
        <w:t>，较年初预算数增加4.80万元，增长5.6%，主要原因是社会保障缴费基数调整和补缴职工2022年社保、年金差额部分。</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16.18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w:t>
      </w:r>
      <w:r>
        <w:rPr>
          <w:rFonts w:hint="default" w:ascii="Times New Roman" w:hAnsi="Times New Roman" w:eastAsia="方正仿宋_GBK" w:cs="Times New Roman"/>
          <w:sz w:val="32"/>
          <w:szCs w:val="32"/>
          <w:shd w:val="clear" w:color="auto" w:fill="FFFFFF"/>
        </w:rPr>
        <w:t>，较年初预算数减少0.38万元，下降2.3%，主要原因是人员调出和2024年有一名职工退休。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住房保障支出19.94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w:t>
      </w:r>
      <w:r>
        <w:rPr>
          <w:rFonts w:hint="default" w:ascii="Times New Roman" w:hAnsi="Times New Roman" w:eastAsia="方正仿宋_GBK" w:cs="Times New Roman"/>
          <w:sz w:val="32"/>
          <w:szCs w:val="32"/>
          <w:shd w:val="clear" w:color="auto" w:fill="FFFFFF"/>
        </w:rPr>
        <w:t>，较年初预算数减少2.27万元，下降10.2%，主要原因是2024年住房公积金清算基数调整。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388.27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342.29</w:t>
      </w:r>
      <w:r>
        <w:rPr>
          <w:rFonts w:hint="default" w:ascii="Times New Roman" w:hAnsi="Times New Roman" w:eastAsia="方正仿宋_GBK" w:cs="Times New Roman"/>
          <w:sz w:val="32"/>
          <w:szCs w:val="32"/>
          <w:shd w:val="clear" w:color="auto" w:fill="FFFFFF"/>
        </w:rPr>
        <w:t>万元，与2023年度相比，减少30.13万元，下降8.1%，主要原因是在职在编人员变动和2024年有一名职工退休等。人员经费用途主要包括基本工资、津贴补贴、奖金、社会保障缴费。公用经费</w:t>
      </w:r>
      <w:r>
        <w:rPr>
          <w:rFonts w:hint="default" w:ascii="Times New Roman" w:hAnsi="Times New Roman" w:eastAsia="方正仿宋_GBK" w:cs="Times New Roman"/>
          <w:sz w:val="32"/>
          <w:szCs w:val="32"/>
        </w:rPr>
        <w:t>45.98</w:t>
      </w:r>
      <w:r>
        <w:rPr>
          <w:rFonts w:hint="default" w:ascii="Times New Roman" w:hAnsi="Times New Roman" w:eastAsia="方正仿宋_GBK" w:cs="Times New Roman"/>
          <w:sz w:val="32"/>
          <w:szCs w:val="32"/>
          <w:shd w:val="clear" w:color="auto" w:fill="FFFFFF"/>
        </w:rPr>
        <w:t>万元，与2023年度相比，减少7.28万元，下降13.7%，主要原因</w:t>
      </w:r>
      <w:r>
        <w:rPr>
          <w:rFonts w:hint="default" w:ascii="Times New Roman" w:hAnsi="Times New Roman" w:eastAsia="方正仿宋_GBK" w:cs="Times New Roman"/>
          <w:sz w:val="32"/>
          <w:szCs w:val="32"/>
        </w:rPr>
        <w:t>为落实过紧日子政策，压减运行成本。</w:t>
      </w:r>
      <w:r>
        <w:rPr>
          <w:rFonts w:hint="default" w:ascii="Times New Roman" w:hAnsi="Times New Roman" w:eastAsia="方正仿宋_GBK" w:cs="Times New Roman"/>
          <w:sz w:val="32"/>
          <w:szCs w:val="32"/>
          <w:shd w:val="clear" w:color="auto" w:fill="FFFFFF"/>
        </w:rPr>
        <w:t>公用经费用途主要包括办公费、印刷费、电费、水费、邮电费等。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（五）政府性基金预算收支决算情况说明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部门2024年度无政府性基金预算财政拨款收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2024年度国有资本经营预算财政拨款本年支出0.00万元，基本支出0.00万元，项目支出0.00万元。本部门2024年度无国有资本经营预算财政拨款支出。</w:t>
      </w:r>
    </w:p>
    <w:p>
      <w:pPr>
        <w:pStyle w:val="8"/>
        <w:shd w:val="clear" w:color="auto" w:fill="FFFFFF"/>
        <w:spacing w:before="0" w:beforeAutospacing="0" w:after="0" w:afterAutospacing="0" w:line="594" w:lineRule="exact"/>
        <w:ind w:firstLine="640" w:firstLineChars="200"/>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三、财政拨款</w:t>
      </w:r>
      <w:r>
        <w:rPr>
          <w:rStyle w:val="12"/>
          <w:rFonts w:hint="eastAsia" w:ascii="Times New Roman" w:hAnsi="Times New Roman" w:eastAsia="方正黑体_GBK" w:cs="Times New Roman"/>
          <w:b w:val="0"/>
          <w:bCs/>
          <w:sz w:val="32"/>
          <w:szCs w:val="32"/>
          <w:shd w:val="clear" w:color="auto" w:fill="FFFFFF"/>
          <w:lang w:eastAsia="zh-CN"/>
        </w:rPr>
        <w:t>三公</w:t>
      </w:r>
      <w:r>
        <w:rPr>
          <w:rStyle w:val="12"/>
          <w:rFonts w:hint="default" w:ascii="Times New Roman" w:hAnsi="Times New Roman" w:eastAsia="方正黑体_GBK" w:cs="Times New Roman"/>
          <w:b w:val="0"/>
          <w:bCs/>
          <w:sz w:val="32"/>
          <w:szCs w:val="32"/>
          <w:shd w:val="clear" w:color="auto" w:fill="FFFFFF"/>
        </w:rPr>
        <w:t>经费情况说明</w:t>
      </w:r>
    </w:p>
    <w:p>
      <w:pPr>
        <w:pStyle w:val="13"/>
        <w:autoSpaceDE w:val="0"/>
        <w:spacing w:line="594" w:lineRule="exact"/>
        <w:ind w:firstLine="643"/>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w:t>
      </w:r>
      <w:r>
        <w:rPr>
          <w:rStyle w:val="12"/>
          <w:rFonts w:hint="eastAsia" w:ascii="Times New Roman" w:hAnsi="Times New Roman" w:eastAsia="方正楷体_GBK" w:cs="Times New Roman"/>
          <w:b w:val="0"/>
          <w:bCs/>
          <w:sz w:val="32"/>
          <w:szCs w:val="32"/>
          <w:shd w:val="clear" w:color="auto" w:fill="FFFFFF"/>
          <w:lang w:eastAsia="zh-CN"/>
        </w:rPr>
        <w:t>三公</w:t>
      </w:r>
      <w:r>
        <w:rPr>
          <w:rStyle w:val="12"/>
          <w:rFonts w:hint="default" w:ascii="Times New Roman" w:hAnsi="Times New Roman" w:eastAsia="方正楷体_GBK" w:cs="Times New Roman"/>
          <w:b w:val="0"/>
          <w:bCs/>
          <w:sz w:val="32"/>
          <w:szCs w:val="32"/>
          <w:shd w:val="clear" w:color="auto" w:fill="FFFFFF"/>
        </w:rPr>
        <w:t>经费支出总体情况说明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0.46</w:t>
      </w:r>
      <w:r>
        <w:rPr>
          <w:rFonts w:hint="default" w:ascii="Times New Roman" w:hAnsi="Times New Roman" w:eastAsia="方正仿宋_GBK" w:cs="Times New Roman"/>
          <w:sz w:val="32"/>
          <w:szCs w:val="32"/>
          <w:shd w:val="clear" w:color="auto" w:fill="FFFFFF"/>
        </w:rPr>
        <w:t>万元，较年初预算数减少1.54万元，下降77.0%，主要原因是严格落实中央八项规定精神，严控</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经费开支。较上年支出数减少0.29万元，下降38.7%，主要原因是严格落实中央八项规定精神，严控</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经费开支。</w:t>
      </w:r>
    </w:p>
    <w:p>
      <w:pPr>
        <w:pStyle w:val="13"/>
        <w:autoSpaceDE w:val="0"/>
        <w:spacing w:line="594" w:lineRule="exact"/>
        <w:ind w:firstLine="643"/>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w:t>
      </w:r>
      <w:r>
        <w:rPr>
          <w:rStyle w:val="12"/>
          <w:rFonts w:hint="eastAsia" w:ascii="Times New Roman" w:hAnsi="Times New Roman" w:eastAsia="方正楷体_GBK" w:cs="Times New Roman"/>
          <w:b w:val="0"/>
          <w:bCs/>
          <w:sz w:val="32"/>
          <w:szCs w:val="32"/>
          <w:shd w:val="clear" w:color="auto" w:fill="FFFFFF"/>
          <w:lang w:eastAsia="zh-CN"/>
        </w:rPr>
        <w:t>三公</w:t>
      </w:r>
      <w:r>
        <w:rPr>
          <w:rStyle w:val="12"/>
          <w:rFonts w:hint="default" w:ascii="Times New Roman" w:hAnsi="Times New Roman" w:eastAsia="方正楷体_GBK" w:cs="Times New Roman"/>
          <w:b w:val="0"/>
          <w:bCs/>
          <w:sz w:val="32"/>
          <w:szCs w:val="32"/>
          <w:shd w:val="clear" w:color="auto" w:fill="FFFFFF"/>
        </w:rPr>
        <w:t>经费分项支出情况</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0.46</w:t>
      </w:r>
      <w:r>
        <w:rPr>
          <w:rFonts w:hint="default" w:ascii="Times New Roman" w:hAnsi="Times New Roman" w:eastAsia="方正仿宋_GBK" w:cs="Times New Roman"/>
          <w:sz w:val="32"/>
          <w:szCs w:val="32"/>
          <w:shd w:val="clear" w:color="auto" w:fill="FFFFFF"/>
        </w:rPr>
        <w:t>万元，主要用于接待市档案馆、区县档案局（馆）、区县党史研究室来访、调研，接受相关部门检查指导工作发生的接待支出。费用支出较年初预算数减少1.54万元，下降77.0%，主要原因是严格落实中央八项规定精神，严控</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经费开支，严控接待规格和接待陪餐人数等。较上年支出数减少0.29万元，下降38.7%，主要原因是严格落实中央八项规定精神，严控</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经费开支，严控接待规格和接待陪餐人数等。</w:t>
      </w:r>
    </w:p>
    <w:p>
      <w:pPr>
        <w:pStyle w:val="13"/>
        <w:autoSpaceDE w:val="0"/>
        <w:spacing w:line="594" w:lineRule="exact"/>
        <w:ind w:firstLine="643"/>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w:t>
      </w:r>
      <w:r>
        <w:rPr>
          <w:rStyle w:val="12"/>
          <w:rFonts w:hint="eastAsia" w:ascii="方正楷体_GBK" w:hAnsi="方正楷体_GBK" w:eastAsia="方正楷体_GBK" w:cs="方正楷体_GBK"/>
          <w:b w:val="0"/>
          <w:bCs/>
          <w:sz w:val="32"/>
          <w:szCs w:val="32"/>
          <w:shd w:val="clear" w:color="auto" w:fill="FFFFFF"/>
          <w:lang w:eastAsia="zh-CN"/>
        </w:rPr>
        <w:t>三公</w:t>
      </w:r>
      <w:r>
        <w:rPr>
          <w:rStyle w:val="12"/>
          <w:rFonts w:hint="eastAsia" w:ascii="方正楷体_GBK" w:hAnsi="方正楷体_GBK" w:eastAsia="方正楷体_GBK" w:cs="方正楷体_GBK"/>
          <w:b w:val="0"/>
          <w:bCs/>
          <w:sz w:val="32"/>
          <w:szCs w:val="32"/>
          <w:shd w:val="clear" w:color="auto" w:fill="FFFFFF"/>
        </w:rPr>
        <w:t>经费实物量情况</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2024年度本部门</w:t>
      </w:r>
      <w:r>
        <w:rPr>
          <w:rFonts w:hint="eastAsia" w:ascii="Times New Roman" w:hAnsi="Times New Roman" w:eastAsia="方正仿宋_GBK" w:cs="Times New Roman"/>
          <w:sz w:val="32"/>
          <w:szCs w:val="32"/>
          <w:shd w:val="clear" w:color="auto" w:fill="FFFFFF"/>
          <w:lang w:eastAsia="zh-CN"/>
        </w:rPr>
        <w:t>因</w:t>
      </w:r>
      <w:r>
        <w:rPr>
          <w:rFonts w:hint="default" w:ascii="Times New Roman" w:hAnsi="Times New Roman" w:eastAsia="方正仿宋_GBK" w:cs="Times New Roman"/>
          <w:sz w:val="32"/>
          <w:szCs w:val="32"/>
          <w:shd w:val="clear" w:color="auto" w:fill="FFFFFF"/>
        </w:rPr>
        <w:t>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48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96.85</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8"/>
        <w:shd w:val="clear" w:color="auto" w:fill="FFFFFF"/>
        <w:spacing w:before="0" w:beforeAutospacing="0" w:after="0" w:afterAutospacing="0" w:line="594" w:lineRule="exact"/>
        <w:ind w:firstLine="640" w:firstLineChars="200"/>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四、其他需要说明的事项</w:t>
      </w:r>
    </w:p>
    <w:p>
      <w:pPr>
        <w:pStyle w:val="13"/>
        <w:autoSpaceDE w:val="0"/>
        <w:spacing w:line="594" w:lineRule="exact"/>
        <w:ind w:firstLine="643"/>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（一）财政拨款会议费和培训费情况说明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万元，与2023年度相比，减少1.97万元，下降100.0%，主要原因是2024年本部门未开展业务培训。本年度培训费支出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本年度及上年度均未发生培训费。</w:t>
      </w:r>
    </w:p>
    <w:p>
      <w:pPr>
        <w:pStyle w:val="13"/>
        <w:autoSpaceDE w:val="0"/>
        <w:spacing w:line="594" w:lineRule="exact"/>
        <w:ind w:firstLine="640"/>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（二）机关运行经费情况说明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45.98</w:t>
      </w:r>
      <w:r>
        <w:rPr>
          <w:rFonts w:hint="default" w:ascii="Times New Roman" w:hAnsi="Times New Roman" w:eastAsia="方正仿宋_GBK" w:cs="Times New Roman"/>
          <w:sz w:val="32"/>
          <w:szCs w:val="32"/>
          <w:shd w:val="clear" w:color="auto" w:fill="FFFFFF"/>
        </w:rPr>
        <w:t>万元，机关运行经费主要用于开支办公费、邮电费、差旅费、劳务费、工会经费等。机关运行经费较上年支出数减少7.28万元，下降13.7%，主要原因是</w:t>
      </w:r>
      <w:r>
        <w:rPr>
          <w:rFonts w:hint="default" w:ascii="Times New Roman" w:hAnsi="Times New Roman" w:eastAsia="方正仿宋_GBK" w:cs="Times New Roman"/>
          <w:sz w:val="32"/>
          <w:szCs w:val="32"/>
        </w:rPr>
        <w:t>为落实过紧日子政策，压减运行成本。</w:t>
      </w:r>
    </w:p>
    <w:p>
      <w:pPr>
        <w:pStyle w:val="13"/>
        <w:autoSpaceDE w:val="0"/>
        <w:spacing w:line="594" w:lineRule="exact"/>
        <w:ind w:firstLine="640"/>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（三）国有资产占用情况说明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3"/>
        <w:autoSpaceDE w:val="0"/>
        <w:spacing w:line="594" w:lineRule="exact"/>
        <w:ind w:firstLine="640"/>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sz w:val="32"/>
          <w:szCs w:val="32"/>
          <w:shd w:val="clear" w:color="auto" w:fill="FFFFFF"/>
        </w:rPr>
        <w:t>（四）政府采购支出情况说明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4.34</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4.34</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0.58万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13.4%</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0.58</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13.4</w:t>
      </w:r>
      <w:r>
        <w:rPr>
          <w:rFonts w:hint="default" w:ascii="Times New Roman" w:hAnsi="Times New Roman" w:eastAsia="方正仿宋_GBK" w:cs="Times New Roman"/>
          <w:sz w:val="32"/>
          <w:szCs w:val="32"/>
          <w:shd w:val="clear" w:color="auto" w:fill="FFFFFF"/>
        </w:rPr>
        <w:t xml:space="preserve"> %。主要用于采购笔记本电脑。</w:t>
      </w:r>
    </w:p>
    <w:p>
      <w:pPr>
        <w:pStyle w:val="8"/>
        <w:shd w:val="clear" w:color="auto" w:fill="FFFFFF"/>
        <w:spacing w:before="0" w:beforeAutospacing="0" w:after="0" w:afterAutospacing="0" w:line="594" w:lineRule="exact"/>
        <w:ind w:firstLine="640" w:firstLineChars="200"/>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五、2024年度预算绩效管理情况说明</w:t>
      </w:r>
    </w:p>
    <w:p>
      <w:pPr>
        <w:pStyle w:val="13"/>
        <w:autoSpaceDE w:val="0"/>
        <w:spacing w:line="594" w:lineRule="exact"/>
        <w:ind w:firstLine="640"/>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（一）部门自评情况</w:t>
      </w:r>
    </w:p>
    <w:p>
      <w:pPr>
        <w:pStyle w:val="14"/>
        <w:autoSpaceDE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根据预算绩效管理要求，本部门对部门整体和2个开展了绩效自评，</w:t>
      </w:r>
      <w:r>
        <w:rPr>
          <w:rFonts w:hint="default" w:ascii="Times New Roman" w:hAnsi="Times New Roman" w:eastAsia="方正仿宋_GBK" w:cs="Times New Roman"/>
          <w:sz w:val="32"/>
          <w:szCs w:val="32"/>
          <w:shd w:val="clear" w:color="auto" w:fill="FFFFFF"/>
          <w:lang w:bidi="ar"/>
        </w:rPr>
        <w:t>涉及财政拨款项目支出资金26.66万元。</w:t>
      </w:r>
    </w:p>
    <w:p>
      <w:pPr>
        <w:rPr>
          <w:rFonts w:hint="default" w:ascii="Times New Roman" w:hAnsi="Times New Roman" w:eastAsia="方正仿宋_GBK"/>
          <w:sz w:val="32"/>
          <w:szCs w:val="32"/>
          <w:shd w:val="clear" w:color="auto" w:fill="FFFFFF"/>
          <w:lang w:bidi="ar"/>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lang w:bidi="ar"/>
        </w:rPr>
        <w:br w:type="page"/>
      </w:r>
    </w:p>
    <w:p>
      <w:pPr>
        <w:pStyle w:val="14"/>
        <w:autoSpaceDE w:val="0"/>
        <w:spacing w:before="0" w:beforeAutospacing="0" w:after="0" w:afterAutospacing="0" w:line="594" w:lineRule="exact"/>
        <w:ind w:firstLine="480" w:firstLineChars="200"/>
        <w:rPr>
          <w:rFonts w:ascii="Times New Roman" w:hAnsi="Times New Roman" w:eastAsia="方正仿宋_GBK"/>
          <w:sz w:val="32"/>
          <w:szCs w:val="32"/>
          <w:shd w:val="clear" w:color="auto" w:fill="FFFFFF"/>
          <w:lang w:bidi="ar"/>
        </w:rPr>
        <w:sectPr>
          <w:pgSz w:w="16840" w:h="11915" w:orient="landscape"/>
          <w:pgMar w:top="1446" w:right="1984" w:bottom="1446" w:left="1644" w:header="851" w:footer="992" w:gutter="0"/>
          <w:pgNumType w:fmt="numberInDash"/>
          <w:cols w:space="720" w:num="1"/>
          <w:docGrid w:type="lines" w:linePitch="312" w:charSpace="0"/>
        </w:sectPr>
      </w:pPr>
      <w:r>
        <w:drawing>
          <wp:anchor distT="0" distB="0" distL="114300" distR="114300" simplePos="0" relativeHeight="251660288" behindDoc="1" locked="0" layoutInCell="1" allowOverlap="1">
            <wp:simplePos x="0" y="0"/>
            <wp:positionH relativeFrom="column">
              <wp:posOffset>9525</wp:posOffset>
            </wp:positionH>
            <wp:positionV relativeFrom="paragraph">
              <wp:posOffset>91440</wp:posOffset>
            </wp:positionV>
            <wp:extent cx="8379460" cy="5318125"/>
            <wp:effectExtent l="0" t="0" r="2540" b="0"/>
            <wp:wrapTight wrapText="bothSides">
              <wp:wrapPolygon>
                <wp:start x="0" y="0"/>
                <wp:lineTo x="0" y="21510"/>
                <wp:lineTo x="21557" y="21510"/>
                <wp:lineTo x="21557" y="0"/>
                <wp:lineTo x="0" y="0"/>
              </wp:wrapPolygon>
            </wp:wrapTight>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7"/>
                    <a:stretch>
                      <a:fillRect/>
                    </a:stretch>
                  </pic:blipFill>
                  <pic:spPr>
                    <a:xfrm>
                      <a:off x="0" y="0"/>
                      <a:ext cx="8379460" cy="5318125"/>
                    </a:xfrm>
                    <a:prstGeom prst="rect">
                      <a:avLst/>
                    </a:prstGeom>
                    <a:noFill/>
                    <a:ln>
                      <a:noFill/>
                    </a:ln>
                  </pic:spPr>
                </pic:pic>
              </a:graphicData>
            </a:graphic>
          </wp:anchor>
        </w:drawing>
      </w:r>
    </w:p>
    <w:p>
      <w:pPr>
        <w:rPr>
          <w:rFonts w:hint="default" w:ascii="Times New Roman" w:hAnsi="Times New Roman" w:eastAsia="方正仿宋_GBK"/>
          <w:sz w:val="32"/>
          <w:szCs w:val="32"/>
          <w:shd w:val="clear" w:color="auto" w:fill="FFFFFF"/>
          <w:lang w:bidi="ar"/>
        </w:rPr>
      </w:pPr>
      <w:r>
        <w:rPr>
          <w:rFonts w:ascii="Times New Roman" w:hAnsi="Times New Roman" w:eastAsia="方正仿宋_GBK"/>
          <w:vanish/>
          <w:sz w:val="32"/>
          <w:szCs w:val="32"/>
          <w:shd w:val="clear" w:color="auto" w:fill="FFFFFF"/>
          <w:lang w:bidi="ar"/>
        </w:rPr>
        <w:br w:type="page"/>
      </w:r>
      <w:r>
        <w:drawing>
          <wp:inline distT="0" distB="0" distL="114300" distR="114300">
            <wp:extent cx="8387080" cy="5464810"/>
            <wp:effectExtent l="0" t="0" r="13970" b="25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8387080" cy="5464810"/>
                    </a:xfrm>
                    <a:prstGeom prst="rect">
                      <a:avLst/>
                    </a:prstGeom>
                    <a:noFill/>
                    <a:ln>
                      <a:noFill/>
                    </a:ln>
                  </pic:spPr>
                </pic:pic>
              </a:graphicData>
            </a:graphic>
          </wp:inline>
        </w:drawing>
      </w:r>
    </w:p>
    <w:p>
      <w:pPr>
        <w:pStyle w:val="14"/>
        <w:autoSpaceDE w:val="0"/>
        <w:spacing w:before="0" w:beforeAutospacing="0" w:after="0" w:afterAutospacing="0" w:line="594" w:lineRule="exact"/>
        <w:ind w:firstLine="480" w:firstLineChars="200"/>
        <w:rPr>
          <w:rFonts w:ascii="Times New Roman" w:hAnsi="Times New Roman" w:eastAsia="方正仿宋_GBK"/>
          <w:sz w:val="32"/>
          <w:szCs w:val="32"/>
          <w:shd w:val="clear" w:color="auto" w:fill="FFFFFF"/>
          <w:lang w:bidi="ar"/>
        </w:rPr>
        <w:sectPr>
          <w:pgSz w:w="16840" w:h="11915" w:orient="landscape"/>
          <w:pgMar w:top="1446" w:right="1984" w:bottom="1446" w:left="1644" w:header="851" w:footer="992" w:gutter="0"/>
          <w:pgNumType w:fmt="numberInDash"/>
          <w:cols w:space="720" w:num="1"/>
          <w:docGrid w:type="lines" w:linePitch="312" w:charSpace="0"/>
        </w:sectPr>
      </w:pPr>
      <w:r>
        <w:drawing>
          <wp:anchor distT="0" distB="0" distL="114300" distR="114300" simplePos="0" relativeHeight="251659264" behindDoc="1" locked="0" layoutInCell="1" allowOverlap="1">
            <wp:simplePos x="0" y="0"/>
            <wp:positionH relativeFrom="column">
              <wp:posOffset>-85725</wp:posOffset>
            </wp:positionH>
            <wp:positionV relativeFrom="paragraph">
              <wp:posOffset>339090</wp:posOffset>
            </wp:positionV>
            <wp:extent cx="8378825" cy="5160010"/>
            <wp:effectExtent l="0" t="0" r="3175" b="0"/>
            <wp:wrapTight wrapText="bothSides">
              <wp:wrapPolygon>
                <wp:start x="0" y="0"/>
                <wp:lineTo x="0" y="21531"/>
                <wp:lineTo x="21559" y="21531"/>
                <wp:lineTo x="21559"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8378825" cy="5160010"/>
                    </a:xfrm>
                    <a:prstGeom prst="rect">
                      <a:avLst/>
                    </a:prstGeom>
                    <a:noFill/>
                    <a:ln>
                      <a:noFill/>
                    </a:ln>
                  </pic:spPr>
                </pic:pic>
              </a:graphicData>
            </a:graphic>
          </wp:anchor>
        </w:drawing>
      </w:r>
    </w:p>
    <w:p>
      <w:pPr>
        <w:pStyle w:val="13"/>
        <w:autoSpaceDE w:val="0"/>
        <w:spacing w:line="594" w:lineRule="exact"/>
        <w:ind w:firstLine="640"/>
        <w:rPr>
          <w:rFonts w:ascii="Times New Roman" w:hAnsi="Times New Roman" w:eastAsia="方正仿宋_GBK"/>
          <w:vanish/>
          <w:sz w:val="32"/>
          <w:szCs w:val="32"/>
          <w:shd w:val="clear" w:color="auto" w:fill="FFFFFF"/>
          <w:lang w:bidi="ar"/>
        </w:rPr>
        <w:sectPr>
          <w:pgSz w:w="11915" w:h="16840"/>
          <w:pgMar w:top="1984" w:right="1446" w:bottom="1644" w:left="1446" w:header="851" w:footer="992" w:gutter="0"/>
          <w:pgNumType w:fmt="numberInDash"/>
          <w:cols w:space="720" w:num="1"/>
          <w:docGrid w:type="lines" w:linePitch="312" w:charSpace="0"/>
        </w:sectPr>
      </w:pPr>
    </w:p>
    <w:p>
      <w:pPr>
        <w:pStyle w:val="13"/>
        <w:autoSpaceDE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（二）部门绩效评价情况</w:t>
      </w:r>
    </w:p>
    <w:p>
      <w:pPr>
        <w:pStyle w:val="13"/>
        <w:autoSpaceDE w:val="0"/>
        <w:spacing w:line="594" w:lineRule="exact"/>
        <w:ind w:firstLine="640"/>
        <w:rPr>
          <w:rFonts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shd w:val="clear" w:color="auto" w:fill="FFFFFF"/>
          <w:lang w:bidi="ar"/>
        </w:rPr>
        <w:t>本部门</w:t>
      </w:r>
      <w:r>
        <w:rPr>
          <w:rFonts w:ascii="Times New Roman" w:hAnsi="Times New Roman" w:eastAsia="方正仿宋_GBK"/>
          <w:sz w:val="32"/>
          <w:szCs w:val="32"/>
          <w:shd w:val="clear" w:color="auto" w:fill="FFFFFF"/>
          <w:lang w:bidi="ar"/>
        </w:rPr>
        <w:t>未组织开展绩效评价。</w:t>
      </w:r>
    </w:p>
    <w:p>
      <w:pPr>
        <w:pStyle w:val="13"/>
        <w:autoSpaceDE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（三）财政绩效评价情况</w:t>
      </w:r>
    </w:p>
    <w:p>
      <w:pPr>
        <w:pStyle w:val="14"/>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县财政局未委托第三方对</w:t>
      </w:r>
      <w:r>
        <w:rPr>
          <w:rFonts w:hint="eastAsia" w:ascii="Times New Roman" w:hAnsi="Times New Roman" w:eastAsia="方正仿宋_GBK"/>
          <w:sz w:val="32"/>
          <w:szCs w:val="32"/>
          <w:shd w:val="clear" w:color="auto" w:fill="FFFFFF"/>
          <w:lang w:bidi="ar"/>
        </w:rPr>
        <w:t>本部门</w:t>
      </w:r>
      <w:r>
        <w:rPr>
          <w:rFonts w:ascii="Times New Roman" w:hAnsi="Times New Roman" w:eastAsia="方正仿宋_GBK"/>
          <w:sz w:val="32"/>
          <w:szCs w:val="32"/>
          <w:shd w:val="clear" w:color="auto" w:fill="FFFFFF"/>
          <w:lang w:bidi="ar"/>
        </w:rPr>
        <w:t>开展绩效评价。</w:t>
      </w:r>
    </w:p>
    <w:p>
      <w:pPr>
        <w:pStyle w:val="14"/>
        <w:autoSpaceDE w:val="0"/>
        <w:spacing w:before="0" w:beforeAutospacing="0" w:after="0" w:afterAutospacing="0" w:line="594" w:lineRule="exact"/>
        <w:rPr>
          <w:rStyle w:val="12"/>
          <w:rFonts w:ascii="方正黑体_GBK" w:hAnsi="方正黑体_GBK" w:eastAsia="方正黑体_GBK" w:cs="方正黑体_GBK"/>
          <w:b w:val="0"/>
          <w:bCs/>
          <w:sz w:val="32"/>
          <w:szCs w:val="32"/>
          <w:shd w:val="clear" w:color="auto" w:fill="FFFFFF"/>
        </w:rPr>
      </w:pPr>
      <w:r>
        <w:rPr>
          <w:rStyle w:val="15"/>
          <w:rFonts w:ascii="Times New Roman" w:hAnsi="Times New Roman" w:eastAsia="方正仿宋_GBK" w:cs="Times New Roman"/>
          <w:sz w:val="32"/>
          <w:szCs w:val="32"/>
          <w:shd w:val="clear" w:color="auto" w:fill="FFFFFF"/>
        </w:rPr>
        <w:t xml:space="preserve">   </w:t>
      </w:r>
      <w:r>
        <w:rPr>
          <w:rStyle w:val="12"/>
          <w:rFonts w:ascii="Times New Roman" w:hAnsi="Times New Roman" w:eastAsia="黑体"/>
          <w:sz w:val="32"/>
          <w:szCs w:val="32"/>
          <w:shd w:val="clear" w:color="auto" w:fill="FFFFFF"/>
        </w:rPr>
        <w:t xml:space="preserve"> </w:t>
      </w:r>
      <w:r>
        <w:rPr>
          <w:rStyle w:val="12"/>
          <w:rFonts w:ascii="方正黑体_GBK" w:hAnsi="方正黑体_GBK" w:eastAsia="方正黑体_GBK" w:cs="方正黑体_GBK"/>
          <w:b w:val="0"/>
          <w:bCs/>
          <w:sz w:val="32"/>
          <w:szCs w:val="32"/>
          <w:shd w:val="clear" w:color="auto" w:fill="FFFFFF"/>
        </w:rPr>
        <w:t>六、专业名词解释</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（十二）</w:t>
      </w:r>
      <w:r>
        <w:rPr>
          <w:rFonts w:hint="eastAsia" w:ascii="方正楷体_GBK" w:hAnsi="方正楷体_GBK" w:eastAsia="方正楷体_GBK" w:cs="方正楷体_GBK"/>
          <w:sz w:val="32"/>
          <w:szCs w:val="32"/>
          <w:shd w:val="clear" w:color="auto" w:fill="FFFFFF"/>
          <w:lang w:eastAsia="zh-CN"/>
        </w:rPr>
        <w:t>三公</w:t>
      </w:r>
      <w:r>
        <w:rPr>
          <w:rFonts w:ascii="方正楷体_GBK" w:hAnsi="方正楷体_GBK" w:eastAsia="方正楷体_GBK" w:cs="方正楷体_GBK"/>
          <w:sz w:val="32"/>
          <w:szCs w:val="32"/>
          <w:shd w:val="clear" w:color="auto" w:fill="FFFFFF"/>
        </w:rPr>
        <w:t>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4"/>
        <w:spacing w:before="0" w:beforeAutospacing="0" w:after="0" w:afterAutospacing="0" w:line="594" w:lineRule="exact"/>
        <w:ind w:firstLine="640" w:firstLineChars="200"/>
        <w:rPr>
          <w:rFonts w:ascii="方正黑体_GBK" w:hAnsi="方正黑体_GBK" w:eastAsia="方正黑体_GBK" w:cs="方正黑体_GBK"/>
          <w:bCs/>
          <w:sz w:val="32"/>
          <w:szCs w:val="32"/>
        </w:rPr>
      </w:pPr>
      <w:r>
        <w:rPr>
          <w:rStyle w:val="12"/>
          <w:rFonts w:hint="eastAsia" w:ascii="方正黑体_GBK" w:hAnsi="方正黑体_GBK" w:eastAsia="方正黑体_GBK" w:cs="方正黑体_GBK"/>
          <w:b w:val="0"/>
          <w:bCs/>
          <w:sz w:val="32"/>
          <w:szCs w:val="32"/>
          <w:shd w:val="clear" w:color="auto" w:fill="FFFFFF"/>
        </w:rPr>
        <w:t>七、决算公开联系方式及信息反馈渠道</w:t>
      </w:r>
    </w:p>
    <w:p>
      <w:pPr>
        <w:pStyle w:val="13"/>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rPr>
        <w:t>部门</w:t>
      </w:r>
      <w:r>
        <w:rPr>
          <w:rFonts w:ascii="Times New Roman" w:hAnsi="Times New Roman" w:eastAsia="方正仿宋_GBK"/>
          <w:sz w:val="32"/>
          <w:szCs w:val="32"/>
          <w:shd w:val="clear" w:color="auto" w:fill="FFFFFF"/>
        </w:rPr>
        <w:t>决算公开信息反馈和联系方式：</w:t>
      </w:r>
    </w:p>
    <w:p>
      <w:pPr>
        <w:pStyle w:val="13"/>
        <w:autoSpaceDE w:val="0"/>
        <w:spacing w:line="594" w:lineRule="exact"/>
        <w:ind w:firstLine="640"/>
        <w:jc w:val="both"/>
        <w:rPr>
          <w:rStyle w:val="12"/>
          <w:rFonts w:ascii="Times New Roman" w:hAnsi="Times New Roman" w:eastAsia="方正仿宋_GBK"/>
          <w:sz w:val="32"/>
          <w:szCs w:val="32"/>
          <w:shd w:val="clear" w:color="auto" w:fill="FFFF00"/>
        </w:rPr>
        <w:sectPr>
          <w:pgSz w:w="11915" w:h="16840"/>
          <w:pgMar w:top="1984" w:right="1446" w:bottom="1644" w:left="1446"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刘老师</w:t>
      </w:r>
      <w:r>
        <w:rPr>
          <w:rFonts w:hint="eastAsia" w:ascii="Times New Roman" w:hAnsi="Times New Roman" w:eastAsia="方正仿宋_GBK"/>
          <w:sz w:val="32"/>
          <w:szCs w:val="32"/>
          <w:shd w:val="clear" w:color="auto" w:fill="FFFFFF"/>
        </w:rPr>
        <w:t xml:space="preserve">  </w:t>
      </w:r>
      <w:r>
        <w:rPr>
          <w:rFonts w:ascii="Times New Roman" w:hAnsi="Times New Roman" w:eastAsia="方正仿宋_GBK"/>
          <w:sz w:val="32"/>
          <w:szCs w:val="32"/>
        </w:rPr>
        <w:t>023-74512303。</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垫江县档案馆</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456.03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456.03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485.56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485.56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垫江县档案馆</w:t>
            </w: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456.03</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456.03</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档案事务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257.20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257.20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其他档案事务支出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800" w:hanging="800" w:hangingChars="400"/>
        <w:rPr>
          <w:rFonts w:hint="default" w:cs="宋体"/>
          <w:sz w:val="20"/>
          <w:szCs w:val="20"/>
        </w:rPr>
      </w:pPr>
      <w:r>
        <w:rPr>
          <w:rFonts w:cs="宋体"/>
          <w:sz w:val="20"/>
          <w:szCs w:val="20"/>
        </w:rPr>
        <w:t>备注：1.本表反映部门本年度取得的各项收入情况。</w:t>
      </w:r>
    </w:p>
    <w:p>
      <w:pPr>
        <w:ind w:left="798" w:leftChars="249" w:hanging="200" w:hangingChars="100"/>
        <w:rPr>
          <w:rFonts w:hint="default" w:cs="宋体"/>
          <w:sz w:val="20"/>
          <w:szCs w:val="20"/>
        </w:rPr>
      </w:pP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垫江县档案馆 </w:t>
            </w: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485.56</w:t>
            </w:r>
            <w:r>
              <w:rPr>
                <w:rFonts w:ascii="Times New Roman" w:hAnsi="Times New Roman"/>
                <w:b/>
                <w:color w:val="000000"/>
                <w:sz w:val="20"/>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388.27</w:t>
            </w:r>
            <w:r>
              <w:rPr>
                <w:rFonts w:ascii="Times New Roman" w:hAnsi="Times New Roman"/>
                <w:b/>
                <w:color w:val="000000"/>
                <w:sz w:val="20"/>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97.29</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359.15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261.92</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档案事务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359.15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261.92</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261.92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261.92</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其他档案事务支出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69.81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69.81</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垫江县档案馆</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456.03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456.03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了</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bookmarkStart w:id="0" w:name="_GoBack"/>
      <w:bookmarkEnd w:id="0"/>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垫江县档案馆</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485.56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388.27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261.92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档案事务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261.92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261.92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其他档案事务支出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69.81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9"/>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垫江县档案馆</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296.01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342.29</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垫江县档案馆</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垫江县档案馆</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垫江县档案馆</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45.98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45.98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043A4E"/>
    <w:rsid w:val="001D3BB7"/>
    <w:rsid w:val="002B254B"/>
    <w:rsid w:val="0034050A"/>
    <w:rsid w:val="00396378"/>
    <w:rsid w:val="0044504F"/>
    <w:rsid w:val="00466C9B"/>
    <w:rsid w:val="00486CFC"/>
    <w:rsid w:val="00491DDD"/>
    <w:rsid w:val="00550ABE"/>
    <w:rsid w:val="00614D92"/>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748B6"/>
    <w:rsid w:val="00CA238A"/>
    <w:rsid w:val="00CF2ACF"/>
    <w:rsid w:val="00D03AAF"/>
    <w:rsid w:val="00DD0539"/>
    <w:rsid w:val="00E07662"/>
    <w:rsid w:val="00E368E9"/>
    <w:rsid w:val="00EE1E33"/>
    <w:rsid w:val="00F45B79"/>
    <w:rsid w:val="00F73F90"/>
    <w:rsid w:val="00FB4B3B"/>
    <w:rsid w:val="01474EBF"/>
    <w:rsid w:val="01F3521E"/>
    <w:rsid w:val="03B87EA0"/>
    <w:rsid w:val="03D509F0"/>
    <w:rsid w:val="03E3214F"/>
    <w:rsid w:val="044C50BA"/>
    <w:rsid w:val="05BC6D49"/>
    <w:rsid w:val="06194FF1"/>
    <w:rsid w:val="06A2550B"/>
    <w:rsid w:val="06F80EE2"/>
    <w:rsid w:val="07001CCA"/>
    <w:rsid w:val="075678DB"/>
    <w:rsid w:val="077B465F"/>
    <w:rsid w:val="079D7CC7"/>
    <w:rsid w:val="07B33024"/>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49413D"/>
    <w:rsid w:val="1158083A"/>
    <w:rsid w:val="11643A4B"/>
    <w:rsid w:val="11ED0F98"/>
    <w:rsid w:val="11F03528"/>
    <w:rsid w:val="12C921C4"/>
    <w:rsid w:val="13871C70"/>
    <w:rsid w:val="13A71CB4"/>
    <w:rsid w:val="13AF1D43"/>
    <w:rsid w:val="13CE1647"/>
    <w:rsid w:val="13FD55AB"/>
    <w:rsid w:val="14200702"/>
    <w:rsid w:val="14370EA1"/>
    <w:rsid w:val="163A6CEE"/>
    <w:rsid w:val="173708E3"/>
    <w:rsid w:val="17753C8E"/>
    <w:rsid w:val="17C374FC"/>
    <w:rsid w:val="182E4AB6"/>
    <w:rsid w:val="189079DC"/>
    <w:rsid w:val="189B0D0B"/>
    <w:rsid w:val="18B43F7C"/>
    <w:rsid w:val="191C433B"/>
    <w:rsid w:val="194A1770"/>
    <w:rsid w:val="19B906A4"/>
    <w:rsid w:val="1B6F15B6"/>
    <w:rsid w:val="1BAA2EDC"/>
    <w:rsid w:val="1BB8339D"/>
    <w:rsid w:val="1CA55E64"/>
    <w:rsid w:val="1D014A01"/>
    <w:rsid w:val="1D022362"/>
    <w:rsid w:val="1D1B04B0"/>
    <w:rsid w:val="1DA52501"/>
    <w:rsid w:val="1DBD6767"/>
    <w:rsid w:val="1DC52125"/>
    <w:rsid w:val="1DD26311"/>
    <w:rsid w:val="1E374ACB"/>
    <w:rsid w:val="1EC113F3"/>
    <w:rsid w:val="1ECF0A66"/>
    <w:rsid w:val="1EF67CA4"/>
    <w:rsid w:val="1F020D3A"/>
    <w:rsid w:val="1F2C5189"/>
    <w:rsid w:val="1F4B0B02"/>
    <w:rsid w:val="1FBB35CD"/>
    <w:rsid w:val="1FCD26AF"/>
    <w:rsid w:val="20642787"/>
    <w:rsid w:val="206F2A21"/>
    <w:rsid w:val="21556F04"/>
    <w:rsid w:val="21651911"/>
    <w:rsid w:val="22403BD3"/>
    <w:rsid w:val="22AD3177"/>
    <w:rsid w:val="235417B6"/>
    <w:rsid w:val="2414489B"/>
    <w:rsid w:val="24B92327"/>
    <w:rsid w:val="24C14514"/>
    <w:rsid w:val="252D4D73"/>
    <w:rsid w:val="2533755C"/>
    <w:rsid w:val="25791755"/>
    <w:rsid w:val="25DA44C3"/>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473BEA"/>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D547A8"/>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C64593"/>
    <w:rsid w:val="4A263DF2"/>
    <w:rsid w:val="4A2F278B"/>
    <w:rsid w:val="4A6F6675"/>
    <w:rsid w:val="4B135857"/>
    <w:rsid w:val="4B7951CB"/>
    <w:rsid w:val="4B7C315C"/>
    <w:rsid w:val="4D1F53CA"/>
    <w:rsid w:val="4D643420"/>
    <w:rsid w:val="4D9419A1"/>
    <w:rsid w:val="4DAC4ACA"/>
    <w:rsid w:val="4DBE01D2"/>
    <w:rsid w:val="4E813A9C"/>
    <w:rsid w:val="4EFD467F"/>
    <w:rsid w:val="4F0C6BA3"/>
    <w:rsid w:val="4F186D58"/>
    <w:rsid w:val="504B6EAA"/>
    <w:rsid w:val="50F06B6E"/>
    <w:rsid w:val="51D21804"/>
    <w:rsid w:val="52234D33"/>
    <w:rsid w:val="522F6E0C"/>
    <w:rsid w:val="52463BA1"/>
    <w:rsid w:val="52F163D4"/>
    <w:rsid w:val="531A2DB4"/>
    <w:rsid w:val="53C0244D"/>
    <w:rsid w:val="53DD4D4E"/>
    <w:rsid w:val="53E578CE"/>
    <w:rsid w:val="540E6277"/>
    <w:rsid w:val="541330F0"/>
    <w:rsid w:val="54272666"/>
    <w:rsid w:val="543B029D"/>
    <w:rsid w:val="54861779"/>
    <w:rsid w:val="54CF4C66"/>
    <w:rsid w:val="55084A4C"/>
    <w:rsid w:val="552256E1"/>
    <w:rsid w:val="554E5773"/>
    <w:rsid w:val="555829E0"/>
    <w:rsid w:val="555A3CBC"/>
    <w:rsid w:val="5582012B"/>
    <w:rsid w:val="558E4E05"/>
    <w:rsid w:val="55BE2E85"/>
    <w:rsid w:val="56530F5D"/>
    <w:rsid w:val="567700D3"/>
    <w:rsid w:val="56FF7E9E"/>
    <w:rsid w:val="578867FC"/>
    <w:rsid w:val="5842572D"/>
    <w:rsid w:val="588546FD"/>
    <w:rsid w:val="5A3B59D6"/>
    <w:rsid w:val="5AD134D8"/>
    <w:rsid w:val="5BF41F67"/>
    <w:rsid w:val="5C263CE4"/>
    <w:rsid w:val="5C5D2777"/>
    <w:rsid w:val="5C8956D8"/>
    <w:rsid w:val="5CDB2B0E"/>
    <w:rsid w:val="5CF66BF3"/>
    <w:rsid w:val="5D290C69"/>
    <w:rsid w:val="5DA327CA"/>
    <w:rsid w:val="5DA80C2C"/>
    <w:rsid w:val="5E7B72A3"/>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322224"/>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D031C2"/>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 w:type="paragraph" w:customStyle="1" w:styleId="18">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8701</Words>
  <Characters>11283</Characters>
  <Lines>101</Lines>
  <Paragraphs>28</Paragraphs>
  <TotalTime>9</TotalTime>
  <ScaleCrop>false</ScaleCrop>
  <LinksUpToDate>false</LinksUpToDate>
  <CharactersWithSpaces>12344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2025-09-15T08:47:38Z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0561379ED6E0419DA7AB667E12F56168_13</vt:lpwstr>
  </property>
  <property fmtid="{D5CDD505-2E9C-101B-9397-08002B2CF9AE}" pid="4" name="KSOTemplateDocerSaveRecord">
    <vt:lpwstr>eyJoZGlkIjoiMDUwMjYyMTAwZTM5NTcxOGVhNzI3YWZjMDRhMjZkZDEifQ==</vt:lpwstr>
  </property>
</Properties>
</file>