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jc w:val="center"/>
        <w:textAlignment w:val="auto"/>
        <w:rPr>
          <w:rFonts w:hint="default" w:ascii="方正小标宋_GBK" w:hAnsi="方正小标宋_GBK" w:eastAsia="方正小标宋_GBK" w:cs="方正小标宋_GBK"/>
          <w:b/>
          <w:bCs/>
          <w:sz w:val="44"/>
          <w:szCs w:val="44"/>
        </w:rPr>
      </w:pPr>
      <w:r>
        <w:rPr>
          <w:rFonts w:hint="default" w:ascii="方正小标宋_GBK" w:hAnsi="方正小标宋_GBK" w:eastAsia="方正小标宋_GBK" w:cs="方正小标宋_GBK"/>
          <w:b/>
          <w:bCs/>
          <w:sz w:val="44"/>
          <w:szCs w:val="44"/>
        </w:rPr>
        <w:t>垫江县档案馆（本级）</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jc w:val="center"/>
        <w:textAlignment w:val="auto"/>
        <w:rPr>
          <w:rFonts w:hint="default" w:ascii="方正小标宋_GBK" w:hAnsi="方正小标宋_GBK" w:eastAsia="方正小标宋_GBK" w:cs="方正小标宋_GBK"/>
          <w:b/>
          <w:bCs/>
          <w:sz w:val="44"/>
          <w:szCs w:val="44"/>
        </w:rPr>
      </w:pPr>
      <w:r>
        <w:rPr>
          <w:rFonts w:hint="default" w:ascii="方正小标宋_GBK" w:hAnsi="方正小标宋_GBK" w:eastAsia="方正小标宋_GBK" w:cs="方正小标宋_GBK"/>
          <w:b/>
          <w:bCs/>
          <w:sz w:val="44"/>
          <w:szCs w:val="44"/>
        </w:rPr>
        <w:t>2024年度决算公开说明</w:t>
      </w:r>
    </w:p>
    <w:p>
      <w:pPr>
        <w:pStyle w:val="8"/>
        <w:spacing w:before="0" w:beforeAutospacing="0" w:after="0" w:afterAutospacing="0" w:line="596" w:lineRule="exact"/>
        <w:jc w:val="center"/>
        <w:rPr>
          <w:rFonts w:hint="default" w:ascii="方正小标宋_GBK" w:hAnsi="方正小标宋_GBK" w:eastAsia="方正小标宋_GBK" w:cs="方正小标宋_GBK"/>
          <w:b/>
          <w:bCs/>
          <w:sz w:val="44"/>
          <w:szCs w:val="44"/>
        </w:rPr>
      </w:pPr>
    </w:p>
    <w:p>
      <w:pPr>
        <w:pStyle w:val="8"/>
        <w:shd w:val="clear" w:color="auto" w:fill="FFFFFF"/>
        <w:spacing w:before="0" w:beforeAutospacing="0" w:after="0" w:afterAutospacing="0" w:line="594" w:lineRule="exact"/>
        <w:ind w:firstLine="640" w:firstLineChars="200"/>
        <w:rPr>
          <w:rStyle w:val="12"/>
          <w:rFonts w:hint="default" w:ascii="方正黑体_GBK" w:hAnsi="方正黑体_GBK" w:eastAsia="方正黑体_GBK" w:cs="方正黑体_GBK"/>
          <w:b w:val="0"/>
          <w:bCs/>
          <w:sz w:val="32"/>
          <w:szCs w:val="32"/>
          <w:shd w:val="clear" w:color="auto" w:fill="FFFFFF"/>
        </w:rPr>
      </w:pPr>
      <w:r>
        <w:rPr>
          <w:rStyle w:val="12"/>
          <w:rFonts w:ascii="方正黑体_GBK" w:hAnsi="方正黑体_GBK" w:eastAsia="方正黑体_GBK" w:cs="方正黑体_GBK"/>
          <w:b w:val="0"/>
          <w:bCs/>
          <w:sz w:val="32"/>
          <w:szCs w:val="32"/>
          <w:shd w:val="clear" w:color="auto" w:fill="FFFFFF"/>
        </w:rPr>
        <w:t>一、单位基本情况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2"/>
          <w:rFonts w:hint="default" w:ascii="方正楷体_GBK" w:hAnsi="方正楷体_GBK" w:eastAsia="方正楷体_GBK" w:cs="方正楷体_GBK"/>
          <w:b w:val="0"/>
          <w:bCs/>
          <w:sz w:val="32"/>
          <w:szCs w:val="32"/>
          <w:shd w:val="clear" w:color="auto" w:fill="FFFFFF"/>
        </w:rPr>
      </w:pPr>
      <w:r>
        <w:rPr>
          <w:rStyle w:val="12"/>
          <w:rFonts w:ascii="方正楷体_GBK" w:hAnsi="方正楷体_GBK" w:eastAsia="方正楷体_GBK" w:cs="方正楷体_GBK"/>
          <w:b w:val="0"/>
          <w:bCs/>
          <w:sz w:val="32"/>
          <w:szCs w:val="32"/>
          <w:shd w:val="clear" w:color="auto" w:fill="FFFFFF"/>
        </w:rPr>
        <w:t>（一）职能职责</w:t>
      </w:r>
    </w:p>
    <w:p>
      <w:pPr>
        <w:pStyle w:val="8"/>
        <w:shd w:val="clear" w:color="auto" w:fill="FFFFFF"/>
        <w:spacing w:before="0" w:beforeAutospacing="0" w:after="0" w:afterAutospacing="0" w:line="594"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贯彻执行《中华人民共和国档案法》</w:t>
      </w:r>
      <w:r>
        <w:rPr>
          <w:rFonts w:ascii="Times New Roman" w:hAnsi="Times New Roman" w:eastAsia="方正仿宋_GBK"/>
          <w:sz w:val="32"/>
          <w:szCs w:val="32"/>
          <w:shd w:val="clear" w:color="auto" w:fill="FFFFFF"/>
        </w:rPr>
        <w:t>《党史学习教育工作条例》</w:t>
      </w:r>
      <w:r>
        <w:rPr>
          <w:rFonts w:hint="default" w:ascii="Times New Roman" w:hAnsi="Times New Roman" w:eastAsia="方正仿宋_GBK"/>
          <w:sz w:val="32"/>
          <w:szCs w:val="32"/>
          <w:shd w:val="clear" w:color="auto" w:fill="FFFFFF"/>
        </w:rPr>
        <w:t>《地方志工作条例》以及党和国家有关史志档案工作法律、法规、规章和方针政策。征集整理垫江县区域内的党史资料，研究党的历史经验，利用史志档案资料开展社会教育服务，向社会进行爱国主义教育、革命传统教育，为社会主义建设和自身建设服务。组织地方志书编纂。</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default" w:ascii="方正楷体_GBK" w:hAnsi="方正楷体_GBK" w:eastAsia="方正楷体_GBK" w:cs="方正楷体_GBK"/>
          <w:b w:val="0"/>
          <w:bCs/>
          <w:sz w:val="32"/>
          <w:szCs w:val="32"/>
          <w:shd w:val="clear" w:color="auto" w:fill="FFFFFF"/>
        </w:rPr>
        <w:t>（二）机构设置</w:t>
      </w:r>
    </w:p>
    <w:p>
      <w:pPr>
        <w:pStyle w:val="8"/>
        <w:shd w:val="clear" w:color="auto" w:fill="FFFFFF"/>
        <w:spacing w:before="0" w:beforeAutospacing="0" w:after="0" w:afterAutospacing="0"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共有编制14名，实有人员13名，退休人员16名。内设办公室、档案馆务科、档案业务科、党史编研科和地方志工作科。</w:t>
      </w:r>
    </w:p>
    <w:p>
      <w:pPr>
        <w:pStyle w:val="8"/>
        <w:shd w:val="clear" w:color="auto" w:fill="FFFFFF"/>
        <w:spacing w:before="0" w:beforeAutospacing="0" w:after="0" w:afterAutospacing="0" w:line="594" w:lineRule="exact"/>
        <w:ind w:firstLine="640" w:firstLineChars="200"/>
        <w:rPr>
          <w:rStyle w:val="12"/>
          <w:rFonts w:hint="default" w:ascii="方正黑体_GBK" w:hAnsi="方正黑体_GBK" w:eastAsia="方正黑体_GBK" w:cs="方正黑体_GBK"/>
          <w:b w:val="0"/>
          <w:bCs/>
          <w:sz w:val="32"/>
          <w:szCs w:val="32"/>
          <w:shd w:val="clear" w:color="auto" w:fill="FFFFFF"/>
        </w:rPr>
      </w:pPr>
      <w:r>
        <w:rPr>
          <w:rStyle w:val="12"/>
          <w:rFonts w:hint="default" w:ascii="方正黑体_GBK" w:hAnsi="方正黑体_GBK" w:eastAsia="方正黑体_GBK" w:cs="方正黑体_GBK"/>
          <w:b w:val="0"/>
          <w:bCs/>
          <w:sz w:val="32"/>
          <w:szCs w:val="32"/>
          <w:shd w:val="clear" w:color="auto" w:fill="FFFFFF"/>
        </w:rPr>
        <w:t>二、单位决算收支情况说明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default" w:ascii="方正楷体_GBK" w:hAnsi="方正楷体_GBK" w:eastAsia="方正楷体_GBK" w:cs="方正楷体_GBK"/>
          <w:b w:val="0"/>
          <w:bCs/>
          <w:sz w:val="32"/>
          <w:szCs w:val="32"/>
          <w:shd w:val="clear" w:color="auto" w:fill="FFFFFF"/>
        </w:rPr>
        <w:t>（一）收入支出决算总体情况说明。</w:t>
      </w:r>
    </w:p>
    <w:p>
      <w:pPr>
        <w:snapToGrid w:val="0"/>
        <w:spacing w:line="594" w:lineRule="exact"/>
        <w:ind w:firstLine="643" w:firstLineChars="200"/>
        <w:rPr>
          <w:rFonts w:hint="default" w:ascii="Times New Roman" w:hAnsi="Times New Roman" w:eastAsia="方正仿宋_GBK"/>
          <w:sz w:val="32"/>
          <w:szCs w:val="32"/>
        </w:rPr>
      </w:pPr>
      <w:r>
        <w:rPr>
          <w:rStyle w:val="12"/>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2024年度收入总计485.56万元，支出总计</w:t>
      </w:r>
      <w:r>
        <w:rPr>
          <w:rFonts w:hint="default" w:ascii="Times New Roman" w:hAnsi="Times New Roman" w:eastAsia="方正仿宋_GBK"/>
          <w:sz w:val="32"/>
          <w:szCs w:val="32"/>
        </w:rPr>
        <w:t>485.56</w:t>
      </w:r>
      <w:r>
        <w:rPr>
          <w:rFonts w:hint="default" w:ascii="Times New Roman" w:hAnsi="Times New Roman" w:eastAsia="方正仿宋_GBK"/>
          <w:sz w:val="32"/>
          <w:szCs w:val="32"/>
          <w:shd w:val="clear" w:color="auto" w:fill="FFFFFF"/>
        </w:rPr>
        <w:t>万元。收、支与2023年度相比，减少51.62万元，下降9.6%，</w:t>
      </w:r>
      <w:r>
        <w:rPr>
          <w:rFonts w:hint="default" w:ascii="Times New Roman" w:hAnsi="Times New Roman" w:eastAsia="方正仿宋_GBK"/>
          <w:sz w:val="32"/>
          <w:szCs w:val="32"/>
        </w:rPr>
        <w:t>主要原因为落实过紧日子政策，压减</w:t>
      </w:r>
      <w:r>
        <w:rPr>
          <w:rFonts w:hint="default" w:ascii="Times New Roman" w:hAnsi="Times New Roman" w:eastAsia="方正仿宋_GBK"/>
          <w:color w:val="000000"/>
          <w:sz w:val="32"/>
          <w:szCs w:val="32"/>
        </w:rPr>
        <w:t>项目经费支出及人员支出</w:t>
      </w:r>
      <w:r>
        <w:rPr>
          <w:rFonts w:hint="default" w:ascii="Times New Roman" w:hAnsi="Times New Roman" w:eastAsia="方正仿宋_GBK"/>
          <w:sz w:val="32"/>
          <w:szCs w:val="32"/>
        </w:rPr>
        <w:t>。</w:t>
      </w:r>
    </w:p>
    <w:p>
      <w:pPr>
        <w:snapToGrid w:val="0"/>
        <w:spacing w:line="594" w:lineRule="exact"/>
        <w:ind w:firstLine="643" w:firstLineChars="200"/>
        <w:rPr>
          <w:rFonts w:hint="default" w:ascii="Times New Roman" w:hAnsi="Times New Roman" w:eastAsia="方正仿宋_GBK"/>
          <w:sz w:val="32"/>
          <w:szCs w:val="32"/>
          <w:shd w:val="clear" w:color="auto" w:fill="FFFFFF"/>
        </w:rPr>
      </w:pPr>
      <w:r>
        <w:rPr>
          <w:rStyle w:val="12"/>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2024年度收入合计456.03万元，与2023年度相比，减少81.15万元，下降15.1%，</w:t>
      </w:r>
      <w:r>
        <w:rPr>
          <w:rFonts w:hint="default" w:ascii="Times New Roman" w:hAnsi="Times New Roman" w:eastAsia="方正仿宋_GBK"/>
          <w:sz w:val="32"/>
          <w:szCs w:val="32"/>
        </w:rPr>
        <w:t>主要原因为落实过紧日子政策，压减</w:t>
      </w:r>
      <w:r>
        <w:rPr>
          <w:rFonts w:hint="default" w:ascii="Times New Roman" w:hAnsi="Times New Roman" w:eastAsia="方正仿宋_GBK"/>
          <w:color w:val="000000"/>
          <w:sz w:val="32"/>
          <w:szCs w:val="32"/>
        </w:rPr>
        <w:t>项目经费支出及人员支出。</w:t>
      </w:r>
      <w:r>
        <w:rPr>
          <w:rFonts w:hint="default" w:ascii="Times New Roman" w:hAnsi="Times New Roman" w:eastAsia="方正仿宋_GBK"/>
          <w:sz w:val="32"/>
          <w:szCs w:val="32"/>
          <w:shd w:val="clear" w:color="auto" w:fill="FFFFFF"/>
        </w:rPr>
        <w:t>其中：财政拨款收入</w:t>
      </w:r>
      <w:r>
        <w:rPr>
          <w:rFonts w:hint="default" w:ascii="Times New Roman" w:hAnsi="Times New Roman" w:eastAsia="方正仿宋_GBK"/>
          <w:sz w:val="32"/>
          <w:szCs w:val="32"/>
        </w:rPr>
        <w:t>456.03</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29.54</w:t>
      </w:r>
      <w:r>
        <w:rPr>
          <w:rFonts w:hint="default" w:ascii="Times New Roman" w:hAnsi="Times New Roman" w:eastAsia="方正仿宋_GBK"/>
          <w:sz w:val="32"/>
          <w:szCs w:val="32"/>
          <w:shd w:val="clear" w:color="auto" w:fill="FFFFFF"/>
        </w:rPr>
        <w:t>万元。</w:t>
      </w:r>
    </w:p>
    <w:p>
      <w:pPr>
        <w:snapToGrid w:val="0"/>
        <w:spacing w:line="594" w:lineRule="exact"/>
        <w:ind w:firstLine="643" w:firstLineChars="200"/>
        <w:rPr>
          <w:rFonts w:hint="default" w:ascii="Times New Roman" w:hAnsi="Times New Roman" w:eastAsia="方正仿宋_GBK"/>
          <w:sz w:val="32"/>
          <w:szCs w:val="32"/>
          <w:shd w:val="clear" w:color="auto" w:fill="FFFFFF"/>
        </w:rPr>
      </w:pPr>
      <w:r>
        <w:rPr>
          <w:rStyle w:val="12"/>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2024年度支出合计</w:t>
      </w:r>
      <w:r>
        <w:rPr>
          <w:rFonts w:hint="default" w:ascii="Times New Roman" w:hAnsi="Times New Roman" w:eastAsia="方正仿宋_GBK"/>
          <w:sz w:val="32"/>
          <w:szCs w:val="32"/>
        </w:rPr>
        <w:t>485.56</w:t>
      </w:r>
      <w:r>
        <w:rPr>
          <w:rFonts w:hint="default" w:ascii="Times New Roman" w:hAnsi="Times New Roman" w:eastAsia="方正仿宋_GBK"/>
          <w:sz w:val="32"/>
          <w:szCs w:val="32"/>
          <w:shd w:val="clear" w:color="auto" w:fill="FFFFFF"/>
        </w:rPr>
        <w:t>万元，与2023年度相比，减少51.62万元，下降9.6%，</w:t>
      </w:r>
      <w:r>
        <w:rPr>
          <w:rFonts w:hint="default" w:ascii="Times New Roman" w:hAnsi="Times New Roman" w:eastAsia="方正仿宋_GBK"/>
          <w:sz w:val="32"/>
          <w:szCs w:val="32"/>
        </w:rPr>
        <w:t>主要原因为落实过紧日子政策，压减</w:t>
      </w:r>
      <w:r>
        <w:rPr>
          <w:rFonts w:hint="default" w:ascii="Times New Roman" w:hAnsi="Times New Roman" w:eastAsia="方正仿宋_GBK"/>
          <w:color w:val="000000"/>
          <w:sz w:val="32"/>
          <w:szCs w:val="32"/>
        </w:rPr>
        <w:t>项目经费支出及人员支出</w:t>
      </w:r>
      <w:r>
        <w:rPr>
          <w:rFonts w:hint="default" w:ascii="Times New Roman" w:hAnsi="Times New Roman" w:eastAsia="方正仿宋_GBK"/>
          <w:sz w:val="32"/>
          <w:szCs w:val="32"/>
        </w:rPr>
        <w:t>。</w:t>
      </w:r>
      <w:r>
        <w:rPr>
          <w:rFonts w:ascii="Times New Roman" w:hAnsi="Times New Roman" w:eastAsia="方正仿宋_GBK"/>
          <w:sz w:val="32"/>
          <w:szCs w:val="32"/>
          <w:shd w:val="clear" w:color="auto" w:fill="FFFFFF"/>
        </w:rPr>
        <w:t>其中：基本支出</w:t>
      </w:r>
      <w:r>
        <w:rPr>
          <w:rFonts w:hint="default" w:ascii="Times New Roman" w:hAnsi="Times New Roman" w:eastAsia="方正仿宋_GBK"/>
          <w:sz w:val="32"/>
          <w:szCs w:val="32"/>
          <w:shd w:val="clear" w:color="auto" w:fill="FFFFFF"/>
        </w:rPr>
        <w:t>388.27万元，占80.0%；项目支出97.29万元，占20.0%；经营支出0.00万元，占0.0%。此外，结余分配0.00万元。</w:t>
      </w:r>
    </w:p>
    <w:p>
      <w:pPr>
        <w:pStyle w:val="8"/>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2"/>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2024年度年末结转和结余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万元，与2023年度相比，无增减，主要原因是</w:t>
      </w:r>
      <w:r>
        <w:rPr>
          <w:rFonts w:hint="default" w:ascii="Times New Roman" w:hAnsi="Times New Roman" w:eastAsia="方正仿宋_GBK"/>
          <w:bCs/>
          <w:sz w:val="32"/>
          <w:szCs w:val="32"/>
          <w:shd w:val="clear" w:color="auto" w:fill="FFFFFF"/>
        </w:rPr>
        <w:t>本年度及上年度均无结转结余。</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default" w:ascii="方正楷体_GBK" w:hAnsi="方正楷体_GBK" w:eastAsia="方正楷体_GBK" w:cs="方正楷体_GBK"/>
          <w:b w:val="0"/>
          <w:bCs/>
          <w:sz w:val="32"/>
          <w:szCs w:val="32"/>
          <w:shd w:val="clear" w:color="auto" w:fill="FFFFFF"/>
        </w:rPr>
        <w:t>（二）财政拨款收入支出决算总体情况说明</w:t>
      </w:r>
    </w:p>
    <w:p>
      <w:pPr>
        <w:pStyle w:val="8"/>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2024年度财政拨款收、支总计485.56万元。与2023年相比，财政拨款收、支总计各减少51.62万元，下降9.6%。</w:t>
      </w:r>
      <w:r>
        <w:rPr>
          <w:rFonts w:hint="default" w:ascii="Times New Roman" w:hAnsi="Times New Roman" w:eastAsia="方正仿宋_GBK"/>
          <w:sz w:val="32"/>
          <w:szCs w:val="32"/>
        </w:rPr>
        <w:t>主要原因为落实过紧日子政策，压减</w:t>
      </w:r>
      <w:r>
        <w:rPr>
          <w:rFonts w:hint="default" w:ascii="Times New Roman" w:hAnsi="Times New Roman" w:eastAsia="方正仿宋_GBK"/>
          <w:color w:val="000000"/>
          <w:sz w:val="32"/>
          <w:szCs w:val="32"/>
        </w:rPr>
        <w:t>项目经费支出及人员支出</w:t>
      </w:r>
      <w:r>
        <w:rPr>
          <w:rFonts w:hint="default" w:ascii="Times New Roman" w:hAnsi="Times New Roman" w:eastAsia="方正仿宋_GBK"/>
          <w:sz w:val="32"/>
          <w:szCs w:val="32"/>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default" w:ascii="方正楷体_GBK" w:hAnsi="方正楷体_GBK" w:eastAsia="方正楷体_GBK" w:cs="方正楷体_GBK"/>
          <w:b w:val="0"/>
          <w:bCs/>
          <w:sz w:val="32"/>
          <w:szCs w:val="32"/>
          <w:shd w:val="clear" w:color="auto" w:fill="FFFFFF"/>
        </w:rPr>
        <w:t>（三）一般公共预算财政拨款收入支出决算情况说明</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sz w:val="32"/>
          <w:szCs w:val="32"/>
          <w:shd w:val="clear" w:color="auto" w:fill="FFFFFF"/>
        </w:rPr>
      </w:pPr>
      <w:r>
        <w:rPr>
          <w:rStyle w:val="12"/>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2024年度一般公共预算财政拨款收入</w:t>
      </w:r>
      <w:r>
        <w:rPr>
          <w:rFonts w:hint="default" w:ascii="Times New Roman" w:hAnsi="Times New Roman" w:eastAsia="方正仿宋_GBK"/>
          <w:sz w:val="32"/>
          <w:szCs w:val="32"/>
        </w:rPr>
        <w:t>456.03</w:t>
      </w:r>
      <w:r>
        <w:rPr>
          <w:rFonts w:hint="default" w:ascii="Times New Roman" w:hAnsi="Times New Roman" w:eastAsia="方正仿宋_GBK"/>
          <w:sz w:val="32"/>
          <w:szCs w:val="32"/>
          <w:shd w:val="clear" w:color="auto" w:fill="FFFFFF"/>
        </w:rPr>
        <w:t>万元，与2023年度相比，减少81.15万元，下降15.1%。</w:t>
      </w:r>
      <w:r>
        <w:rPr>
          <w:rFonts w:hint="default" w:ascii="Times New Roman" w:hAnsi="Times New Roman" w:eastAsia="方正仿宋_GBK"/>
          <w:sz w:val="32"/>
          <w:szCs w:val="32"/>
        </w:rPr>
        <w:t>主要原因为落实过紧日子政策，压减</w:t>
      </w:r>
      <w:r>
        <w:rPr>
          <w:rFonts w:hint="default" w:ascii="Times New Roman" w:hAnsi="Times New Roman" w:eastAsia="方正仿宋_GBK"/>
          <w:color w:val="000000"/>
          <w:sz w:val="32"/>
          <w:szCs w:val="32"/>
        </w:rPr>
        <w:t>项目经费支出及人员支出</w:t>
      </w:r>
      <w:r>
        <w:rPr>
          <w:rFonts w:hint="default" w:ascii="Times New Roman" w:hAnsi="Times New Roman" w:eastAsia="方正仿宋_GBK"/>
          <w:sz w:val="32"/>
          <w:szCs w:val="32"/>
        </w:rPr>
        <w:t>。</w:t>
      </w:r>
      <w:r>
        <w:rPr>
          <w:rFonts w:hint="default" w:ascii="Times New Roman" w:hAnsi="Times New Roman" w:eastAsia="方正仿宋_GBK"/>
          <w:sz w:val="32"/>
          <w:szCs w:val="32"/>
          <w:shd w:val="clear" w:color="auto" w:fill="FFFFFF"/>
        </w:rPr>
        <w:t>较年初预算数增加0.97万元，增长0.2%。主要原因是年中追加党史工作经费和《中共垫江县委执政纪实（2023年卷）》编纂项目经费。此外，年初财政拨款结转和结余</w:t>
      </w:r>
      <w:r>
        <w:rPr>
          <w:rFonts w:hint="default" w:ascii="Times New Roman" w:hAnsi="Times New Roman" w:eastAsia="方正仿宋_GBK"/>
          <w:sz w:val="32"/>
          <w:szCs w:val="32"/>
        </w:rPr>
        <w:t>29.54</w:t>
      </w:r>
      <w:r>
        <w:rPr>
          <w:rFonts w:hint="default" w:ascii="Times New Roman" w:hAnsi="Times New Roman" w:eastAsia="方正仿宋_GBK"/>
          <w:sz w:val="32"/>
          <w:szCs w:val="32"/>
          <w:shd w:val="clear" w:color="auto" w:fill="FFFFFF"/>
        </w:rPr>
        <w:t>万元。</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sz w:val="32"/>
          <w:szCs w:val="32"/>
          <w:shd w:val="clear" w:color="auto" w:fill="FFFFFF"/>
        </w:rPr>
      </w:pPr>
      <w:r>
        <w:rPr>
          <w:rStyle w:val="12"/>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2024年度一般公共预算财政拨款支出</w:t>
      </w:r>
      <w:r>
        <w:rPr>
          <w:rFonts w:hint="default" w:ascii="Times New Roman" w:hAnsi="Times New Roman" w:eastAsia="方正仿宋_GBK"/>
          <w:sz w:val="32"/>
          <w:szCs w:val="32"/>
        </w:rPr>
        <w:t>485.56</w:t>
      </w:r>
      <w:r>
        <w:rPr>
          <w:rFonts w:hint="default" w:ascii="Times New Roman" w:hAnsi="Times New Roman" w:eastAsia="方正仿宋_GBK"/>
          <w:sz w:val="32"/>
          <w:szCs w:val="32"/>
          <w:shd w:val="clear" w:color="auto" w:fill="FFFFFF"/>
        </w:rPr>
        <w:t>万元，与2023年度相比，减少51.62万元，下降9.6%。</w:t>
      </w:r>
      <w:r>
        <w:rPr>
          <w:rFonts w:hint="default" w:ascii="Times New Roman" w:hAnsi="Times New Roman" w:eastAsia="方正仿宋_GBK"/>
          <w:sz w:val="32"/>
          <w:szCs w:val="32"/>
        </w:rPr>
        <w:t>主要原因为落实过紧日子政策，压减</w:t>
      </w:r>
      <w:r>
        <w:rPr>
          <w:rFonts w:hint="default" w:ascii="Times New Roman" w:hAnsi="Times New Roman" w:eastAsia="方正仿宋_GBK"/>
          <w:color w:val="000000"/>
          <w:sz w:val="32"/>
          <w:szCs w:val="32"/>
        </w:rPr>
        <w:t>项目经费支出及人员支出</w:t>
      </w:r>
      <w:r>
        <w:rPr>
          <w:rFonts w:hint="default" w:ascii="Times New Roman" w:hAnsi="Times New Roman" w:eastAsia="方正仿宋_GBK"/>
          <w:sz w:val="32"/>
          <w:szCs w:val="32"/>
        </w:rPr>
        <w:t>。</w:t>
      </w:r>
      <w:r>
        <w:rPr>
          <w:rFonts w:hint="default" w:ascii="Times New Roman" w:hAnsi="Times New Roman" w:eastAsia="方正仿宋_GBK"/>
          <w:sz w:val="32"/>
          <w:szCs w:val="32"/>
          <w:shd w:val="clear" w:color="auto" w:fill="FFFFFF"/>
        </w:rPr>
        <w:t>较年初预算数增加30.50万元，增长6.7%。主要原因是年中追加党史工作经费和《中共垫江县委执政纪实（2023年卷）》编纂项目经费。</w:t>
      </w:r>
    </w:p>
    <w:p>
      <w:pPr>
        <w:pStyle w:val="8"/>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2"/>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2024年度年末一般公共预算财政拨款结转和结余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万元，与2023年度相比，无增减，主要原因是本年度与上年度均无结转结余。</w:t>
      </w:r>
    </w:p>
    <w:p>
      <w:pPr>
        <w:pStyle w:val="8"/>
        <w:snapToGrid w:val="0"/>
        <w:spacing w:before="0" w:beforeAutospacing="0" w:after="0" w:afterAutospacing="0" w:line="594" w:lineRule="exact"/>
        <w:ind w:firstLine="643" w:firstLineChars="200"/>
        <w:jc w:val="both"/>
        <w:rPr>
          <w:rFonts w:hint="default" w:ascii="Times New Roman" w:hAnsi="Times New Roman" w:eastAsia="方正仿宋_GBK"/>
          <w:color w:val="FF0000"/>
          <w:sz w:val="32"/>
          <w:szCs w:val="32"/>
          <w:highlight w:val="cyan"/>
          <w:shd w:val="clear" w:color="auto" w:fill="FFFFFF"/>
        </w:rPr>
      </w:pPr>
      <w:r>
        <w:rPr>
          <w:rStyle w:val="12"/>
          <w:rFonts w:hint="default" w:ascii="Times New Roman" w:hAnsi="Times New Roman" w:eastAsia="方正仿宋_GBK"/>
          <w:sz w:val="32"/>
          <w:szCs w:val="32"/>
          <w:shd w:val="clear" w:color="auto" w:fill="FFFFFF"/>
        </w:rPr>
        <w:t xml:space="preserve"> 4.比较情况。</w:t>
      </w:r>
      <w:r>
        <w:rPr>
          <w:rFonts w:hint="default" w:ascii="Times New Roman" w:hAnsi="Times New Roman" w:eastAsia="方正仿宋_GBK"/>
          <w:sz w:val="32"/>
          <w:szCs w:val="32"/>
          <w:shd w:val="clear" w:color="auto" w:fill="FFFFFF"/>
        </w:rPr>
        <w:t>本单位2024年度一般公共预算财政拨款支出主要用于以下几个方面：</w:t>
      </w:r>
    </w:p>
    <w:p>
      <w:pPr>
        <w:pStyle w:val="8"/>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（1）</w:t>
      </w:r>
      <w:r>
        <w:rPr>
          <w:rFonts w:ascii="Times New Roman" w:hAnsi="Times New Roman" w:eastAsia="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359.15万元，占74.0%，较年初预算数增加29.28万元，增长8.9%，主要原因是2024年年中补缴职工2022年社保、住房公积金单位差额部分。</w:t>
      </w:r>
    </w:p>
    <w:p>
      <w:pPr>
        <w:pStyle w:val="8"/>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（2）教育支出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0.0</w:t>
      </w:r>
      <w:r>
        <w:rPr>
          <w:rFonts w:hint="default" w:ascii="Times New Roman" w:hAnsi="Times New Roman" w:eastAsia="方正仿宋_GBK"/>
          <w:sz w:val="32"/>
          <w:szCs w:val="32"/>
          <w:shd w:val="clear" w:color="auto" w:fill="FFFFFF"/>
        </w:rPr>
        <w:t>%，较年初预算数减少0.93万元，下降100.0%，主要原因是2024年未安排职工外出开展培训。</w:t>
      </w:r>
    </w:p>
    <w:p>
      <w:pPr>
        <w:pStyle w:val="8"/>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（3）社会保障与就业支出</w:t>
      </w:r>
      <w:r>
        <w:rPr>
          <w:rFonts w:hint="default" w:ascii="Times New Roman" w:hAnsi="Times New Roman" w:eastAsia="方正仿宋_GBK"/>
          <w:sz w:val="32"/>
          <w:szCs w:val="32"/>
        </w:rPr>
        <w:t>90.30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18.6</w:t>
      </w:r>
      <w:r>
        <w:rPr>
          <w:rFonts w:hint="default" w:ascii="Times New Roman" w:hAnsi="Times New Roman" w:eastAsia="方正仿宋_GBK"/>
          <w:sz w:val="32"/>
          <w:szCs w:val="32"/>
          <w:shd w:val="clear" w:color="auto" w:fill="FFFFFF"/>
        </w:rPr>
        <w:t>%，较年初预算数增加4.80万元，增长5.6%，主要原因是社会保障缴费基数调整和补缴职工2022年社保、年金差额部分。</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（4）</w:t>
      </w:r>
      <w:r>
        <w:rPr>
          <w:rFonts w:ascii="Times New Roman" w:hAnsi="Times New Roman" w:eastAsia="方正仿宋_GBK"/>
          <w:sz w:val="32"/>
          <w:szCs w:val="32"/>
          <w:shd w:val="clear" w:color="auto" w:fill="FFFFFF"/>
        </w:rPr>
        <w:t>卫生健康支出</w:t>
      </w:r>
      <w:r>
        <w:rPr>
          <w:rFonts w:hint="default" w:ascii="Times New Roman" w:hAnsi="Times New Roman" w:eastAsia="方正仿宋_GBK"/>
          <w:sz w:val="32"/>
          <w:szCs w:val="32"/>
          <w:shd w:val="clear" w:color="auto" w:fill="FFFFFF"/>
        </w:rPr>
        <w:t>16.18万元，占3.3%，较年初预算数减少0.38万元，下降2.3%，主要原因是人员调出和2024年</w:t>
      </w:r>
      <w:r>
        <w:rPr>
          <w:rFonts w:ascii="Times New Roman" w:hAnsi="Times New Roman" w:eastAsia="方正仿宋_GBK"/>
          <w:sz w:val="32"/>
          <w:szCs w:val="32"/>
          <w:shd w:val="clear" w:color="auto" w:fill="FFFFFF"/>
        </w:rPr>
        <w:t>有一名</w:t>
      </w:r>
      <w:r>
        <w:rPr>
          <w:rFonts w:hint="default" w:ascii="Times New Roman" w:hAnsi="Times New Roman" w:eastAsia="方正仿宋_GBK"/>
          <w:sz w:val="32"/>
          <w:szCs w:val="32"/>
          <w:shd w:val="clear" w:color="auto" w:fill="FFFFFF"/>
        </w:rPr>
        <w:t>职工</w:t>
      </w:r>
      <w:r>
        <w:rPr>
          <w:rFonts w:ascii="Times New Roman" w:hAnsi="Times New Roman" w:eastAsia="方正仿宋_GBK"/>
          <w:sz w:val="32"/>
          <w:szCs w:val="32"/>
          <w:shd w:val="clear" w:color="auto" w:fill="FFFFFF"/>
        </w:rPr>
        <w:t>退休</w:t>
      </w:r>
      <w:r>
        <w:rPr>
          <w:rFonts w:hint="default" w:ascii="Times New Roman" w:hAnsi="Times New Roman" w:eastAsia="方正仿宋_GBK"/>
          <w:sz w:val="32"/>
          <w:szCs w:val="32"/>
          <w:shd w:val="clear" w:color="auto" w:fill="FFFFFF"/>
        </w:rPr>
        <w:t>。</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（5）</w:t>
      </w:r>
      <w:r>
        <w:rPr>
          <w:rFonts w:ascii="Times New Roman" w:hAnsi="Times New Roman" w:eastAsia="方正仿宋_GBK"/>
          <w:sz w:val="32"/>
          <w:szCs w:val="32"/>
        </w:rPr>
        <w:t>住房保障支出</w:t>
      </w:r>
      <w:r>
        <w:rPr>
          <w:rFonts w:hint="default" w:ascii="Times New Roman" w:hAnsi="Times New Roman" w:eastAsia="方正仿宋_GBK"/>
          <w:sz w:val="32"/>
          <w:szCs w:val="32"/>
        </w:rPr>
        <w:t>19.94万元，占4.1%，较年初预算数减少2.27万元，下降10.2%，</w:t>
      </w:r>
      <w:r>
        <w:rPr>
          <w:rFonts w:hint="default" w:ascii="Times New Roman" w:hAnsi="Times New Roman" w:eastAsia="方正仿宋_GBK"/>
          <w:sz w:val="32"/>
          <w:szCs w:val="32"/>
          <w:shd w:val="clear" w:color="auto" w:fill="FFFFFF"/>
        </w:rPr>
        <w:t>主要原因是2024年住房公积金清算基数调整。</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default" w:ascii="方正楷体_GBK" w:hAnsi="方正楷体_GBK" w:eastAsia="方正楷体_GBK" w:cs="方正楷体_GBK"/>
          <w:b w:val="0"/>
          <w:bCs/>
          <w:sz w:val="32"/>
          <w:szCs w:val="32"/>
          <w:shd w:val="clear" w:color="auto" w:fill="FFFFFF"/>
        </w:rPr>
        <w:t>（四）一般公共预算财政拨款基本支出决算情况说明</w:t>
      </w:r>
    </w:p>
    <w:p>
      <w:pPr>
        <w:pStyle w:val="8"/>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2024年度一般公共财政拨款基本支出</w:t>
      </w:r>
      <w:r>
        <w:rPr>
          <w:rFonts w:hint="default" w:ascii="Times New Roman" w:hAnsi="Times New Roman" w:eastAsia="方正仿宋_GBK"/>
          <w:sz w:val="32"/>
          <w:szCs w:val="32"/>
        </w:rPr>
        <w:t>388.27</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342.29</w:t>
      </w:r>
      <w:r>
        <w:rPr>
          <w:rFonts w:hint="default" w:ascii="Times New Roman" w:hAnsi="Times New Roman" w:eastAsia="方正仿宋_GBK"/>
          <w:sz w:val="32"/>
          <w:szCs w:val="32"/>
          <w:shd w:val="clear" w:color="auto" w:fill="FFFFFF"/>
        </w:rPr>
        <w:t>万元，与2023年度相比，减少30.13万元，下降8.1%，主要原因是在职在编人员变动和2024年</w:t>
      </w:r>
      <w:r>
        <w:rPr>
          <w:rFonts w:ascii="Times New Roman" w:hAnsi="Times New Roman" w:eastAsia="方正仿宋_GBK"/>
          <w:sz w:val="32"/>
          <w:szCs w:val="32"/>
          <w:shd w:val="clear" w:color="auto" w:fill="FFFFFF"/>
        </w:rPr>
        <w:t>有一名职工退休</w:t>
      </w:r>
      <w:r>
        <w:rPr>
          <w:rFonts w:hint="default" w:ascii="Times New Roman" w:hAnsi="Times New Roman" w:eastAsia="方正仿宋_GBK"/>
          <w:sz w:val="32"/>
          <w:szCs w:val="32"/>
          <w:shd w:val="clear" w:color="auto" w:fill="FFFFFF"/>
        </w:rPr>
        <w:t>等。人员经费用途主要包括基本工资、津贴补贴、奖金、社会保障缴费。公用经费</w:t>
      </w:r>
      <w:r>
        <w:rPr>
          <w:rFonts w:hint="default" w:ascii="Times New Roman" w:hAnsi="Times New Roman" w:eastAsia="方正仿宋_GBK"/>
          <w:sz w:val="32"/>
          <w:szCs w:val="32"/>
        </w:rPr>
        <w:t>45.98</w:t>
      </w:r>
      <w:r>
        <w:rPr>
          <w:rFonts w:hint="default" w:ascii="Times New Roman" w:hAnsi="Times New Roman" w:eastAsia="方正仿宋_GBK"/>
          <w:sz w:val="32"/>
          <w:szCs w:val="32"/>
          <w:shd w:val="clear" w:color="auto" w:fill="FFFFFF"/>
        </w:rPr>
        <w:t>万元，与2023年度相比，减少7.28万元，下降13.7%，主要原因</w:t>
      </w:r>
      <w:r>
        <w:rPr>
          <w:rFonts w:hint="default" w:ascii="Times New Roman" w:hAnsi="Times New Roman" w:eastAsia="方正仿宋_GBK"/>
          <w:sz w:val="32"/>
          <w:szCs w:val="32"/>
        </w:rPr>
        <w:t>为落实过紧日子政策，压减运行成本。</w:t>
      </w:r>
      <w:r>
        <w:rPr>
          <w:rFonts w:hint="default" w:ascii="Times New Roman" w:hAnsi="Times New Roman" w:eastAsia="方正仿宋_GBK"/>
          <w:sz w:val="32"/>
          <w:szCs w:val="32"/>
          <w:shd w:val="clear" w:color="auto" w:fill="FFFFFF"/>
        </w:rPr>
        <w:t>公用经费用途主要包括办公费、印刷费、电费、水费、邮电费等。</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default" w:ascii="方正楷体_GBK" w:hAnsi="方正楷体_GBK" w:eastAsia="方正楷体_GBK" w:cs="方正楷体_GBK"/>
          <w:b w:val="0"/>
          <w:bCs/>
          <w:sz w:val="32"/>
          <w:szCs w:val="32"/>
          <w:shd w:val="clear" w:color="auto" w:fill="FFFFFF"/>
        </w:rPr>
        <w:t>（五）政府性基金预算收支决算情况说明</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本年度无政府性基金预算财政拨款收入。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w:t>
      </w:r>
      <w:bookmarkStart w:id="0" w:name="_GoBack"/>
      <w:bookmarkEnd w:id="0"/>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是本年度无政府性基金预算财政拨款支出。本单位2024年度无政府性基金预算财政拨款收支。</w:t>
      </w:r>
    </w:p>
    <w:p>
      <w:pPr>
        <w:pStyle w:val="8"/>
        <w:shd w:val="clear" w:color="auto" w:fill="FFFFFF"/>
        <w:spacing w:before="0" w:beforeAutospacing="0" w:after="0" w:afterAutospacing="0" w:line="594" w:lineRule="exact"/>
        <w:ind w:firstLine="420"/>
        <w:rPr>
          <w:rStyle w:val="12"/>
          <w:rFonts w:hint="default" w:ascii="方正楷体_GBK" w:hAnsi="方正楷体_GBK" w:eastAsia="方正楷体_GBK" w:cs="方正楷体_GBK"/>
          <w:b w:val="0"/>
          <w:bCs/>
          <w:sz w:val="32"/>
          <w:szCs w:val="32"/>
          <w:shd w:val="clear" w:color="auto" w:fill="FFFFFF"/>
        </w:rPr>
      </w:pPr>
      <w:r>
        <w:rPr>
          <w:rStyle w:val="12"/>
          <w:rFonts w:hint="default" w:ascii="方正楷体_GBK" w:hAnsi="方正楷体_GBK" w:eastAsia="方正楷体_GBK" w:cs="方正楷体_GBK"/>
          <w:b w:val="0"/>
          <w:bCs/>
          <w:sz w:val="32"/>
          <w:szCs w:val="32"/>
          <w:shd w:val="clear" w:color="auto" w:fill="FFFFFF"/>
        </w:rPr>
        <w:t>（六）国有资本经营预算财政拨款支出决算情况说明</w:t>
      </w:r>
    </w:p>
    <w:p>
      <w:pPr>
        <w:pStyle w:val="8"/>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2024年度国有资本经营预算财政拨</w:t>
      </w:r>
      <w:r>
        <w:rPr>
          <w:rFonts w:hint="eastAsia" w:ascii="Times New Roman" w:hAnsi="Times New Roman" w:eastAsia="方正仿宋_GBK" w:cs="Times New Roman"/>
          <w:sz w:val="32"/>
          <w:szCs w:val="32"/>
          <w:shd w:val="clear" w:color="auto" w:fill="FFFFFF"/>
          <w:lang w:eastAsia="zh-CN"/>
        </w:rPr>
        <w:t>款</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万元。本单位2024年度无国有资本经营预算财政拨款支出。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2"/>
          <w:rFonts w:hint="default" w:ascii="方正黑体_GBK" w:hAnsi="方正黑体_GBK" w:eastAsia="方正黑体_GBK" w:cs="方正黑体_GBK"/>
          <w:b w:val="0"/>
          <w:bCs/>
          <w:sz w:val="32"/>
          <w:szCs w:val="32"/>
          <w:shd w:val="clear" w:color="auto" w:fill="FFFFFF"/>
        </w:rPr>
      </w:pPr>
      <w:r>
        <w:rPr>
          <w:rStyle w:val="12"/>
          <w:rFonts w:hint="default" w:ascii="方正黑体_GBK" w:hAnsi="方正黑体_GBK" w:eastAsia="方正黑体_GBK" w:cs="方正黑体_GBK"/>
          <w:b w:val="0"/>
          <w:bCs/>
          <w:sz w:val="32"/>
          <w:szCs w:val="32"/>
          <w:shd w:val="clear" w:color="auto" w:fill="FFFFFF"/>
        </w:rPr>
        <w:t>三、财政拨款</w:t>
      </w:r>
      <w:r>
        <w:rPr>
          <w:rStyle w:val="12"/>
          <w:rFonts w:hint="eastAsia" w:ascii="方正黑体_GBK" w:hAnsi="方正黑体_GBK" w:eastAsia="方正黑体_GBK" w:cs="方正黑体_GBK"/>
          <w:b w:val="0"/>
          <w:bCs/>
          <w:sz w:val="32"/>
          <w:szCs w:val="32"/>
          <w:shd w:val="clear" w:color="auto" w:fill="FFFFFF"/>
          <w:lang w:eastAsia="zh-CN"/>
        </w:rPr>
        <w:t>三公</w:t>
      </w:r>
      <w:r>
        <w:rPr>
          <w:rStyle w:val="12"/>
          <w:rFonts w:hint="default" w:ascii="方正黑体_GBK" w:hAnsi="方正黑体_GBK" w:eastAsia="方正黑体_GBK" w:cs="方正黑体_GBK"/>
          <w:b w:val="0"/>
          <w:bCs/>
          <w:sz w:val="32"/>
          <w:szCs w:val="32"/>
          <w:shd w:val="clear" w:color="auto" w:fill="FFFFFF"/>
        </w:rPr>
        <w:t>经费情况说明</w:t>
      </w:r>
    </w:p>
    <w:p>
      <w:pPr>
        <w:pStyle w:val="13"/>
        <w:keepNext w:val="0"/>
        <w:keepLines w:val="0"/>
        <w:pageBreakBefore w:val="0"/>
        <w:widowControl w:val="0"/>
        <w:kinsoku/>
        <w:wordWrap/>
        <w:overflowPunct/>
        <w:topLinePunct w:val="0"/>
        <w:autoSpaceDE w:val="0"/>
        <w:autoSpaceDN/>
        <w:bidi w:val="0"/>
        <w:adjustRightInd/>
        <w:snapToGrid/>
        <w:spacing w:line="594" w:lineRule="exact"/>
        <w:textAlignment w:val="auto"/>
        <w:rPr>
          <w:rStyle w:val="12"/>
          <w:rFonts w:ascii="方正楷体_GBK" w:hAnsi="方正楷体_GBK" w:eastAsia="方正楷体_GBK" w:cs="方正楷体_GBK"/>
          <w:b w:val="0"/>
          <w:bCs/>
          <w:sz w:val="32"/>
          <w:szCs w:val="32"/>
          <w:shd w:val="clear" w:color="auto" w:fill="FFFFFF"/>
        </w:rPr>
      </w:pPr>
      <w:r>
        <w:rPr>
          <w:rStyle w:val="12"/>
          <w:rFonts w:ascii="方正楷体_GBK" w:hAnsi="方正楷体_GBK" w:eastAsia="方正楷体_GBK" w:cs="方正楷体_GBK"/>
          <w:b w:val="0"/>
          <w:bCs/>
          <w:sz w:val="32"/>
          <w:szCs w:val="32"/>
          <w:shd w:val="clear" w:color="auto" w:fill="FFFFFF"/>
        </w:rPr>
        <w:t>（一）</w:t>
      </w:r>
      <w:r>
        <w:rPr>
          <w:rStyle w:val="12"/>
          <w:rFonts w:hint="eastAsia" w:ascii="方正楷体_GBK" w:hAnsi="方正楷体_GBK" w:eastAsia="方正楷体_GBK" w:cs="方正楷体_GBK"/>
          <w:b w:val="0"/>
          <w:bCs/>
          <w:sz w:val="32"/>
          <w:szCs w:val="32"/>
          <w:shd w:val="clear" w:color="auto" w:fill="FFFFFF"/>
          <w:lang w:eastAsia="zh-CN"/>
        </w:rPr>
        <w:t>三公</w:t>
      </w:r>
      <w:r>
        <w:rPr>
          <w:rStyle w:val="12"/>
          <w:rFonts w:ascii="方正楷体_GBK" w:hAnsi="方正楷体_GBK" w:eastAsia="方正楷体_GBK" w:cs="方正楷体_GBK"/>
          <w:b w:val="0"/>
          <w:bCs/>
          <w:sz w:val="32"/>
          <w:szCs w:val="32"/>
          <w:shd w:val="clear" w:color="auto" w:fill="FFFFFF"/>
        </w:rPr>
        <w:t>经费支出总体情况说明</w:t>
      </w:r>
    </w:p>
    <w:p>
      <w:pPr>
        <w:pStyle w:val="8"/>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w:t>
      </w:r>
      <w:r>
        <w:rPr>
          <w:rFonts w:hint="eastAsia" w:ascii="Times New Roman" w:hAnsi="Times New Roman" w:eastAsia="方正仿宋_GBK"/>
          <w:sz w:val="32"/>
          <w:szCs w:val="32"/>
          <w:shd w:val="clear" w:color="auto" w:fill="FFFFFF"/>
          <w:lang w:eastAsia="zh-CN"/>
        </w:rPr>
        <w:t>三公</w:t>
      </w:r>
      <w:r>
        <w:rPr>
          <w:rFonts w:hint="default" w:ascii="Times New Roman" w:hAnsi="Times New Roman" w:eastAsia="方正仿宋_GBK"/>
          <w:sz w:val="32"/>
          <w:szCs w:val="32"/>
          <w:shd w:val="clear" w:color="auto" w:fill="FFFFFF"/>
        </w:rPr>
        <w:t>经费支出共计</w:t>
      </w:r>
      <w:r>
        <w:rPr>
          <w:rFonts w:hint="default" w:ascii="Times New Roman" w:hAnsi="Times New Roman" w:eastAsia="方正仿宋_GBK"/>
          <w:sz w:val="32"/>
          <w:szCs w:val="32"/>
        </w:rPr>
        <w:t>0.46</w:t>
      </w:r>
      <w:r>
        <w:rPr>
          <w:rFonts w:hint="default" w:ascii="Times New Roman" w:hAnsi="Times New Roman" w:eastAsia="方正仿宋_GBK"/>
          <w:sz w:val="32"/>
          <w:szCs w:val="32"/>
          <w:shd w:val="clear" w:color="auto" w:fill="FFFFFF"/>
        </w:rPr>
        <w:t>万元，较年初预算数减少1.54万元，下降77.0%，主要原因是严格落实中央八项规定精神，严控</w:t>
      </w:r>
      <w:r>
        <w:rPr>
          <w:rFonts w:hint="eastAsia" w:ascii="Times New Roman" w:hAnsi="Times New Roman" w:eastAsia="方正仿宋_GBK"/>
          <w:sz w:val="32"/>
          <w:szCs w:val="32"/>
          <w:shd w:val="clear" w:color="auto" w:fill="FFFFFF"/>
          <w:lang w:eastAsia="zh-CN"/>
        </w:rPr>
        <w:t>三公</w:t>
      </w:r>
      <w:r>
        <w:rPr>
          <w:rFonts w:hint="default" w:ascii="Times New Roman" w:hAnsi="Times New Roman" w:eastAsia="方正仿宋_GBK"/>
          <w:sz w:val="32"/>
          <w:szCs w:val="32"/>
          <w:shd w:val="clear" w:color="auto" w:fill="FFFFFF"/>
        </w:rPr>
        <w:t>经费开支。较上年支出数减少0.29万元，下降38.7%，主要原因是严格落实中央八项规定精神，严控</w:t>
      </w:r>
      <w:r>
        <w:rPr>
          <w:rFonts w:hint="eastAsia" w:ascii="Times New Roman" w:hAnsi="Times New Roman" w:eastAsia="方正仿宋_GBK"/>
          <w:sz w:val="32"/>
          <w:szCs w:val="32"/>
          <w:shd w:val="clear" w:color="auto" w:fill="FFFFFF"/>
          <w:lang w:eastAsia="zh-CN"/>
        </w:rPr>
        <w:t>三公</w:t>
      </w:r>
      <w:r>
        <w:rPr>
          <w:rFonts w:hint="default" w:ascii="Times New Roman" w:hAnsi="Times New Roman" w:eastAsia="方正仿宋_GBK"/>
          <w:sz w:val="32"/>
          <w:szCs w:val="32"/>
          <w:shd w:val="clear" w:color="auto" w:fill="FFFFFF"/>
        </w:rPr>
        <w:t>经费开支。</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firstLine="640" w:firstLineChars="200"/>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default" w:ascii="方正楷体_GBK" w:hAnsi="方正楷体_GBK" w:eastAsia="方正楷体_GBK" w:cs="方正楷体_GBK"/>
          <w:b w:val="0"/>
          <w:bCs/>
          <w:sz w:val="32"/>
          <w:szCs w:val="32"/>
          <w:shd w:val="clear" w:color="auto" w:fill="FFFFFF"/>
        </w:rPr>
        <w:t>（二）</w:t>
      </w:r>
      <w:r>
        <w:rPr>
          <w:rStyle w:val="12"/>
          <w:rFonts w:hint="eastAsia" w:ascii="方正楷体_GBK" w:hAnsi="方正楷体_GBK" w:eastAsia="方正楷体_GBK" w:cs="方正楷体_GBK"/>
          <w:b w:val="0"/>
          <w:bCs/>
          <w:sz w:val="32"/>
          <w:szCs w:val="32"/>
          <w:shd w:val="clear" w:color="auto" w:fill="FFFFFF"/>
          <w:lang w:eastAsia="zh-CN"/>
        </w:rPr>
        <w:t>三公</w:t>
      </w:r>
      <w:r>
        <w:rPr>
          <w:rStyle w:val="12"/>
          <w:rFonts w:hint="default" w:ascii="方正楷体_GBK" w:hAnsi="方正楷体_GBK" w:eastAsia="方正楷体_GBK" w:cs="方正楷体_GBK"/>
          <w:b w:val="0"/>
          <w:bCs/>
          <w:sz w:val="32"/>
          <w:szCs w:val="32"/>
          <w:shd w:val="clear" w:color="auto" w:fill="FFFFFF"/>
        </w:rPr>
        <w:t>经费分项支出情况</w:t>
      </w:r>
    </w:p>
    <w:p>
      <w:pPr>
        <w:pStyle w:val="8"/>
        <w:snapToGrid w:val="0"/>
        <w:spacing w:before="0" w:beforeAutospacing="0" w:after="0" w:afterAutospacing="0" w:line="594" w:lineRule="exact"/>
        <w:ind w:firstLine="640" w:firstLineChars="200"/>
        <w:jc w:val="both"/>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pPr>
        <w:pStyle w:val="8"/>
        <w:snapToGrid w:val="0"/>
        <w:spacing w:before="0" w:beforeAutospacing="0" w:after="0" w:afterAutospacing="0" w:line="594" w:lineRule="exact"/>
        <w:ind w:firstLine="640" w:firstLineChars="200"/>
        <w:jc w:val="both"/>
        <w:rPr>
          <w:rFonts w:hint="default" w:ascii="Times New Roman" w:hAnsi="Times New Roman" w:eastAsia="方正仿宋_GBK"/>
          <w:color w:val="FF0000"/>
          <w:sz w:val="32"/>
          <w:szCs w:val="32"/>
          <w:shd w:val="clear" w:color="auto" w:fill="FFFFFF"/>
        </w:rPr>
      </w:pPr>
      <w:r>
        <w:rPr>
          <w:rFonts w:ascii="Times New Roman" w:hAnsi="Times New Roman" w:eastAsia="方正仿宋_GBK"/>
          <w:sz w:val="32"/>
          <w:szCs w:val="32"/>
          <w:shd w:val="clear" w:color="auto" w:fill="FFFFFF"/>
        </w:rPr>
        <w:t>公务车购置费</w:t>
      </w:r>
      <w:r>
        <w:rPr>
          <w:rFonts w:hint="default" w:ascii="Times New Roman" w:hAnsi="Times New Roman" w:eastAsia="方正仿宋_GBK"/>
          <w:sz w:val="32"/>
          <w:szCs w:val="32"/>
          <w:shd w:val="clear" w:color="auto" w:fill="FFFFFF"/>
        </w:rPr>
        <w:t>0.00万元。费用支出较年初预算数无增减，主要原因是年初预算未安排且本年未发生公务车购置费用。较上年支出数无增减，主要原因是上年和本年均未发生公务车购置费用。</w:t>
      </w:r>
    </w:p>
    <w:p>
      <w:pPr>
        <w:pStyle w:val="8"/>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shd w:val="clear" w:color="auto" w:fill="FFFFFF"/>
        </w:rPr>
        <w:t>公务车运行维护费</w:t>
      </w:r>
      <w:r>
        <w:rPr>
          <w:rFonts w:hint="default" w:ascii="Times New Roman" w:hAnsi="Times New Roman" w:eastAsia="方正仿宋_GBK"/>
          <w:sz w:val="32"/>
          <w:szCs w:val="32"/>
          <w:shd w:val="clear" w:color="auto" w:fill="FFFFFF"/>
        </w:rPr>
        <w:t>0.00万元。费用支出较年初预算数无增减，主要原因是年初预算未安排且本年未发生公务车运行维护费用。较上年支出数无增减，主要原因是上年和本年均未发生公务车运行维护费用。</w:t>
      </w:r>
    </w:p>
    <w:p>
      <w:pPr>
        <w:pStyle w:val="8"/>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公务接待费</w:t>
      </w:r>
      <w:r>
        <w:rPr>
          <w:rFonts w:hint="default" w:ascii="Times New Roman" w:hAnsi="Times New Roman" w:eastAsia="方正仿宋_GBK"/>
          <w:sz w:val="32"/>
          <w:szCs w:val="32"/>
        </w:rPr>
        <w:t>0.46</w:t>
      </w:r>
      <w:r>
        <w:rPr>
          <w:rFonts w:hint="default" w:ascii="Times New Roman" w:hAnsi="Times New Roman" w:eastAsia="方正仿宋_GBK"/>
          <w:sz w:val="32"/>
          <w:szCs w:val="32"/>
          <w:shd w:val="clear" w:color="auto" w:fill="FFFFFF"/>
        </w:rPr>
        <w:t>万元，主要用于接待市档案馆、区县档案局（馆）、区县党史研究室来访、调研，接受相关部门检查指导工作发生的接待支出。费用支出较年初预算数减少1.54万元，下降77.0%，主要原因是严格落实中央八项规定精神，严控</w:t>
      </w:r>
      <w:r>
        <w:rPr>
          <w:rFonts w:hint="eastAsia" w:ascii="Times New Roman" w:hAnsi="Times New Roman" w:eastAsia="方正仿宋_GBK"/>
          <w:sz w:val="32"/>
          <w:szCs w:val="32"/>
          <w:shd w:val="clear" w:color="auto" w:fill="FFFFFF"/>
          <w:lang w:eastAsia="zh-CN"/>
        </w:rPr>
        <w:t>三公</w:t>
      </w:r>
      <w:r>
        <w:rPr>
          <w:rFonts w:hint="default" w:ascii="Times New Roman" w:hAnsi="Times New Roman" w:eastAsia="方正仿宋_GBK"/>
          <w:sz w:val="32"/>
          <w:szCs w:val="32"/>
          <w:shd w:val="clear" w:color="auto" w:fill="FFFFFF"/>
        </w:rPr>
        <w:t>经费开支，严控接待规格和接待陪餐人数等。较上年支出数减少0.29万元，下降38.7%，主要原因是严格落实中央八项规定精神，严控</w:t>
      </w:r>
      <w:r>
        <w:rPr>
          <w:rFonts w:hint="eastAsia" w:ascii="Times New Roman" w:hAnsi="Times New Roman" w:eastAsia="方正仿宋_GBK"/>
          <w:sz w:val="32"/>
          <w:szCs w:val="32"/>
          <w:shd w:val="clear" w:color="auto" w:fill="FFFFFF"/>
          <w:lang w:eastAsia="zh-CN"/>
        </w:rPr>
        <w:t>三公</w:t>
      </w:r>
      <w:r>
        <w:rPr>
          <w:rFonts w:hint="default" w:ascii="Times New Roman" w:hAnsi="Times New Roman" w:eastAsia="方正仿宋_GBK"/>
          <w:sz w:val="32"/>
          <w:szCs w:val="32"/>
          <w:shd w:val="clear" w:color="auto" w:fill="FFFFFF"/>
        </w:rPr>
        <w:t>经费开支，严控接待规格和接待陪餐人数等。</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firstLine="640" w:firstLineChars="200"/>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default" w:ascii="方正楷体_GBK" w:hAnsi="方正楷体_GBK" w:eastAsia="方正楷体_GBK" w:cs="方正楷体_GBK"/>
          <w:b w:val="0"/>
          <w:bCs/>
          <w:sz w:val="32"/>
          <w:szCs w:val="32"/>
          <w:shd w:val="clear" w:color="auto" w:fill="FFFFFF"/>
        </w:rPr>
        <w:t>（三）</w:t>
      </w:r>
      <w:r>
        <w:rPr>
          <w:rStyle w:val="12"/>
          <w:rFonts w:hint="eastAsia" w:ascii="方正楷体_GBK" w:hAnsi="方正楷体_GBK" w:eastAsia="方正楷体_GBK" w:cs="方正楷体_GBK"/>
          <w:b w:val="0"/>
          <w:bCs/>
          <w:sz w:val="32"/>
          <w:szCs w:val="32"/>
          <w:shd w:val="clear" w:color="auto" w:fill="FFFFFF"/>
          <w:lang w:eastAsia="zh-CN"/>
        </w:rPr>
        <w:t>三公</w:t>
      </w:r>
      <w:r>
        <w:rPr>
          <w:rStyle w:val="12"/>
          <w:rFonts w:hint="default" w:ascii="方正楷体_GBK" w:hAnsi="方正楷体_GBK" w:eastAsia="方正楷体_GBK" w:cs="方正楷体_GBK"/>
          <w:b w:val="0"/>
          <w:bCs/>
          <w:sz w:val="32"/>
          <w:szCs w:val="32"/>
          <w:shd w:val="clear" w:color="auto" w:fill="FFFFFF"/>
        </w:rPr>
        <w:t>经费实物量情况</w:t>
      </w:r>
    </w:p>
    <w:p>
      <w:pPr>
        <w:pStyle w:val="8"/>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2024年度本单位因公出国（境）共计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6</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48</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人。2024年本单位人均接待费</w:t>
      </w:r>
      <w:r>
        <w:rPr>
          <w:rFonts w:hint="default" w:ascii="Times New Roman" w:hAnsi="Times New Roman" w:eastAsia="方正仿宋_GBK"/>
          <w:sz w:val="32"/>
          <w:szCs w:val="32"/>
        </w:rPr>
        <w:t>96.85</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pPr>
        <w:pStyle w:val="8"/>
        <w:shd w:val="clear" w:color="auto" w:fill="FFFFFF"/>
        <w:spacing w:before="0" w:beforeAutospacing="0" w:after="0" w:afterAutospacing="0" w:line="594" w:lineRule="exact"/>
        <w:ind w:firstLine="640" w:firstLineChars="200"/>
        <w:rPr>
          <w:rStyle w:val="12"/>
          <w:rFonts w:hint="default" w:ascii="方正黑体_GBK" w:hAnsi="方正黑体_GBK" w:eastAsia="方正黑体_GBK" w:cs="方正黑体_GBK"/>
          <w:b w:val="0"/>
          <w:bCs/>
          <w:sz w:val="32"/>
          <w:szCs w:val="32"/>
          <w:shd w:val="clear" w:color="auto" w:fill="FFFFFF"/>
        </w:rPr>
      </w:pPr>
      <w:r>
        <w:rPr>
          <w:rStyle w:val="12"/>
          <w:rFonts w:hint="default" w:ascii="方正黑体_GBK" w:hAnsi="方正黑体_GBK" w:eastAsia="方正黑体_GBK" w:cs="方正黑体_GBK"/>
          <w:b w:val="0"/>
          <w:bCs/>
          <w:sz w:val="32"/>
          <w:szCs w:val="32"/>
          <w:shd w:val="clear" w:color="auto" w:fill="FFFFFF"/>
        </w:rPr>
        <w:t>四、其他需要说明的事项</w:t>
      </w:r>
    </w:p>
    <w:p>
      <w:pPr>
        <w:pStyle w:val="13"/>
        <w:keepNext w:val="0"/>
        <w:keepLines w:val="0"/>
        <w:pageBreakBefore w:val="0"/>
        <w:widowControl/>
        <w:kinsoku/>
        <w:wordWrap/>
        <w:overflowPunct/>
        <w:topLinePunct w:val="0"/>
        <w:autoSpaceDE w:val="0"/>
        <w:autoSpaceDN/>
        <w:bidi w:val="0"/>
        <w:adjustRightInd/>
        <w:snapToGrid/>
        <w:spacing w:line="594" w:lineRule="exact"/>
        <w:ind w:left="0" w:leftChars="0" w:firstLine="640" w:firstLineChars="200"/>
        <w:textAlignment w:val="auto"/>
        <w:rPr>
          <w:rStyle w:val="12"/>
          <w:rFonts w:ascii="方正楷体_GBK" w:hAnsi="方正楷体_GBK" w:eastAsia="方正楷体_GBK" w:cs="方正楷体_GBK"/>
          <w:b w:val="0"/>
          <w:bCs/>
          <w:sz w:val="32"/>
          <w:szCs w:val="32"/>
          <w:shd w:val="clear" w:color="auto" w:fill="FFFFFF"/>
        </w:rPr>
      </w:pPr>
      <w:r>
        <w:rPr>
          <w:rStyle w:val="12"/>
          <w:rFonts w:ascii="方正楷体_GBK" w:hAnsi="方正楷体_GBK" w:eastAsia="方正楷体_GBK" w:cs="方正楷体_GBK"/>
          <w:b w:val="0"/>
          <w:bCs/>
          <w:sz w:val="32"/>
          <w:szCs w:val="32"/>
          <w:shd w:val="clear" w:color="auto" w:fill="FFFFFF"/>
        </w:rPr>
        <w:t>（一）财政拨款会议费和培训费情况说明</w:t>
      </w:r>
    </w:p>
    <w:p>
      <w:pPr>
        <w:pStyle w:val="8"/>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本年度会议费支出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万元，与2023年度相比，减少1.97万元，下降100.0%，主要原因是2024年本单位未开展业务培训。本年度培训费支出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万元，与2023年度相比，无变化，主要原因是</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本年度及上年度均未发生培训费。</w:t>
      </w:r>
    </w:p>
    <w:p>
      <w:pPr>
        <w:pStyle w:val="13"/>
        <w:autoSpaceDE w:val="0"/>
        <w:spacing w:line="594" w:lineRule="exact"/>
        <w:ind w:firstLine="640"/>
        <w:rPr>
          <w:rStyle w:val="12"/>
          <w:rFonts w:ascii="方正楷体_GBK" w:hAnsi="方正楷体_GBK" w:eastAsia="方正楷体_GBK" w:cs="方正楷体_GBK"/>
          <w:b w:val="0"/>
          <w:bCs/>
          <w:sz w:val="32"/>
          <w:szCs w:val="32"/>
          <w:shd w:val="clear" w:color="auto" w:fill="FFFFFF"/>
        </w:rPr>
      </w:pPr>
      <w:r>
        <w:rPr>
          <w:rStyle w:val="12"/>
          <w:rFonts w:ascii="方正楷体_GBK" w:hAnsi="方正楷体_GBK" w:eastAsia="方正楷体_GBK" w:cs="方正楷体_GBK"/>
          <w:b w:val="0"/>
          <w:bCs/>
          <w:sz w:val="32"/>
          <w:szCs w:val="32"/>
          <w:shd w:val="clear" w:color="auto" w:fill="FFFFFF"/>
        </w:rPr>
        <w:t>（二）机关运行经费情况说明</w:t>
      </w:r>
    </w:p>
    <w:p>
      <w:pPr>
        <w:pStyle w:val="8"/>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2024年度本单位机关运行经费支出</w:t>
      </w:r>
      <w:r>
        <w:rPr>
          <w:rFonts w:hint="default" w:ascii="Times New Roman" w:hAnsi="Times New Roman" w:eastAsia="方正仿宋_GBK"/>
          <w:sz w:val="32"/>
          <w:szCs w:val="32"/>
        </w:rPr>
        <w:t>45.98</w:t>
      </w:r>
      <w:r>
        <w:rPr>
          <w:rFonts w:hint="default" w:ascii="Times New Roman" w:hAnsi="Times New Roman" w:eastAsia="方正仿宋_GBK"/>
          <w:sz w:val="32"/>
          <w:szCs w:val="32"/>
          <w:shd w:val="clear" w:color="auto" w:fill="FFFFFF"/>
        </w:rPr>
        <w:t>万元，机关运行经费主要用于开支办公费、邮电费、差旅费、劳务费、工会经费等。机关运行经费较上年支出数减少7.28万元，下降13.7%，主要原因是</w:t>
      </w:r>
      <w:r>
        <w:rPr>
          <w:rFonts w:hint="default" w:ascii="Times New Roman" w:hAnsi="Times New Roman" w:eastAsia="方正仿宋_GBK"/>
          <w:sz w:val="32"/>
          <w:szCs w:val="32"/>
        </w:rPr>
        <w:t>为落实过紧日子政策，压减运行成本。</w:t>
      </w:r>
    </w:p>
    <w:p>
      <w:pPr>
        <w:pStyle w:val="13"/>
        <w:keepNext w:val="0"/>
        <w:keepLines w:val="0"/>
        <w:pageBreakBefore w:val="0"/>
        <w:widowControl w:val="0"/>
        <w:kinsoku/>
        <w:wordWrap/>
        <w:overflowPunct/>
        <w:topLinePunct w:val="0"/>
        <w:autoSpaceDE w:val="0"/>
        <w:autoSpaceDN/>
        <w:bidi w:val="0"/>
        <w:adjustRightInd/>
        <w:spacing w:line="594" w:lineRule="exact"/>
        <w:ind w:firstLine="640"/>
        <w:textAlignment w:val="auto"/>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（三）国有资产占用情况说明</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截至2024年12月31日，本单位共有车辆</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pPr>
        <w:pStyle w:val="13"/>
        <w:autoSpaceDE w:val="0"/>
        <w:spacing w:line="594" w:lineRule="exact"/>
        <w:ind w:firstLine="640"/>
        <w:rPr>
          <w:rFonts w:ascii="Times New Roman" w:hAnsi="Times New Roman" w:eastAsia="楷体"/>
          <w:b/>
          <w:bCs/>
          <w:sz w:val="32"/>
          <w:szCs w:val="32"/>
          <w:shd w:val="clear" w:color="auto" w:fill="FFFFFF"/>
        </w:rPr>
      </w:pPr>
      <w:r>
        <w:rPr>
          <w:rFonts w:ascii="方正楷体_GBK" w:hAnsi="方正楷体_GBK" w:eastAsia="方正楷体_GBK" w:cs="方正楷体_GBK"/>
          <w:sz w:val="32"/>
          <w:szCs w:val="32"/>
          <w:shd w:val="clear" w:color="auto" w:fill="FFFFFF"/>
        </w:rPr>
        <w:t>（四）政府采购支出情况说明</w:t>
      </w:r>
    </w:p>
    <w:p>
      <w:pPr>
        <w:pStyle w:val="8"/>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2024年度本单位政府采购支出总额</w:t>
      </w:r>
      <w:r>
        <w:rPr>
          <w:rFonts w:hint="default" w:ascii="Times New Roman" w:hAnsi="Times New Roman" w:eastAsia="方正仿宋_GBK"/>
          <w:sz w:val="32"/>
          <w:szCs w:val="32"/>
        </w:rPr>
        <w:t>4.34</w:t>
      </w:r>
      <w:r>
        <w:rPr>
          <w:rFonts w:hint="default" w:ascii="Times New Roman" w:hAnsi="Times New Roman" w:eastAsia="方正仿宋_GBK"/>
          <w:sz w:val="32"/>
          <w:szCs w:val="32"/>
          <w:shd w:val="clear" w:color="auto" w:fill="FFFFFF"/>
        </w:rPr>
        <w:t>万元，其中：政府采购货物支出</w:t>
      </w:r>
      <w:r>
        <w:rPr>
          <w:rFonts w:hint="default" w:ascii="Times New Roman" w:hAnsi="Times New Roman" w:eastAsia="方正仿宋_GBK"/>
          <w:sz w:val="32"/>
          <w:szCs w:val="32"/>
        </w:rPr>
        <w:t>4.34</w:t>
      </w:r>
      <w:r>
        <w:rPr>
          <w:rFonts w:hint="default" w:ascii="Times New Roman" w:hAnsi="Times New Roman" w:eastAsia="方正仿宋_GBK"/>
          <w:sz w:val="32"/>
          <w:szCs w:val="32"/>
          <w:shd w:val="clear" w:color="auto" w:fill="FFFFFF"/>
        </w:rPr>
        <w:t>万元、政府采购工程支出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万元、政府采购服务支出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万元。授予中小企业合同金额</w:t>
      </w:r>
      <w:r>
        <w:rPr>
          <w:rFonts w:hint="default" w:ascii="Times New Roman" w:hAnsi="Times New Roman" w:eastAsia="方正仿宋_GBK"/>
          <w:sz w:val="32"/>
          <w:szCs w:val="32"/>
        </w:rPr>
        <w:t>0.58万</w:t>
      </w:r>
      <w:r>
        <w:rPr>
          <w:rFonts w:hint="default" w:ascii="Times New Roman" w:hAnsi="Times New Roman" w:eastAsia="方正仿宋_GBK"/>
          <w:sz w:val="32"/>
          <w:szCs w:val="32"/>
          <w:shd w:val="clear" w:color="auto" w:fill="FFFFFF"/>
        </w:rPr>
        <w:t>元，占政府采购支出总额的</w:t>
      </w:r>
      <w:r>
        <w:rPr>
          <w:rFonts w:hint="default" w:ascii="Times New Roman" w:hAnsi="Times New Roman" w:eastAsia="方正仿宋_GBK"/>
          <w:sz w:val="32"/>
          <w:szCs w:val="32"/>
        </w:rPr>
        <w:t>13.4</w:t>
      </w:r>
      <w:r>
        <w:rPr>
          <w:rFonts w:hint="default" w:ascii="Times New Roman" w:hAnsi="Times New Roman" w:eastAsia="方正仿宋_GBK"/>
          <w:sz w:val="32"/>
          <w:szCs w:val="32"/>
          <w:shd w:val="clear" w:color="auto" w:fill="FFFFFF"/>
        </w:rPr>
        <w:t>%，其中：授予小微企业合同金额</w:t>
      </w:r>
      <w:r>
        <w:rPr>
          <w:rFonts w:hint="default" w:ascii="Times New Roman" w:hAnsi="Times New Roman" w:eastAsia="方正仿宋_GBK"/>
          <w:sz w:val="32"/>
          <w:szCs w:val="32"/>
        </w:rPr>
        <w:t>0.58</w:t>
      </w:r>
      <w:r>
        <w:rPr>
          <w:rFonts w:hint="default" w:ascii="Times New Roman" w:hAnsi="Times New Roman" w:eastAsia="方正仿宋_GBK"/>
          <w:sz w:val="32"/>
          <w:szCs w:val="32"/>
          <w:shd w:val="clear" w:color="auto" w:fill="FFFFFF"/>
        </w:rPr>
        <w:t>万元，占政府采购支出总额的</w:t>
      </w:r>
      <w:r>
        <w:rPr>
          <w:rFonts w:hint="default" w:ascii="Times New Roman" w:hAnsi="Times New Roman" w:eastAsia="方正仿宋_GBK"/>
          <w:sz w:val="32"/>
          <w:szCs w:val="32"/>
        </w:rPr>
        <w:t>13.4</w:t>
      </w:r>
      <w:r>
        <w:rPr>
          <w:rFonts w:hint="default" w:ascii="Times New Roman" w:hAnsi="Times New Roman" w:eastAsia="方正仿宋_GBK"/>
          <w:sz w:val="32"/>
          <w:szCs w:val="32"/>
          <w:shd w:val="clear" w:color="auto" w:fill="FFFFFF"/>
        </w:rPr>
        <w:t xml:space="preserve"> %。主要用于采购笔记本电脑。</w:t>
      </w:r>
    </w:p>
    <w:p>
      <w:pPr>
        <w:pStyle w:val="8"/>
        <w:shd w:val="clear" w:color="auto" w:fill="FFFFFF"/>
        <w:spacing w:before="0" w:beforeAutospacing="0" w:after="0" w:afterAutospacing="0" w:line="594" w:lineRule="exact"/>
        <w:ind w:firstLine="640" w:firstLineChars="200"/>
        <w:rPr>
          <w:rStyle w:val="12"/>
          <w:rFonts w:hint="default" w:ascii="方正黑体_GBK" w:hAnsi="方正黑体_GBK" w:eastAsia="方正黑体_GBK" w:cs="方正黑体_GBK"/>
          <w:b w:val="0"/>
          <w:bCs/>
          <w:sz w:val="32"/>
          <w:szCs w:val="32"/>
          <w:shd w:val="clear" w:color="auto" w:fill="FFFFFF"/>
        </w:rPr>
      </w:pPr>
      <w:r>
        <w:rPr>
          <w:rStyle w:val="12"/>
          <w:rFonts w:hint="default" w:ascii="方正黑体_GBK" w:hAnsi="方正黑体_GBK" w:eastAsia="方正黑体_GBK" w:cs="方正黑体_GBK"/>
          <w:b w:val="0"/>
          <w:bCs/>
          <w:sz w:val="32"/>
          <w:szCs w:val="32"/>
          <w:shd w:val="clear" w:color="auto" w:fill="FFFFFF"/>
        </w:rPr>
        <w:t>五、2024年度预算绩效管理情况说明</w:t>
      </w:r>
    </w:p>
    <w:p>
      <w:pPr>
        <w:pStyle w:val="13"/>
        <w:autoSpaceDE w:val="0"/>
        <w:spacing w:line="594" w:lineRule="exact"/>
        <w:ind w:firstLine="640"/>
        <w:rPr>
          <w:rFonts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（一）单位自评情况</w:t>
      </w:r>
    </w:p>
    <w:p>
      <w:pPr>
        <w:pStyle w:val="14"/>
        <w:autoSpaceDE w:val="0"/>
        <w:spacing w:before="0" w:beforeAutospacing="0" w:after="0" w:afterAutospacing="0" w:line="594" w:lineRule="exact"/>
        <w:ind w:firstLine="640" w:firstLineChars="200"/>
        <w:rPr>
          <w:rFonts w:ascii="Times New Roman" w:hAnsi="Times New Roman" w:eastAsia="方正仿宋_GBK"/>
          <w:sz w:val="32"/>
          <w:szCs w:val="32"/>
          <w:shd w:val="clear" w:color="auto" w:fill="FFFFFF"/>
          <w:lang w:bidi="ar"/>
        </w:rPr>
      </w:pPr>
      <w:r>
        <w:rPr>
          <w:rFonts w:ascii="Times New Roman" w:hAnsi="Times New Roman" w:eastAsia="方正仿宋_GBK"/>
          <w:color w:val="000000" w:themeColor="text1"/>
          <w:sz w:val="32"/>
          <w:szCs w:val="32"/>
          <w:shd w:val="clear" w:color="auto" w:fill="FFFFFF"/>
          <w14:textFill>
            <w14:solidFill>
              <w14:schemeClr w14:val="tx1"/>
            </w14:solidFill>
          </w14:textFill>
        </w:rPr>
        <w:t>根据预算绩效管理要求，</w:t>
      </w:r>
      <w:r>
        <w:rPr>
          <w:rFonts w:hint="eastAsia" w:ascii="Times New Roman" w:hAnsi="Times New Roman" w:eastAsia="方正仿宋_GBK"/>
          <w:color w:val="000000" w:themeColor="text1"/>
          <w:sz w:val="32"/>
          <w:szCs w:val="32"/>
          <w:shd w:val="clear" w:color="auto" w:fill="FFFFFF"/>
          <w14:textFill>
            <w14:solidFill>
              <w14:schemeClr w14:val="tx1"/>
            </w14:solidFill>
          </w14:textFill>
        </w:rPr>
        <w:t>本单位</w:t>
      </w:r>
      <w:r>
        <w:rPr>
          <w:rFonts w:ascii="Times New Roman" w:hAnsi="Times New Roman" w:eastAsia="方正仿宋_GBK"/>
          <w:color w:val="000000" w:themeColor="text1"/>
          <w:sz w:val="32"/>
          <w:szCs w:val="32"/>
          <w:shd w:val="clear" w:color="auto" w:fill="FFFFFF"/>
          <w14:textFill>
            <w14:solidFill>
              <w14:schemeClr w14:val="tx1"/>
            </w14:solidFill>
          </w14:textFill>
        </w:rPr>
        <w:t>对2个</w:t>
      </w:r>
      <w:r>
        <w:rPr>
          <w:rFonts w:hint="eastAsia" w:ascii="Times New Roman" w:hAnsi="Times New Roman" w:eastAsia="方正仿宋_GBK"/>
          <w:color w:val="000000" w:themeColor="text1"/>
          <w:sz w:val="32"/>
          <w:szCs w:val="32"/>
          <w:shd w:val="clear" w:color="auto" w:fill="FFFFFF"/>
          <w14:textFill>
            <w14:solidFill>
              <w14:schemeClr w14:val="tx1"/>
            </w14:solidFill>
          </w14:textFill>
        </w:rPr>
        <w:t>二级</w:t>
      </w:r>
      <w:r>
        <w:rPr>
          <w:rFonts w:ascii="Times New Roman" w:hAnsi="Times New Roman" w:eastAsia="方正仿宋_GBK"/>
          <w:color w:val="000000" w:themeColor="text1"/>
          <w:sz w:val="32"/>
          <w:szCs w:val="32"/>
          <w:shd w:val="clear" w:color="auto" w:fill="FFFFFF"/>
          <w14:textFill>
            <w14:solidFill>
              <w14:schemeClr w14:val="tx1"/>
            </w14:solidFill>
          </w14:textFill>
        </w:rPr>
        <w:t>项目开展了绩效自评，</w:t>
      </w:r>
      <w:r>
        <w:rPr>
          <w:rFonts w:ascii="Times New Roman" w:hAnsi="Times New Roman" w:eastAsia="方正仿宋_GBK"/>
          <w:sz w:val="32"/>
          <w:szCs w:val="32"/>
          <w:shd w:val="clear" w:color="auto" w:fill="FFFFFF"/>
          <w:lang w:bidi="ar"/>
        </w:rPr>
        <w:t>涉及财政拨款项目支出资金</w:t>
      </w:r>
      <w:r>
        <w:rPr>
          <w:rFonts w:hint="eastAsia" w:ascii="Times New Roman" w:hAnsi="Times New Roman" w:eastAsia="方正仿宋_GBK"/>
          <w:sz w:val="32"/>
          <w:szCs w:val="32"/>
          <w:shd w:val="clear" w:color="auto" w:fill="FFFFFF"/>
          <w:lang w:bidi="ar"/>
        </w:rPr>
        <w:t>26.66</w:t>
      </w:r>
      <w:r>
        <w:rPr>
          <w:rFonts w:ascii="Times New Roman" w:hAnsi="Times New Roman" w:eastAsia="方正仿宋_GBK"/>
          <w:sz w:val="32"/>
          <w:szCs w:val="32"/>
          <w:shd w:val="clear" w:color="auto" w:fill="FFFFFF"/>
          <w:lang w:bidi="ar"/>
        </w:rPr>
        <w:t>万元</w:t>
      </w:r>
      <w:r>
        <w:rPr>
          <w:rFonts w:hint="eastAsia" w:ascii="Times New Roman" w:hAnsi="Times New Roman" w:eastAsia="方正仿宋_GBK"/>
          <w:sz w:val="32"/>
          <w:szCs w:val="32"/>
          <w:shd w:val="clear" w:color="auto" w:fill="FFFFFF"/>
          <w:lang w:bidi="ar"/>
        </w:rPr>
        <w:t>。</w:t>
      </w:r>
    </w:p>
    <w:p>
      <w:pPr>
        <w:rPr>
          <w:rFonts w:hint="default" w:ascii="Times New Roman" w:hAnsi="Times New Roman" w:eastAsia="方正仿宋_GBK"/>
          <w:sz w:val="32"/>
          <w:szCs w:val="32"/>
          <w:shd w:val="clear" w:color="auto" w:fill="FFFFFF"/>
          <w:lang w:bidi="ar"/>
        </w:rPr>
        <w:sectPr>
          <w:footerReference r:id="rId3" w:type="default"/>
          <w:pgSz w:w="11915" w:h="16840"/>
          <w:pgMar w:top="1984" w:right="1446" w:bottom="1644" w:left="1446" w:header="851" w:footer="992" w:gutter="0"/>
          <w:pgNumType w:fmt="numberInDash"/>
          <w:cols w:space="720" w:num="1"/>
          <w:docGrid w:type="lines" w:linePitch="312" w:charSpace="0"/>
        </w:sectPr>
      </w:pPr>
      <w:r>
        <w:rPr>
          <w:rFonts w:ascii="Times New Roman" w:hAnsi="Times New Roman" w:eastAsia="方正仿宋_GBK"/>
          <w:sz w:val="32"/>
          <w:szCs w:val="32"/>
          <w:shd w:val="clear" w:color="auto" w:fill="FFFFFF"/>
          <w:lang w:bidi="ar"/>
        </w:rPr>
        <w:br w:type="page"/>
      </w:r>
    </w:p>
    <w:p>
      <w:pPr>
        <w:rPr>
          <w:rFonts w:hint="default" w:ascii="Times New Roman" w:hAnsi="Times New Roman" w:eastAsia="方正仿宋_GBK"/>
          <w:sz w:val="32"/>
          <w:szCs w:val="32"/>
          <w:shd w:val="clear" w:color="auto" w:fill="FFFFFF"/>
          <w:lang w:bidi="ar"/>
        </w:rPr>
      </w:pPr>
      <w:r>
        <w:rPr>
          <w:rFonts w:ascii="Times New Roman" w:hAnsi="Times New Roman" w:eastAsia="方正仿宋_GBK"/>
          <w:vanish/>
          <w:sz w:val="32"/>
          <w:szCs w:val="32"/>
          <w:shd w:val="clear" w:color="auto" w:fill="FFFFFF"/>
          <w:lang w:bidi="ar"/>
        </w:rPr>
        <w:br w:type="page"/>
      </w:r>
      <w:r>
        <w:drawing>
          <wp:inline distT="0" distB="0" distL="114300" distR="114300">
            <wp:extent cx="8387080" cy="5464810"/>
            <wp:effectExtent l="0" t="0" r="13970" b="254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7"/>
                    <a:stretch>
                      <a:fillRect/>
                    </a:stretch>
                  </pic:blipFill>
                  <pic:spPr>
                    <a:xfrm>
                      <a:off x="0" y="0"/>
                      <a:ext cx="8387080" cy="5464810"/>
                    </a:xfrm>
                    <a:prstGeom prst="rect">
                      <a:avLst/>
                    </a:prstGeom>
                    <a:noFill/>
                    <a:ln>
                      <a:noFill/>
                    </a:ln>
                  </pic:spPr>
                </pic:pic>
              </a:graphicData>
            </a:graphic>
          </wp:inline>
        </w:drawing>
      </w:r>
    </w:p>
    <w:p>
      <w:pPr>
        <w:pStyle w:val="14"/>
        <w:autoSpaceDE w:val="0"/>
        <w:spacing w:before="0" w:beforeAutospacing="0" w:after="0" w:afterAutospacing="0" w:line="594" w:lineRule="exact"/>
        <w:rPr>
          <w:rFonts w:hint="eastAsia" w:ascii="Times New Roman" w:hAnsi="Times New Roman" w:eastAsia="方正仿宋_GBK"/>
          <w:sz w:val="32"/>
          <w:szCs w:val="32"/>
          <w:shd w:val="clear" w:color="auto" w:fill="FFFFFF"/>
          <w:lang w:bidi="ar"/>
        </w:rPr>
        <w:sectPr>
          <w:pgSz w:w="16840" w:h="11915" w:orient="landscape"/>
          <w:pgMar w:top="1446" w:right="1984" w:bottom="1446" w:left="1644" w:header="851" w:footer="992" w:gutter="0"/>
          <w:pgNumType w:fmt="numberInDash"/>
          <w:cols w:space="720" w:num="1"/>
          <w:docGrid w:type="lines" w:linePitch="312" w:charSpace="0"/>
        </w:sectPr>
      </w:pPr>
      <w:r>
        <w:drawing>
          <wp:anchor distT="0" distB="0" distL="114300" distR="114300" simplePos="0" relativeHeight="251659264" behindDoc="1" locked="0" layoutInCell="1" allowOverlap="1">
            <wp:simplePos x="0" y="0"/>
            <wp:positionH relativeFrom="column">
              <wp:posOffset>-85725</wp:posOffset>
            </wp:positionH>
            <wp:positionV relativeFrom="paragraph">
              <wp:posOffset>339090</wp:posOffset>
            </wp:positionV>
            <wp:extent cx="8378825" cy="5160010"/>
            <wp:effectExtent l="0" t="0" r="3175" b="0"/>
            <wp:wrapTight wrapText="bothSides">
              <wp:wrapPolygon>
                <wp:start x="0" y="0"/>
                <wp:lineTo x="0" y="21531"/>
                <wp:lineTo x="21559" y="21531"/>
                <wp:lineTo x="21559" y="0"/>
                <wp:lineTo x="0" y="0"/>
              </wp:wrapPolygon>
            </wp:wrapTight>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8"/>
                    <a:stretch>
                      <a:fillRect/>
                    </a:stretch>
                  </pic:blipFill>
                  <pic:spPr>
                    <a:xfrm>
                      <a:off x="0" y="0"/>
                      <a:ext cx="8378825" cy="5160010"/>
                    </a:xfrm>
                    <a:prstGeom prst="rect">
                      <a:avLst/>
                    </a:prstGeom>
                    <a:noFill/>
                    <a:ln>
                      <a:noFill/>
                    </a:ln>
                  </pic:spPr>
                </pic:pic>
              </a:graphicData>
            </a:graphic>
          </wp:anchor>
        </w:drawing>
      </w:r>
    </w:p>
    <w:p>
      <w:pPr>
        <w:pStyle w:val="13"/>
        <w:autoSpaceDE w:val="0"/>
        <w:spacing w:line="594" w:lineRule="exact"/>
        <w:ind w:firstLine="640"/>
        <w:rPr>
          <w:rFonts w:ascii="Times New Roman" w:hAnsi="Times New Roman" w:eastAsia="方正仿宋_GBK"/>
          <w:vanish/>
          <w:sz w:val="32"/>
          <w:szCs w:val="32"/>
          <w:shd w:val="clear" w:color="auto" w:fill="FFFFFF"/>
          <w:lang w:bidi="ar"/>
        </w:rPr>
        <w:sectPr>
          <w:pgSz w:w="11915" w:h="16840"/>
          <w:pgMar w:top="1984" w:right="1446" w:bottom="1644" w:left="1446" w:header="851" w:footer="992" w:gutter="0"/>
          <w:pgNumType w:fmt="numberInDash"/>
          <w:cols w:space="720" w:num="1"/>
          <w:docGrid w:type="lines" w:linePitch="312" w:charSpace="0"/>
        </w:sectPr>
      </w:pPr>
    </w:p>
    <w:p>
      <w:pPr>
        <w:pStyle w:val="13"/>
        <w:autoSpaceDE w:val="0"/>
        <w:spacing w:line="594" w:lineRule="exact"/>
        <w:ind w:firstLine="578" w:firstLineChars="18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3"/>
        <w:autoSpaceDE w:val="0"/>
        <w:spacing w:line="594" w:lineRule="exact"/>
        <w:ind w:firstLine="576" w:firstLineChars="180"/>
        <w:rPr>
          <w:rFonts w:ascii="Times New Roman" w:hAnsi="Times New Roman" w:eastAsia="方正仿宋_GBK"/>
          <w:sz w:val="32"/>
          <w:szCs w:val="32"/>
          <w:shd w:val="clear" w:color="auto" w:fill="FFFFFF"/>
          <w:lang w:bidi="ar"/>
        </w:rPr>
      </w:pPr>
      <w:r>
        <w:rPr>
          <w:rFonts w:hint="eastAsia" w:ascii="Times New Roman" w:hAnsi="Times New Roman" w:eastAsia="方正仿宋_GBK"/>
          <w:sz w:val="32"/>
          <w:szCs w:val="32"/>
          <w:shd w:val="clear" w:color="auto" w:fill="FFFFFF"/>
          <w:lang w:bidi="ar"/>
        </w:rPr>
        <w:t>本单位</w:t>
      </w:r>
      <w:r>
        <w:rPr>
          <w:rFonts w:ascii="Times New Roman" w:hAnsi="Times New Roman" w:eastAsia="方正仿宋_GBK"/>
          <w:sz w:val="32"/>
          <w:szCs w:val="32"/>
          <w:shd w:val="clear" w:color="auto" w:fill="FFFFFF"/>
          <w:lang w:bidi="ar"/>
        </w:rPr>
        <w:t>未组织开展绩效评价。</w:t>
      </w:r>
    </w:p>
    <w:p>
      <w:pPr>
        <w:pStyle w:val="13"/>
        <w:autoSpaceDE w:val="0"/>
        <w:spacing w:line="594" w:lineRule="exact"/>
        <w:ind w:firstLine="643"/>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（三）财政绩效评价情况</w:t>
      </w:r>
    </w:p>
    <w:p>
      <w:pPr>
        <w:pStyle w:val="14"/>
        <w:autoSpaceDE w:val="0"/>
        <w:spacing w:before="0" w:beforeAutospacing="0" w:after="0" w:afterAutospacing="0" w:line="594" w:lineRule="exact"/>
        <w:ind w:firstLine="640" w:firstLineChars="200"/>
        <w:rPr>
          <w:rFonts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县财政局未委托第三方对我</w:t>
      </w:r>
      <w:r>
        <w:rPr>
          <w:rFonts w:hint="eastAsia" w:ascii="Times New Roman" w:hAnsi="Times New Roman" w:eastAsia="方正仿宋_GBK"/>
          <w:sz w:val="32"/>
          <w:szCs w:val="32"/>
          <w:shd w:val="clear" w:color="auto" w:fill="FFFFFF"/>
          <w:lang w:bidi="ar"/>
        </w:rPr>
        <w:t>单位</w:t>
      </w:r>
      <w:r>
        <w:rPr>
          <w:rFonts w:ascii="Times New Roman" w:hAnsi="Times New Roman" w:eastAsia="方正仿宋_GBK"/>
          <w:sz w:val="32"/>
          <w:szCs w:val="32"/>
          <w:shd w:val="clear" w:color="auto" w:fill="FFFFFF"/>
          <w:lang w:bidi="ar"/>
        </w:rPr>
        <w:t>开展绩效评价。</w:t>
      </w:r>
    </w:p>
    <w:p>
      <w:pPr>
        <w:pStyle w:val="14"/>
        <w:autoSpaceDE w:val="0"/>
        <w:spacing w:before="0" w:beforeAutospacing="0" w:after="0" w:afterAutospacing="0" w:line="594" w:lineRule="exact"/>
        <w:rPr>
          <w:rStyle w:val="12"/>
          <w:rFonts w:ascii="方正黑体_GBK" w:hAnsi="方正黑体_GBK" w:eastAsia="方正黑体_GBK" w:cs="方正黑体_GBK"/>
          <w:b w:val="0"/>
          <w:bCs/>
          <w:sz w:val="32"/>
          <w:szCs w:val="32"/>
          <w:shd w:val="clear" w:color="auto" w:fill="FFFFFF"/>
        </w:rPr>
      </w:pPr>
      <w:r>
        <w:rPr>
          <w:rStyle w:val="15"/>
          <w:rFonts w:ascii="Times New Roman" w:hAnsi="Times New Roman" w:eastAsia="方正仿宋_GBK" w:cs="Times New Roman"/>
          <w:sz w:val="32"/>
          <w:szCs w:val="32"/>
          <w:shd w:val="clear" w:color="auto" w:fill="FFFFFF"/>
        </w:rPr>
        <w:t xml:space="preserve">   </w:t>
      </w:r>
      <w:r>
        <w:rPr>
          <w:rStyle w:val="12"/>
          <w:rFonts w:ascii="Times New Roman" w:hAnsi="Times New Roman" w:eastAsia="黑体"/>
          <w:sz w:val="32"/>
          <w:szCs w:val="32"/>
          <w:shd w:val="clear" w:color="auto" w:fill="FFFFFF"/>
        </w:rPr>
        <w:t xml:space="preserve"> </w:t>
      </w:r>
      <w:r>
        <w:rPr>
          <w:rStyle w:val="12"/>
          <w:rFonts w:ascii="方正黑体_GBK" w:hAnsi="方正黑体_GBK" w:eastAsia="方正黑体_GBK" w:cs="方正黑体_GBK"/>
          <w:b w:val="0"/>
          <w:bCs/>
          <w:sz w:val="32"/>
          <w:szCs w:val="32"/>
          <w:shd w:val="clear" w:color="auto" w:fill="FFFFFF"/>
        </w:rPr>
        <w:t>六、专业名词解释</w:t>
      </w:r>
    </w:p>
    <w:p>
      <w:pPr>
        <w:pStyle w:val="14"/>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（一）财政拨款收入：</w:t>
      </w:r>
      <w:r>
        <w:rPr>
          <w:rFonts w:ascii="Times New Roman" w:hAnsi="Times New Roman" w:eastAsia="方正仿宋_GBK"/>
          <w:sz w:val="32"/>
          <w:szCs w:val="32"/>
          <w:shd w:val="clear" w:color="auto" w:fill="FFFFFF"/>
        </w:rPr>
        <w:t>指本年度从本级财政部门取得的财政拨款，包括一般公共预算财政拨款和政府性基金预算财政拨款。</w:t>
      </w:r>
    </w:p>
    <w:p>
      <w:pPr>
        <w:pStyle w:val="14"/>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（二）事业收入：</w:t>
      </w:r>
      <w:r>
        <w:rPr>
          <w:rFonts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14"/>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（三）经营收入：</w:t>
      </w:r>
      <w:r>
        <w:rPr>
          <w:rFonts w:ascii="Times New Roman" w:hAnsi="Times New Roman" w:eastAsia="方正仿宋_GBK"/>
          <w:sz w:val="32"/>
          <w:szCs w:val="32"/>
          <w:shd w:val="clear" w:color="auto" w:fill="FFFFFF"/>
        </w:rPr>
        <w:t>指事业单位在专业业务活动及其辅助活动之外开展非独立核算经营活动取得的现金流入。</w:t>
      </w:r>
    </w:p>
    <w:p>
      <w:pPr>
        <w:pStyle w:val="14"/>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（四）其他收入：</w:t>
      </w:r>
      <w:r>
        <w:rPr>
          <w:rFonts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（五）使用非财政拨款结余：</w:t>
      </w:r>
      <w:r>
        <w:rPr>
          <w:rFonts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4"/>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（六）年初结转和结余：</w:t>
      </w:r>
      <w:r>
        <w:rPr>
          <w:rFonts w:ascii="Times New Roman" w:hAnsi="Times New Roman" w:eastAsia="方正仿宋_GBK"/>
          <w:sz w:val="32"/>
          <w:szCs w:val="32"/>
          <w:shd w:val="clear" w:color="auto" w:fill="FFFFFF"/>
        </w:rPr>
        <w:t>指单位上年结转本年使用的基本支出结转、项目支出结转和结余、经营结余。</w:t>
      </w:r>
    </w:p>
    <w:p>
      <w:pPr>
        <w:pStyle w:val="14"/>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（七）结余分配：</w:t>
      </w:r>
      <w:r>
        <w:rPr>
          <w:rFonts w:ascii="Times New Roman" w:hAnsi="Times New Roman" w:eastAsia="方正仿宋_GBK"/>
          <w:sz w:val="32"/>
          <w:szCs w:val="32"/>
          <w:shd w:val="clear" w:color="auto" w:fill="FFFFFF"/>
        </w:rPr>
        <w:t>指单位按照国家有关规定，缴纳所得税、提取专用基金、转入非财政拨款结余等当年结余的分配情况。</w:t>
      </w:r>
    </w:p>
    <w:p>
      <w:pPr>
        <w:pStyle w:val="14"/>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（八）年末结转和结余：</w:t>
      </w:r>
      <w:r>
        <w:rPr>
          <w:rFonts w:ascii="Times New Roman" w:hAnsi="Times New Roman" w:eastAsia="方正仿宋_GBK"/>
          <w:sz w:val="32"/>
          <w:szCs w:val="32"/>
          <w:shd w:val="clear" w:color="auto" w:fill="FFFFFF"/>
        </w:rPr>
        <w:t>指单位结转下年的基本支出结转、项目支出结转和结余、经营结余。</w:t>
      </w:r>
    </w:p>
    <w:p>
      <w:pPr>
        <w:pStyle w:val="14"/>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（九）基本支出：</w:t>
      </w:r>
      <w:r>
        <w:rPr>
          <w:rFonts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4"/>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（十）项目支出：</w:t>
      </w:r>
      <w:r>
        <w:rPr>
          <w:rFonts w:ascii="Times New Roman" w:hAnsi="Times New Roman" w:eastAsia="方正仿宋_GBK"/>
          <w:sz w:val="32"/>
          <w:szCs w:val="32"/>
          <w:shd w:val="clear" w:color="auto" w:fill="FFFFFF"/>
        </w:rPr>
        <w:t>指在基本支出之外为完成特定行政任务和事业发展目标所发生的支出。</w:t>
      </w:r>
    </w:p>
    <w:p>
      <w:pPr>
        <w:pStyle w:val="14"/>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（十一）经营支出：</w:t>
      </w:r>
      <w:r>
        <w:rPr>
          <w:rFonts w:ascii="Times New Roman" w:hAnsi="Times New Roman" w:eastAsia="方正仿宋_GBK"/>
          <w:sz w:val="32"/>
          <w:szCs w:val="32"/>
          <w:shd w:val="clear" w:color="auto" w:fill="FFFFFF"/>
        </w:rPr>
        <w:t>指事业单位在专业业务活动及其辅助活动之外开展非独立核算经营活动发生的支出。</w:t>
      </w:r>
    </w:p>
    <w:p>
      <w:pPr>
        <w:pStyle w:val="14"/>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（十二）</w:t>
      </w:r>
      <w:r>
        <w:rPr>
          <w:rFonts w:hint="eastAsia" w:ascii="方正楷体_GBK" w:hAnsi="方正楷体_GBK" w:eastAsia="方正楷体_GBK" w:cs="方正楷体_GBK"/>
          <w:sz w:val="32"/>
          <w:szCs w:val="32"/>
          <w:shd w:val="clear" w:color="auto" w:fill="FFFFFF"/>
          <w:lang w:eastAsia="zh-CN"/>
        </w:rPr>
        <w:t>三公</w:t>
      </w:r>
      <w:r>
        <w:rPr>
          <w:rFonts w:ascii="方正楷体_GBK" w:hAnsi="方正楷体_GBK" w:eastAsia="方正楷体_GBK" w:cs="方正楷体_GBK"/>
          <w:sz w:val="32"/>
          <w:szCs w:val="32"/>
          <w:shd w:val="clear" w:color="auto" w:fill="FFFFFF"/>
        </w:rPr>
        <w:t>经费：</w:t>
      </w:r>
      <w:r>
        <w:rPr>
          <w:rFonts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4"/>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（十三）机关运行经费：</w:t>
      </w:r>
      <w:r>
        <w:rPr>
          <w:rFonts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4"/>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（十四）工资福利支出（支出经济分类科目类级）：</w:t>
      </w:r>
      <w:r>
        <w:rPr>
          <w:rFonts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14"/>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（十五）商品和服务支出（支出经济分类科目类级）：</w:t>
      </w:r>
      <w:r>
        <w:rPr>
          <w:rFonts w:ascii="Times New Roman" w:hAnsi="Times New Roman" w:eastAsia="方正仿宋_GBK"/>
          <w:sz w:val="32"/>
          <w:szCs w:val="32"/>
          <w:shd w:val="clear" w:color="auto" w:fill="FFFFFF"/>
        </w:rPr>
        <w:t>反映单位购买商品和服务的支出（不包括用于购置固定资产的支出、战略性和应急储备支出）。</w:t>
      </w:r>
    </w:p>
    <w:p>
      <w:pPr>
        <w:pStyle w:val="14"/>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（十六）对个人和家庭的补助（支出经济分类科目类级）：</w:t>
      </w:r>
      <w:r>
        <w:rPr>
          <w:rFonts w:ascii="Times New Roman" w:hAnsi="Times New Roman" w:eastAsia="方正仿宋_GBK"/>
          <w:sz w:val="32"/>
          <w:szCs w:val="32"/>
          <w:shd w:val="clear" w:color="auto" w:fill="FFFFFF"/>
        </w:rPr>
        <w:t>反映用于对个人和家庭的补助支出。</w:t>
      </w:r>
    </w:p>
    <w:p>
      <w:pPr>
        <w:pStyle w:val="14"/>
        <w:spacing w:before="0" w:beforeAutospacing="0" w:after="0" w:afterAutospacing="0" w:line="594"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shd w:val="clear" w:color="auto" w:fill="FFFFFF"/>
        </w:rPr>
        <w:t>（十七）其他资本性支出（支出经济分类科目类级）：</w:t>
      </w:r>
      <w:r>
        <w:rPr>
          <w:rFonts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4"/>
        <w:spacing w:before="0" w:beforeAutospacing="0" w:after="0" w:afterAutospacing="0" w:line="594" w:lineRule="exact"/>
        <w:ind w:firstLine="640" w:firstLineChars="200"/>
        <w:rPr>
          <w:rFonts w:ascii="方正黑体_GBK" w:hAnsi="方正黑体_GBK" w:eastAsia="方正黑体_GBK" w:cs="方正黑体_GBK"/>
          <w:bCs/>
          <w:sz w:val="32"/>
          <w:szCs w:val="32"/>
        </w:rPr>
      </w:pPr>
      <w:r>
        <w:rPr>
          <w:rStyle w:val="12"/>
          <w:rFonts w:hint="eastAsia" w:ascii="方正黑体_GBK" w:hAnsi="方正黑体_GBK" w:eastAsia="方正黑体_GBK" w:cs="方正黑体_GBK"/>
          <w:b w:val="0"/>
          <w:bCs/>
          <w:sz w:val="32"/>
          <w:szCs w:val="32"/>
          <w:shd w:val="clear" w:color="auto" w:fill="FFFFFF"/>
        </w:rPr>
        <w:t>七、决算公开联系方式及信息反馈渠道</w:t>
      </w:r>
    </w:p>
    <w:p>
      <w:pPr>
        <w:pStyle w:val="13"/>
        <w:autoSpaceDE w:val="0"/>
        <w:spacing w:line="594" w:lineRule="exact"/>
        <w:ind w:firstLine="64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本单位决算公开信息反馈和联系方式：</w:t>
      </w:r>
    </w:p>
    <w:p>
      <w:pPr>
        <w:pStyle w:val="13"/>
        <w:autoSpaceDE w:val="0"/>
        <w:spacing w:line="594" w:lineRule="exact"/>
        <w:ind w:firstLine="640"/>
        <w:jc w:val="both"/>
        <w:rPr>
          <w:rStyle w:val="12"/>
          <w:rFonts w:ascii="Times New Roman" w:hAnsi="Times New Roman" w:eastAsia="方正仿宋_GBK"/>
          <w:sz w:val="32"/>
          <w:szCs w:val="32"/>
          <w:shd w:val="clear" w:color="auto" w:fill="FFFF00"/>
        </w:rPr>
        <w:sectPr>
          <w:pgSz w:w="11915" w:h="16840"/>
          <w:pgMar w:top="1984" w:right="1446" w:bottom="1644" w:left="1446" w:header="851" w:footer="992" w:gutter="0"/>
          <w:pgNumType w:fmt="numberInDash"/>
          <w:cols w:space="720" w:num="1"/>
          <w:docGrid w:type="lines" w:linePitch="312" w:charSpace="0"/>
        </w:sectPr>
      </w:pPr>
      <w:r>
        <w:rPr>
          <w:rFonts w:ascii="Times New Roman" w:hAnsi="Times New Roman" w:eastAsia="方正仿宋_GBK"/>
          <w:sz w:val="32"/>
          <w:szCs w:val="32"/>
          <w:shd w:val="clear" w:color="auto" w:fill="FFFFFF"/>
        </w:rPr>
        <w:t>刘老师</w:t>
      </w:r>
      <w:r>
        <w:rPr>
          <w:rFonts w:hint="eastAsia" w:ascii="Times New Roman" w:hAnsi="Times New Roman" w:eastAsia="方正仿宋_GBK"/>
          <w:sz w:val="32"/>
          <w:szCs w:val="32"/>
          <w:shd w:val="clear" w:color="auto" w:fill="FFFFFF"/>
        </w:rPr>
        <w:t xml:space="preserve">  </w:t>
      </w:r>
      <w:r>
        <w:rPr>
          <w:rFonts w:ascii="Times New Roman" w:hAnsi="Times New Roman" w:eastAsia="方正仿宋_GBK"/>
          <w:sz w:val="32"/>
          <w:szCs w:val="32"/>
        </w:rPr>
        <w:t>023-74512303。</w:t>
      </w:r>
    </w:p>
    <w:tbl>
      <w:tblPr>
        <w:tblStyle w:val="9"/>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垫江县档案馆（本级）</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456.03</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359.15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90.30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456.03</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485.56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29.54</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485.56</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485.56</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垫江县档案馆（本级）</w:t>
            </w:r>
          </w:p>
        </w:tc>
        <w:tc>
          <w:tcPr>
            <w:tcW w:w="145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456.03</w:t>
            </w:r>
            <w:r>
              <w:rPr>
                <w:rFonts w:ascii="Times New Roman" w:hAnsi="Times New Roman"/>
                <w:b/>
                <w:color w:val="000000"/>
                <w:sz w:val="20"/>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456.03</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329.61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329.61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档案事务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329.61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329.61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2012601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257.20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257.20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2012602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2012699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其他档案事务支出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63.93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63.93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90.30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90.30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90.23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90.23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46.28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46.28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19.94</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19.94</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垫江县档案馆（本级） </w:t>
            </w: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485.56</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388.27</w:t>
            </w:r>
            <w:r>
              <w:rPr>
                <w:rFonts w:ascii="Times New Roman" w:hAnsi="Times New Roman"/>
                <w:b/>
                <w:color w:val="000000"/>
                <w:sz w:val="20"/>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97.29</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359.15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261.92</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97.23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档案事务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359.15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261.92</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97.23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2012601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261.92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261.92</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2012602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2012699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其他档案事务支出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69.81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69.81</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90.30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90.23</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90.23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90.23</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29.27</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14.68</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46.28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46.28</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16.18</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16.18</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16.18</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19.94</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19.94</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19.94</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19.94</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19.94</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垫江县档案馆（本级）</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456.03</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359.15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359.15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90.30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90.30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456.03</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485.56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485.56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485.56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485.56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485.56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垫江县档案馆（本级）</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485.56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388.27</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97.29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359.15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261.92</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97.23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档案事务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359.15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261.92</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97.23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2012601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261.92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261.92</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2012602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27.42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27.42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2012699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其他档案事务支出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69.81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69.81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90.30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90.23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90.23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90.23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29.27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29.27</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14.68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14.68</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46.28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46.28</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16.18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16.18</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16.18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16.18</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16.18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16.18</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19.94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19.94</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19.94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19.94</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19.94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19.94</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p>
    <w:tbl>
      <w:tblPr>
        <w:tblStyle w:val="9"/>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垫江县档案馆（本级）</w:t>
            </w:r>
          </w:p>
        </w:tc>
        <w:tc>
          <w:tcPr>
            <w:tcW w:w="141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296.01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45.98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62.27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42.25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85.80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46.28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41.17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342.29</w:t>
            </w:r>
            <w:r>
              <w:rPr>
                <w:rFonts w:ascii="Times New Roman" w:hAnsi="Times New Roman"/>
                <w:color w:val="000000"/>
                <w:sz w:val="18"/>
              </w:rPr>
              <w:t xml:space="preserve"> </w:t>
            </w:r>
          </w:p>
        </w:tc>
        <w:tc>
          <w:tcPr>
            <w:tcW w:w="865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45.98</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垫江县档案馆（本级）</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垫江县档案馆（本级）</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垫江县档案馆（本级）</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三公</w:t>
            </w:r>
            <w:r>
              <w:rPr>
                <w:rFonts w:cs="宋体"/>
                <w:b/>
                <w:color w:val="000000"/>
                <w:kern w:val="2"/>
                <w:sz w:val="16"/>
                <w:szCs w:val="16"/>
              </w:rPr>
              <w:t>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45.98</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0.46</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0.46</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45.98</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0.46</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0.46</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0.46</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4.34</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4.34</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48</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0.58</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0.58</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7.49</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2336"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1312;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NmIwODI1Y2QwNGQxZDFhYmRhZWMyNWM5ZTJhMjUifQ=="/>
  </w:docVars>
  <w:rsids>
    <w:rsidRoot w:val="00B03CCD"/>
    <w:rsid w:val="000239C6"/>
    <w:rsid w:val="001D3BB7"/>
    <w:rsid w:val="002B254B"/>
    <w:rsid w:val="0034050A"/>
    <w:rsid w:val="003E784D"/>
    <w:rsid w:val="0044504F"/>
    <w:rsid w:val="00445AC7"/>
    <w:rsid w:val="00466C9B"/>
    <w:rsid w:val="00486CFC"/>
    <w:rsid w:val="00491DDD"/>
    <w:rsid w:val="00550ABE"/>
    <w:rsid w:val="00623A85"/>
    <w:rsid w:val="00731581"/>
    <w:rsid w:val="00770383"/>
    <w:rsid w:val="007819D4"/>
    <w:rsid w:val="007B419D"/>
    <w:rsid w:val="007B7C4B"/>
    <w:rsid w:val="007D3D39"/>
    <w:rsid w:val="008B2FC1"/>
    <w:rsid w:val="008D6854"/>
    <w:rsid w:val="00984C6A"/>
    <w:rsid w:val="00994AF7"/>
    <w:rsid w:val="009B67B8"/>
    <w:rsid w:val="009C14C9"/>
    <w:rsid w:val="009D2B67"/>
    <w:rsid w:val="009E1452"/>
    <w:rsid w:val="00A566F9"/>
    <w:rsid w:val="00AA780B"/>
    <w:rsid w:val="00AF2751"/>
    <w:rsid w:val="00B03CCD"/>
    <w:rsid w:val="00B465B8"/>
    <w:rsid w:val="00BE2B89"/>
    <w:rsid w:val="00BF0D89"/>
    <w:rsid w:val="00C10E9E"/>
    <w:rsid w:val="00C20C3E"/>
    <w:rsid w:val="00C5163E"/>
    <w:rsid w:val="00CF2ACF"/>
    <w:rsid w:val="00D03AAF"/>
    <w:rsid w:val="00D91282"/>
    <w:rsid w:val="00DD0539"/>
    <w:rsid w:val="00E07662"/>
    <w:rsid w:val="00E368E9"/>
    <w:rsid w:val="00E83A26"/>
    <w:rsid w:val="00EE1E33"/>
    <w:rsid w:val="00F73F90"/>
    <w:rsid w:val="00F906F4"/>
    <w:rsid w:val="00FB4B3B"/>
    <w:rsid w:val="01474EBF"/>
    <w:rsid w:val="01F3521E"/>
    <w:rsid w:val="03B87EA0"/>
    <w:rsid w:val="03E3214F"/>
    <w:rsid w:val="044C50BA"/>
    <w:rsid w:val="048E68F6"/>
    <w:rsid w:val="05665857"/>
    <w:rsid w:val="05BC6D49"/>
    <w:rsid w:val="06194FF1"/>
    <w:rsid w:val="06A2550B"/>
    <w:rsid w:val="06F80EE2"/>
    <w:rsid w:val="07001CCA"/>
    <w:rsid w:val="075678DB"/>
    <w:rsid w:val="077B465F"/>
    <w:rsid w:val="079D7CC7"/>
    <w:rsid w:val="07B33024"/>
    <w:rsid w:val="08051BCA"/>
    <w:rsid w:val="086C12F4"/>
    <w:rsid w:val="08705944"/>
    <w:rsid w:val="08BA052C"/>
    <w:rsid w:val="08DB07BA"/>
    <w:rsid w:val="0969353F"/>
    <w:rsid w:val="09753819"/>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09690F"/>
    <w:rsid w:val="14200702"/>
    <w:rsid w:val="14370EA1"/>
    <w:rsid w:val="163A6CEE"/>
    <w:rsid w:val="173708E3"/>
    <w:rsid w:val="17753C8E"/>
    <w:rsid w:val="17C374FC"/>
    <w:rsid w:val="182E4AB6"/>
    <w:rsid w:val="189079DC"/>
    <w:rsid w:val="189B0D0B"/>
    <w:rsid w:val="18B43F7C"/>
    <w:rsid w:val="191C433B"/>
    <w:rsid w:val="194A1770"/>
    <w:rsid w:val="19B906A4"/>
    <w:rsid w:val="1B6F15B6"/>
    <w:rsid w:val="1BAA2EDC"/>
    <w:rsid w:val="1CA55E64"/>
    <w:rsid w:val="1D014A01"/>
    <w:rsid w:val="1D022362"/>
    <w:rsid w:val="1D0B4FCA"/>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141248"/>
    <w:rsid w:val="235417B6"/>
    <w:rsid w:val="24B92327"/>
    <w:rsid w:val="24C14514"/>
    <w:rsid w:val="24D559AC"/>
    <w:rsid w:val="252D4D73"/>
    <w:rsid w:val="2533755C"/>
    <w:rsid w:val="25791755"/>
    <w:rsid w:val="26396DF4"/>
    <w:rsid w:val="27167136"/>
    <w:rsid w:val="271B442C"/>
    <w:rsid w:val="27B23302"/>
    <w:rsid w:val="280C341B"/>
    <w:rsid w:val="29310A5F"/>
    <w:rsid w:val="296C128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15B2A"/>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473BEA"/>
    <w:rsid w:val="3DDF3AB1"/>
    <w:rsid w:val="3E1D0952"/>
    <w:rsid w:val="3E42660A"/>
    <w:rsid w:val="3E7555B1"/>
    <w:rsid w:val="3E787ED9"/>
    <w:rsid w:val="3EE75242"/>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232B4"/>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9419A1"/>
    <w:rsid w:val="4DAC4ACA"/>
    <w:rsid w:val="4DBE01D2"/>
    <w:rsid w:val="4E813A9C"/>
    <w:rsid w:val="4EFD467F"/>
    <w:rsid w:val="4F0C6BA3"/>
    <w:rsid w:val="4F186D58"/>
    <w:rsid w:val="504B6EAA"/>
    <w:rsid w:val="50EB46E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8956D8"/>
    <w:rsid w:val="5CF66BF3"/>
    <w:rsid w:val="5D290C69"/>
    <w:rsid w:val="5DA327CA"/>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851845"/>
    <w:rsid w:val="67924660"/>
    <w:rsid w:val="68407834"/>
    <w:rsid w:val="6883293E"/>
    <w:rsid w:val="688412AD"/>
    <w:rsid w:val="68EB1B71"/>
    <w:rsid w:val="696A1478"/>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basedOn w:val="1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字符"/>
    <w:basedOn w:val="11"/>
    <w:link w:val="4"/>
    <w:qFormat/>
    <w:uiPriority w:val="0"/>
    <w:rPr>
      <w:rFonts w:ascii="宋体" w:hAnsi="宋体"/>
      <w:sz w:val="18"/>
      <w:szCs w:val="18"/>
    </w:rPr>
  </w:style>
  <w:style w:type="paragraph" w:customStyle="1" w:styleId="18">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8742</Words>
  <Characters>11324</Characters>
  <Lines>101</Lines>
  <Paragraphs>28</Paragraphs>
  <TotalTime>38</TotalTime>
  <ScaleCrop>false</ScaleCrop>
  <LinksUpToDate>false</LinksUpToDate>
  <CharactersWithSpaces>12386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毕欢</cp:lastModifiedBy>
  <dcterms:modified xsi:type="dcterms:W3CDTF">2025-09-15T08:59:32Z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F438AECABEB14A3E95BB2F23C8839148_13</vt:lpwstr>
  </property>
  <property fmtid="{D5CDD505-2E9C-101B-9397-08002B2CF9AE}" pid="4" name="KSOTemplateDocerSaveRecord">
    <vt:lpwstr>eyJoZGlkIjoiMDUwMjYyMTAwZTM5NTcxOGVhNzI3YWZjMDRhMjZkZDEifQ==</vt:lpwstr>
  </property>
</Properties>
</file>