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垫江县预警信息发布中心</w:t>
      </w:r>
    </w:p>
    <w:p>
      <w:pPr>
        <w:pStyle w:val="6"/>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spacing w:before="0" w:beforeAutospacing="0" w:after="0" w:afterAutospacing="0" w:line="560" w:lineRule="exact"/>
        <w:ind w:firstLine="643" w:firstLineChars="200"/>
        <w:rPr>
          <w:rStyle w:val="10"/>
          <w:rFonts w:hint="default" w:ascii="黑体" w:hAnsi="黑体" w:eastAsia="黑体" w:cs="黑体"/>
          <w:sz w:val="32"/>
          <w:szCs w:val="32"/>
          <w:shd w:val="clear" w:color="auto" w:fill="FFFFFF"/>
        </w:rPr>
      </w:pPr>
    </w:p>
    <w:p>
      <w:pPr>
        <w:pStyle w:val="6"/>
        <w:shd w:val="clear" w:color="auto" w:fill="FFFFFF"/>
        <w:spacing w:before="0" w:beforeAutospacing="0" w:after="0" w:afterAutospacing="0" w:line="56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一、单位基本情况</w:t>
      </w:r>
    </w:p>
    <w:p>
      <w:pPr>
        <w:pStyle w:val="6"/>
        <w:shd w:val="clear" w:color="auto" w:fill="FFFFFF"/>
        <w:spacing w:beforeAutospacing="0" w:afterAutospacing="0" w:line="560" w:lineRule="exact"/>
        <w:ind w:firstLine="420"/>
        <w:rPr>
          <w:rFonts w:hint="default" w:ascii="方正楷体_GBK" w:hAnsi="方正楷体_GBK" w:eastAsia="方正楷体_GBK" w:cs="方正楷体_GBK"/>
          <w:bCs/>
          <w:sz w:val="32"/>
          <w:szCs w:val="32"/>
        </w:rPr>
      </w:pPr>
      <w:r>
        <w:rPr>
          <w:rStyle w:val="10"/>
          <w:rFonts w:ascii="方正楷体_GBK" w:hAnsi="方正楷体_GBK" w:eastAsia="方正楷体_GBK" w:cs="方正楷体_GBK"/>
          <w:b w:val="0"/>
          <w:bCs/>
          <w:sz w:val="32"/>
          <w:szCs w:val="32"/>
          <w:shd w:val="clear" w:color="auto" w:fill="FFFFFF"/>
        </w:rPr>
        <w:t>（一）职能职责</w:t>
      </w:r>
    </w:p>
    <w:p>
      <w:pPr>
        <w:pStyle w:val="6"/>
        <w:shd w:val="clear" w:color="auto" w:fill="FFFFFF"/>
        <w:spacing w:beforeAutospacing="0" w:afterAutospacing="0" w:line="560" w:lineRule="exact"/>
        <w:ind w:firstLine="42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发布突发事件预警预防信息；自然灾害监测、预警信息发布；搞好气象防灾减灾；人工增雨防雹作业；易燃易爆场所防雷装置设计评价、竣工检测；闪电监测、雷电灾害鉴定；应急救援防雷技术保障；防雷科普宣传；防雷装置检测及技术服务。</w:t>
      </w:r>
    </w:p>
    <w:p>
      <w:pPr>
        <w:pStyle w:val="6"/>
        <w:shd w:val="clear" w:color="auto" w:fill="FFFFFF"/>
        <w:spacing w:beforeAutospacing="0" w:afterAutospacing="0" w:line="560" w:lineRule="exact"/>
        <w:ind w:firstLine="420"/>
        <w:rPr>
          <w:rFonts w:hint="default" w:ascii="方正楷体_GBK" w:hAnsi="方正楷体_GBK" w:eastAsia="方正楷体_GBK" w:cs="方正楷体_GBK"/>
          <w:bCs/>
          <w:sz w:val="32"/>
          <w:szCs w:val="32"/>
        </w:rPr>
      </w:pPr>
      <w:r>
        <w:rPr>
          <w:rStyle w:val="10"/>
          <w:rFonts w:ascii="方正楷体_GBK" w:hAnsi="方正楷体_GBK" w:eastAsia="方正楷体_GBK" w:cs="方正楷体_GBK"/>
          <w:b w:val="0"/>
          <w:bCs/>
          <w:sz w:val="32"/>
          <w:szCs w:val="32"/>
          <w:shd w:val="clear" w:color="auto" w:fill="FFFFFF"/>
        </w:rPr>
        <w:t>（二）机构设置</w:t>
      </w:r>
    </w:p>
    <w:p>
      <w:pPr>
        <w:pStyle w:val="6"/>
        <w:snapToGrid w:val="0"/>
        <w:spacing w:before="0" w:beforeAutospacing="0" w:afterAutospacing="0" w:line="560" w:lineRule="exact"/>
        <w:ind w:firstLine="320" w:firstLineChars="1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本单位成立于2013年，为县政府办公室下属公益一类事业单位，无内设科室。编制4人，实有人数2人。2023年初本单位更名为垫江县预警信息发布中心。</w:t>
      </w:r>
    </w:p>
    <w:p>
      <w:pPr>
        <w:pStyle w:val="6"/>
        <w:shd w:val="clear" w:color="auto" w:fill="FFFFFF"/>
        <w:spacing w:before="0" w:beforeAutospacing="0" w:after="0" w:afterAutospacing="0" w:line="56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二、单位决算收支情况说明</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pPr>
        <w:pStyle w:val="6"/>
        <w:shd w:val="clear" w:color="auto" w:fill="FFFFFF"/>
        <w:spacing w:beforeAutospacing="0" w:afterAutospacing="0" w:line="56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2024年度收入总计67.49万元，支出总计</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万元。收、支与2023年度相比，增加8.17万元，增长13.8%，主要原因是2024年度新增1人导致经费增加。</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2024年度收入合计67.49万元，与2023年度相比，增加8.17万元，增长13.8%，主要原因是2024年度新增1人导致经费增加。其中：财政拨款收入</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万元，与2023年度相比，增加8.17万元，增长13.8%，主要原因是2024年度新增1人导致经费增加。其中：基本支出</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2024年度财政拨款收、支总计67.49万元。与2023年相比，财政拨款收、支总计各增加8.17万元，增长13.8%。主要原因是2024年度新增1人导致经费增加。</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万元，与2023年度相比，增加8.17万元，增长13.8%。主要原因是2024年度新增1人导致经费增加。较年初预算数减少0.92万元，下降1.3%。主要原因是2024年度中途有1人调出本单位。此外，年初财政拨款结转和结余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万元，与2023年度相比，增加8.17万元，增长13.8%。主要原因是2024年度新增1人导致经费增加。较年初预算数减少0.92万元，下降1.3%。主要原因是2024年度中途有1人调出本单位。</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51.03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75.6%</w:t>
      </w:r>
      <w:r>
        <w:rPr>
          <w:rFonts w:ascii="方正仿宋_GBK" w:hAnsi="方正仿宋_GBK" w:eastAsia="方正仿宋_GBK" w:cs="方正仿宋_GBK"/>
          <w:sz w:val="32"/>
          <w:szCs w:val="32"/>
          <w:shd w:val="clear" w:color="auto" w:fill="FFFFFF"/>
        </w:rPr>
        <w:t>，较年初预算数减少5.78万元，下降10.2%，主要原因是2024年度中途有1人调出本单位。</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w:t>
      </w:r>
      <w:r>
        <w:rPr>
          <w:rFonts w:ascii="方正仿宋_GBK" w:hAnsi="方正仿宋_GBK" w:eastAsia="方正仿宋_GBK" w:cs="方正仿宋_GBK"/>
          <w:sz w:val="32"/>
          <w:szCs w:val="32"/>
          <w:shd w:val="clear" w:color="auto" w:fill="FFFFFF"/>
        </w:rPr>
        <w:t>，较年初预算数无增减，主要原因是严格按照</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11.07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16.4%</w:t>
      </w:r>
      <w:r>
        <w:rPr>
          <w:rFonts w:ascii="方正仿宋_GBK" w:hAnsi="方正仿宋_GBK" w:eastAsia="方正仿宋_GBK" w:cs="方正仿宋_GBK"/>
          <w:sz w:val="32"/>
          <w:szCs w:val="32"/>
          <w:shd w:val="clear" w:color="auto" w:fill="FFFFFF"/>
        </w:rPr>
        <w:t>，较年初预算数增加5.11万元，增长85.7%，主要原因是2024年度事业编制人员社保缴费基数调整。</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w:t>
      </w:r>
      <w:r>
        <w:rPr>
          <w:rFonts w:ascii="方正仿宋_GBK" w:hAnsi="方正仿宋_GBK" w:eastAsia="方正仿宋_GBK" w:cs="方正仿宋_GBK"/>
          <w:sz w:val="32"/>
          <w:szCs w:val="32"/>
          <w:shd w:val="clear" w:color="auto" w:fill="FFFFFF"/>
        </w:rPr>
        <w:t>，较年初预算数减少0.24万元，下降9.7%，主要原因是2024年度中途有1人调出本单位。</w:t>
      </w:r>
    </w:p>
    <w:p>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w:t>
      </w:r>
      <w:r>
        <w:rPr>
          <w:rFonts w:ascii="方正仿宋_GBK" w:hAnsi="方正仿宋_GBK" w:eastAsia="方正仿宋_GBK" w:cs="方正仿宋_GBK"/>
          <w:sz w:val="32"/>
          <w:szCs w:val="32"/>
          <w:shd w:val="clear" w:color="auto" w:fill="FFFFFF"/>
        </w:rPr>
        <w:t>，较年初预算数无增减，主要原因是严格按照</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56.65</w:t>
      </w:r>
      <w:r>
        <w:rPr>
          <w:rFonts w:ascii="方正仿宋_GBK" w:hAnsi="方正仿宋_GBK" w:eastAsia="方正仿宋_GBK" w:cs="方正仿宋_GBK"/>
          <w:sz w:val="32"/>
          <w:szCs w:val="32"/>
          <w:shd w:val="clear" w:color="auto" w:fill="FFFFFF"/>
        </w:rPr>
        <w:t>万元，与2023年度相比，增加5.77万元，增长11.3%，主要原因是2024年度新增1人导致经费增加。人员经费用途主要包括支付人员工资薪酬、社会保障、住房保障等。公用经费</w:t>
      </w:r>
      <w:r>
        <w:rPr>
          <w:rFonts w:ascii="方正仿宋_GBK" w:hAnsi="方正仿宋_GBK" w:eastAsia="方正仿宋_GBK" w:cs="方正仿宋_GBK"/>
          <w:sz w:val="32"/>
          <w:szCs w:val="32"/>
        </w:rPr>
        <w:t>10.84</w:t>
      </w:r>
      <w:r>
        <w:rPr>
          <w:rFonts w:ascii="方正仿宋_GBK" w:hAnsi="方正仿宋_GBK" w:eastAsia="方正仿宋_GBK" w:cs="方正仿宋_GBK"/>
          <w:sz w:val="32"/>
          <w:szCs w:val="32"/>
          <w:shd w:val="clear" w:color="auto" w:fill="FFFFFF"/>
        </w:rPr>
        <w:t>万元，与2023年度相比，增加2.40万元，增长28.4%，主要原因是2024年度新增1人导致经费增加。公用经费用途主要包括支付办公经费、电费、水费、差旅费等。</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w:t>
      </w:r>
      <w:r>
        <w:rPr>
          <w:rFonts w:hint="eastAsia" w:ascii="方正楷体_GBK" w:hAnsi="方正楷体_GBK" w:eastAsia="方正楷体_GBK" w:cs="方正楷体_GBK"/>
          <w:sz w:val="32"/>
          <w:szCs w:val="32"/>
          <w:shd w:val="clear" w:color="auto" w:fill="FFFFFF"/>
          <w:lang w:eastAsia="zh-CN"/>
        </w:rPr>
        <w:t>国有资本经营预算财政拨款</w:t>
      </w:r>
      <w:r>
        <w:rPr>
          <w:rFonts w:hint="eastAsia" w:ascii="方正楷体_GBK" w:hAnsi="方正楷体_GBK" w:eastAsia="方正楷体_GBK" w:cs="方正楷体_GBK"/>
          <w:sz w:val="32"/>
          <w:szCs w:val="32"/>
          <w:shd w:val="clear" w:color="auto" w:fill="FFFFFF"/>
        </w:rPr>
        <w:t>支出决算情况说明</w:t>
      </w:r>
    </w:p>
    <w:p>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国有资本经营预算财政拨款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w:t>
      </w:r>
      <w:bookmarkStart w:id="0" w:name="_GoBack"/>
      <w:bookmarkEnd w:id="0"/>
      <w:r>
        <w:rPr>
          <w:rFonts w:hint="eastAsia" w:ascii="方正仿宋_GBK" w:hAnsi="方正仿宋_GBK" w:eastAsia="方正仿宋_GBK" w:cs="方正仿宋_GBK"/>
          <w:sz w:val="32"/>
          <w:szCs w:val="32"/>
          <w:shd w:val="clear" w:color="auto" w:fill="FFFFFF"/>
          <w:lang w:eastAsia="zh-CN"/>
        </w:rPr>
        <w:t>国有资本经营预算财政拨款</w:t>
      </w:r>
      <w:r>
        <w:rPr>
          <w:rFonts w:ascii="方正仿宋_GBK" w:hAnsi="方正仿宋_GBK" w:eastAsia="方正仿宋_GBK" w:cs="方正仿宋_GBK"/>
          <w:sz w:val="32"/>
          <w:szCs w:val="32"/>
          <w:shd w:val="clear" w:color="auto" w:fill="FFFFFF"/>
        </w:rPr>
        <w:t>支出。</w:t>
      </w:r>
    </w:p>
    <w:p>
      <w:pPr>
        <w:pStyle w:val="6"/>
        <w:shd w:val="clear" w:color="auto" w:fill="FFFFFF"/>
        <w:spacing w:before="0" w:beforeAutospacing="0" w:after="0" w:afterAutospacing="0" w:line="560" w:lineRule="exact"/>
        <w:ind w:left="638" w:leftChars="266"/>
        <w:rPr>
          <w:rStyle w:val="10"/>
          <w:rFonts w:hint="default" w:ascii="黑体" w:hAnsi="黑体" w:eastAsia="黑体" w:cs="黑体"/>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三、财政拨款</w:t>
      </w:r>
      <w:r>
        <w:rPr>
          <w:rStyle w:val="10"/>
          <w:rFonts w:hint="eastAsia" w:ascii="方正黑体_GBK" w:hAnsi="方正黑体_GBK" w:eastAsia="方正黑体_GBK" w:cs="方正黑体_GBK"/>
          <w:b w:val="0"/>
          <w:bCs/>
          <w:sz w:val="32"/>
          <w:szCs w:val="32"/>
          <w:shd w:val="clear" w:color="auto" w:fill="FFFFFF"/>
          <w:lang w:eastAsia="zh-CN"/>
        </w:rPr>
        <w:t>三公</w:t>
      </w:r>
      <w:r>
        <w:rPr>
          <w:rStyle w:val="10"/>
          <w:rFonts w:ascii="方正黑体_GBK" w:hAnsi="方正黑体_GBK" w:eastAsia="方正黑体_GBK" w:cs="方正黑体_GBK"/>
          <w:b w:val="0"/>
          <w:bCs/>
          <w:sz w:val="32"/>
          <w:szCs w:val="32"/>
          <w:shd w:val="clear" w:color="auto" w:fill="FFFFFF"/>
        </w:rPr>
        <w:t>经费情况说明</w:t>
      </w:r>
    </w:p>
    <w:p>
      <w:pPr>
        <w:pStyle w:val="11"/>
        <w:autoSpaceDE w:val="0"/>
        <w:spacing w:line="560" w:lineRule="exact"/>
        <w:ind w:firstLine="64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shd w:val="clear" w:color="auto" w:fill="FFFFFF"/>
        </w:rPr>
        <w:t>（一）</w:t>
      </w:r>
      <w:r>
        <w:rPr>
          <w:rFonts w:hint="eastAsia" w:ascii="方正楷体_GBK" w:hAnsi="方正楷体_GBK" w:eastAsia="方正楷体_GBK" w:cs="方正楷体_GBK"/>
          <w:sz w:val="32"/>
          <w:szCs w:val="32"/>
          <w:shd w:val="clear" w:color="auto" w:fill="FFFFFF"/>
          <w:lang w:eastAsia="zh-CN"/>
        </w:rPr>
        <w:t>三公</w:t>
      </w:r>
      <w:r>
        <w:rPr>
          <w:rFonts w:hint="eastAsia" w:ascii="方正楷体_GBK" w:hAnsi="方正楷体_GBK" w:eastAsia="方正楷体_GBK" w:cs="方正楷体_GBK"/>
          <w:sz w:val="32"/>
          <w:szCs w:val="32"/>
          <w:shd w:val="clear" w:color="auto" w:fill="FFFFFF"/>
        </w:rPr>
        <w:t>经费支出总体情况说明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w:t>
      </w:r>
      <w:r>
        <w:rPr>
          <w:rFonts w:hint="eastAsia" w:ascii="方正楷体_GBK" w:hAnsi="方正楷体_GBK" w:eastAsia="方正楷体_GBK" w:cs="方正楷体_GBK"/>
          <w:sz w:val="32"/>
          <w:szCs w:val="32"/>
          <w:shd w:val="clear" w:color="auto" w:fill="FFFFFF"/>
          <w:lang w:eastAsia="zh-CN"/>
        </w:rPr>
        <w:t>三公</w:t>
      </w:r>
      <w:r>
        <w:rPr>
          <w:rFonts w:hint="eastAsia" w:ascii="方正楷体_GBK" w:hAnsi="方正楷体_GBK" w:eastAsia="方正楷体_GBK" w:cs="方正楷体_GBK"/>
          <w:sz w:val="32"/>
          <w:szCs w:val="32"/>
          <w:shd w:val="clear" w:color="auto" w:fill="FFFFFF"/>
        </w:rPr>
        <w:t>经费分项支出情况</w:t>
      </w:r>
    </w:p>
    <w:p>
      <w:pPr>
        <w:adjustRightInd w:val="0"/>
        <w:snapToGrid w:val="0"/>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w:t>
      </w:r>
      <w:r>
        <w:rPr>
          <w:rFonts w:hint="eastAsia" w:ascii="方正楷体_GBK" w:hAnsi="方正楷体_GBK" w:eastAsia="方正楷体_GBK" w:cs="方正楷体_GBK"/>
          <w:sz w:val="32"/>
          <w:szCs w:val="32"/>
          <w:shd w:val="clear" w:color="auto" w:fill="FFFFFF"/>
          <w:lang w:eastAsia="zh-CN"/>
        </w:rPr>
        <w:t>三公</w:t>
      </w:r>
      <w:r>
        <w:rPr>
          <w:rFonts w:hint="eastAsia" w:ascii="方正楷体_GBK" w:hAnsi="方正楷体_GBK" w:eastAsia="方正楷体_GBK" w:cs="方正楷体_GBK"/>
          <w:sz w:val="32"/>
          <w:szCs w:val="32"/>
          <w:shd w:val="clear" w:color="auto" w:fill="FFFFFF"/>
        </w:rPr>
        <w:t>经费实物量情况</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万元，与2023年度相比，无增减，主要原因是本年度无会议费支出。本年度培训费支出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万元，与2023年度相比，增加0.04万元，增长28.6%，主要原因是本年度新增1人。</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pPr>
        <w:pStyle w:val="11"/>
        <w:autoSpaceDE w:val="0"/>
        <w:spacing w:line="560" w:lineRule="exact"/>
        <w:ind w:firstLine="64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60" w:lineRule="exact"/>
        <w:ind w:firstLine="640" w:firstLineChars="200"/>
        <w:rPr>
          <w:rStyle w:val="10"/>
          <w:rFonts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pPr>
        <w:pStyle w:val="12"/>
        <w:autoSpaceDE w:val="0"/>
        <w:spacing w:before="0" w:beforeAutospacing="0" w:after="0" w:afterAutospacing="0"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lang w:bidi="ar"/>
        </w:rPr>
        <w:t>本单位无项目，没有开展绩效自评工作。</w:t>
      </w:r>
    </w:p>
    <w:p>
      <w:pPr>
        <w:pStyle w:val="12"/>
        <w:autoSpaceDE w:val="0"/>
        <w:spacing w:before="0" w:beforeAutospacing="0" w:after="0" w:afterAutospacing="0"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pPr>
        <w:pStyle w:val="11"/>
        <w:autoSpaceDE w:val="0"/>
        <w:spacing w:line="560" w:lineRule="exact"/>
        <w:ind w:firstLine="640"/>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我单位未组织开展绩效评价。</w:t>
      </w:r>
    </w:p>
    <w:p>
      <w:pPr>
        <w:pStyle w:val="16"/>
        <w:autoSpaceDE w:val="0"/>
        <w:spacing w:line="560" w:lineRule="exact"/>
        <w:ind w:firstLine="64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lang w:bidi="ar"/>
        </w:rPr>
        <w:t>（三）财政绩效评价情况</w:t>
      </w:r>
    </w:p>
    <w:p>
      <w:pPr>
        <w:pStyle w:val="12"/>
        <w:autoSpaceDE w:val="0"/>
        <w:spacing w:before="0" w:beforeAutospacing="0" w:after="0" w:afterAutospacing="0" w:line="560" w:lineRule="exact"/>
        <w:ind w:firstLine="640" w:firstLineChars="200"/>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县财政局未委托第三方对我单位开展绩效评价。</w:t>
      </w:r>
    </w:p>
    <w:p>
      <w:pPr>
        <w:pStyle w:val="12"/>
        <w:autoSpaceDE w:val="0"/>
        <w:spacing w:before="0" w:beforeAutospacing="0" w:after="0" w:afterAutospacing="0" w:line="560"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eastAsia" w:ascii="方正楷体_GBK" w:hAnsi="方正楷体_GBK" w:eastAsia="方正楷体_GBK" w:cs="方正楷体_GBK"/>
          <w:b w:val="0"/>
          <w:bCs/>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60" w:lineRule="exact"/>
        <w:ind w:firstLine="640" w:firstLineChars="200"/>
        <w:rPr>
          <w:rFonts w:ascii="方正黑体_GBK" w:hAnsi="方正黑体_GBK" w:eastAsia="方正黑体_GBK" w:cs="方正黑体_GBK"/>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刘老师         023-74516382</w:t>
      </w: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单位：</w:t>
            </w:r>
            <w:r>
              <w:rPr>
                <w:sz w:val="20"/>
              </w:rPr>
              <w:t>垫江县预警信息发布中心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67.49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51.03</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w:t>
            </w:r>
            <w:r>
              <w:rPr>
                <w:rFonts w:hint="eastAsia" w:cs="宋体"/>
                <w:b/>
                <w:bCs/>
                <w:sz w:val="20"/>
                <w:szCs w:val="20"/>
                <w:lang w:eastAsia="zh-CN"/>
              </w:rPr>
              <w:t>国有资本经营预算财政拨款</w:t>
            </w:r>
            <w:r>
              <w:rPr>
                <w:rFonts w:cs="宋体"/>
                <w:b/>
                <w:bCs/>
                <w:sz w:val="20"/>
                <w:szCs w:val="20"/>
              </w:rPr>
              <w:t>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0.18</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11.07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2.24</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2.98</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67.49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67.49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67.49</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67.49</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垫江县预警信息发布中心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67.49</w:t>
            </w:r>
            <w:r>
              <w:rPr>
                <w:rFonts w:ascii="Times New Roman" w:hAnsi="Times New Roman"/>
                <w:b/>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67.49</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51.03</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51.03</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0.18</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0.18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7.37</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7.37</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3.69</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3.69</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2.98</w:t>
            </w:r>
            <w:r>
              <w:rPr>
                <w:rFonts w:ascii="Times New Roman" w:hAnsi="Times New Roman"/>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2.98</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垫江县预警信息发布中心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67.49</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67.49</w:t>
            </w:r>
            <w:r>
              <w:rPr>
                <w:rFonts w:ascii="Times New Roman" w:hAnsi="Times New Roman"/>
                <w:b/>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51.03</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51.03</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0.18</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0.18</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7.37</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7.37</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3.69</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3.69</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2.98</w:t>
            </w:r>
            <w:r>
              <w:rPr>
                <w:rFonts w:ascii="Times New Roman" w:hAnsi="Times New Roman"/>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2.98</w:t>
            </w:r>
            <w:r>
              <w:rPr>
                <w:rFonts w:ascii="Times New Roman" w:hAnsi="Times New Roman"/>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垫江县预警信息发布中心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hint="eastAsia" w:cs="宋体"/>
                <w:b/>
                <w:sz w:val="18"/>
                <w:szCs w:val="18"/>
                <w:lang w:eastAsia="zh-CN"/>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51.03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51.03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w:t>
            </w:r>
            <w:r>
              <w:rPr>
                <w:rFonts w:hint="eastAsia" w:cs="宋体"/>
                <w:b/>
                <w:bCs/>
                <w:sz w:val="18"/>
                <w:szCs w:val="18"/>
                <w:lang w:eastAsia="zh-CN"/>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0.18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0.18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2.98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w:t>
            </w:r>
            <w:r>
              <w:rPr>
                <w:rFonts w:hint="eastAsia" w:cs="宋体"/>
                <w:b/>
                <w:bCs/>
                <w:sz w:val="18"/>
                <w:szCs w:val="18"/>
                <w:lang w:eastAsia="zh-CN"/>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67.49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w:t>
      </w:r>
      <w:r>
        <w:rPr>
          <w:rFonts w:hint="eastAsia" w:cs="宋体"/>
          <w:sz w:val="20"/>
          <w:szCs w:val="20"/>
          <w:lang w:eastAsia="zh-CN"/>
        </w:rPr>
        <w:t>国有资本经营预算财政拨款</w:t>
      </w:r>
      <w:r>
        <w:rPr>
          <w:rFonts w:cs="宋体"/>
          <w:sz w:val="20"/>
          <w:szCs w:val="20"/>
        </w:rPr>
        <w:t>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垫江县预警信息发布中心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67.49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67.49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51.03</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51.03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51.03</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0.18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0.18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0.18</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11.07</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7.37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7.37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3.69</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2.24</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2.98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2.98</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单位：</w:t>
            </w:r>
            <w:r>
              <w:rPr>
                <w:sz w:val="20"/>
              </w:rPr>
              <w:t>垫江县预警信息发布中心</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56.65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10.84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11.04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0.54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27.87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7.37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3.69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0.07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2.98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0.21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0.50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56.65</w:t>
            </w:r>
            <w:r>
              <w:rPr>
                <w:rFonts w:ascii="Times New Roman" w:hAnsi="Times New Roman"/>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10.84</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垫江县预警信息发布中心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hint="eastAsia" w:cs="宋体"/>
                <w:b/>
                <w:sz w:val="32"/>
                <w:szCs w:val="32"/>
                <w:lang w:eastAsia="zh-CN"/>
              </w:rPr>
              <w:t>国有资本经营预算财政拨款</w:t>
            </w:r>
            <w:r>
              <w:rPr>
                <w:rFonts w:cs="宋体"/>
                <w:b/>
                <w:sz w:val="32"/>
                <w:szCs w:val="32"/>
              </w:rPr>
              <w:t>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单位：</w:t>
            </w:r>
            <w:r>
              <w:rPr>
                <w:sz w:val="20"/>
              </w:rPr>
              <w:t>垫江县预警信息发布中心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w:t>
      </w:r>
      <w:r>
        <w:rPr>
          <w:rFonts w:hint="eastAsia" w:cs="宋体"/>
          <w:sz w:val="20"/>
          <w:szCs w:val="20"/>
          <w:lang w:eastAsia="zh-CN"/>
        </w:rPr>
        <w:t>国有资本经营预算财政拨款</w:t>
      </w:r>
      <w:r>
        <w:rPr>
          <w:rFonts w:cs="宋体"/>
          <w:sz w:val="20"/>
          <w:szCs w:val="20"/>
        </w:rPr>
        <w:t>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垫江县预警信息发布中心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0.18</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3.00</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0703C"/>
    <w:rsid w:val="000239C6"/>
    <w:rsid w:val="001D3BB7"/>
    <w:rsid w:val="002B254B"/>
    <w:rsid w:val="0034050A"/>
    <w:rsid w:val="0044504F"/>
    <w:rsid w:val="004663CD"/>
    <w:rsid w:val="00466C9B"/>
    <w:rsid w:val="00486CFC"/>
    <w:rsid w:val="00491DDD"/>
    <w:rsid w:val="00550ABE"/>
    <w:rsid w:val="005D5279"/>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A4F52"/>
    <w:rsid w:val="00CF2ACF"/>
    <w:rsid w:val="00D03AAF"/>
    <w:rsid w:val="00DD0539"/>
    <w:rsid w:val="00E07662"/>
    <w:rsid w:val="00E368E9"/>
    <w:rsid w:val="00EE1E33"/>
    <w:rsid w:val="00F73F90"/>
    <w:rsid w:val="00F87C99"/>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8E03ED"/>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28756D"/>
    <w:rsid w:val="1E374ACB"/>
    <w:rsid w:val="1ECF0A66"/>
    <w:rsid w:val="1EF67CA4"/>
    <w:rsid w:val="1F020D3A"/>
    <w:rsid w:val="1F2C5189"/>
    <w:rsid w:val="1F4B0B02"/>
    <w:rsid w:val="1FBB35CD"/>
    <w:rsid w:val="1FCD26AF"/>
    <w:rsid w:val="20642787"/>
    <w:rsid w:val="21556F04"/>
    <w:rsid w:val="22403BD3"/>
    <w:rsid w:val="22AD3177"/>
    <w:rsid w:val="234B7D52"/>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076BF"/>
    <w:rsid w:val="38BE4696"/>
    <w:rsid w:val="3939115E"/>
    <w:rsid w:val="39B82A39"/>
    <w:rsid w:val="39C42CA8"/>
    <w:rsid w:val="39DC4FD6"/>
    <w:rsid w:val="39F03D7A"/>
    <w:rsid w:val="39F33306"/>
    <w:rsid w:val="3A2C1C67"/>
    <w:rsid w:val="3A6A77C9"/>
    <w:rsid w:val="3ADD7F09"/>
    <w:rsid w:val="3B1705E5"/>
    <w:rsid w:val="3B18334B"/>
    <w:rsid w:val="3B36794F"/>
    <w:rsid w:val="3B6F6EE0"/>
    <w:rsid w:val="3BB04A2E"/>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A23A39"/>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A71EE2"/>
    <w:rsid w:val="75DB1373"/>
    <w:rsid w:val="764F62AB"/>
    <w:rsid w:val="765C45EC"/>
    <w:rsid w:val="768A7619"/>
    <w:rsid w:val="76BD23AB"/>
    <w:rsid w:val="772E1EBA"/>
    <w:rsid w:val="773F6EFD"/>
    <w:rsid w:val="781926BC"/>
    <w:rsid w:val="796D60A4"/>
    <w:rsid w:val="79A031D5"/>
    <w:rsid w:val="79B47FDF"/>
    <w:rsid w:val="79E569A9"/>
    <w:rsid w:val="7A1525F7"/>
    <w:rsid w:val="7B420052"/>
    <w:rsid w:val="7BD06A28"/>
    <w:rsid w:val="7C3A7C0B"/>
    <w:rsid w:val="7C5248E4"/>
    <w:rsid w:val="7C566698"/>
    <w:rsid w:val="7C5866A3"/>
    <w:rsid w:val="7D7406BB"/>
    <w:rsid w:val="7DE94331"/>
    <w:rsid w:val="7F1D0B9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8285</Words>
  <Characters>10467</Characters>
  <Lines>94</Lines>
  <Paragraphs>26</Paragraphs>
  <TotalTime>6</TotalTime>
  <ScaleCrop>false</ScaleCrop>
  <LinksUpToDate>false</LinksUpToDate>
  <CharactersWithSpaces>11502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2025-09-15T07:17:19Z</dcterms:modified>
  <dc:title>垫江县预警信息发布中心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