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中国共产主义青年团垫江县委员会</w:t>
      </w:r>
    </w:p>
    <w:p>
      <w:pPr>
        <w:pStyle w:val="6"/>
        <w:spacing w:before="0" w:beforeAutospacing="0"/>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2024年度决算公开说明</w:t>
      </w:r>
    </w:p>
    <w:p>
      <w:pPr>
        <w:pStyle w:val="6"/>
        <w:shd w:val="clear" w:color="auto" w:fill="FFFFFF"/>
        <w:spacing w:after="0" w:afterAutospacing="0"/>
        <w:ind w:firstLine="643"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一、部门基本情况</w:t>
      </w:r>
    </w:p>
    <w:p>
      <w:pPr>
        <w:pStyle w:val="6"/>
        <w:shd w:val="clear" w:color="auto" w:fill="FFFFFF"/>
        <w:spacing w:before="0" w:beforeAutospacing="0" w:after="0" w:afterAutospacing="0"/>
        <w:ind w:firstLine="420"/>
        <w:rPr>
          <w:rStyle w:val="10"/>
          <w:rFonts w:hint="default" w:ascii="方正仿宋_GBK" w:hAnsi="楷体" w:eastAsia="方正仿宋_GBK" w:cs="楷体"/>
          <w:sz w:val="32"/>
          <w:szCs w:val="32"/>
          <w:shd w:val="clear" w:color="auto" w:fill="FFFFFF"/>
        </w:rPr>
      </w:pPr>
      <w:r>
        <w:rPr>
          <w:rStyle w:val="10"/>
          <w:rFonts w:ascii="方正仿宋_GBK" w:hAnsi="楷体" w:eastAsia="方正仿宋_GBK" w:cs="楷体"/>
          <w:sz w:val="32"/>
          <w:szCs w:val="32"/>
          <w:shd w:val="clear" w:color="auto" w:fill="FFFFFF"/>
        </w:rPr>
        <w:t>（一）职能职责</w:t>
      </w:r>
    </w:p>
    <w:p>
      <w:pPr>
        <w:pStyle w:val="6"/>
        <w:shd w:val="clear" w:color="auto" w:fill="FFFFFF"/>
        <w:adjustRightInd w:val="0"/>
        <w:snapToGrid w:val="0"/>
        <w:spacing w:before="0" w:beforeAutospacing="0" w:after="0" w:afterAutospacing="0" w:line="594" w:lineRule="exact"/>
        <w:ind w:firstLine="797" w:firstLineChars="248"/>
        <w:jc w:val="both"/>
        <w:rPr>
          <w:rFonts w:hint="default" w:ascii="方正仿宋_GBK" w:hAnsi="Times New Roman" w:eastAsia="方正仿宋_GBK"/>
          <w:b/>
          <w:sz w:val="32"/>
          <w:szCs w:val="32"/>
        </w:rPr>
      </w:pPr>
      <w:r>
        <w:rPr>
          <w:rFonts w:ascii="方正仿宋_GBK" w:hAnsi="Times New Roman" w:eastAsia="方正仿宋_GBK"/>
          <w:b/>
          <w:sz w:val="32"/>
          <w:szCs w:val="32"/>
        </w:rPr>
        <w:t>1. 中国共产主义青年团垫江县委员会主要职能职责</w:t>
      </w:r>
    </w:p>
    <w:p>
      <w:pPr>
        <w:pStyle w:val="12"/>
        <w:autoSpaceDE w:val="0"/>
        <w:adjustRightInd w:val="0"/>
        <w:snapToGrid w:val="0"/>
        <w:spacing w:before="0" w:beforeAutospacing="0" w:after="0" w:afterAutospacing="0" w:line="594"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1）坚持党的领导。坚决贯彻党的意志和主张，坚定不移走中国特色社会主义共青团发展道路，切实增强共青团工作的政治性和共青团组织的先进性群众性，汇聚全县广大青少年推进社会主义现代化建设的强大合力。</w:t>
      </w:r>
    </w:p>
    <w:p>
      <w:pPr>
        <w:pStyle w:val="12"/>
        <w:autoSpaceDE w:val="0"/>
        <w:adjustRightInd w:val="0"/>
        <w:snapToGrid w:val="0"/>
        <w:spacing w:before="0" w:beforeAutospacing="0" w:after="0" w:afterAutospacing="0" w:line="594"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（2）加强对广大青少年的政治引领和思想引导。切实承担引导广大青少年听党话、跟党走的政治任务，把广大青少年最广泛最紧密地团结在党的周围，加强青少年的理想信念教育和未成年人的思想道德建设。</w:t>
      </w:r>
    </w:p>
    <w:p>
      <w:pPr>
        <w:pStyle w:val="12"/>
        <w:autoSpaceDE w:val="0"/>
        <w:adjustRightInd w:val="0"/>
        <w:snapToGrid w:val="0"/>
        <w:spacing w:before="0" w:beforeAutospacing="0" w:after="0" w:afterAutospacing="0" w:line="594"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（3）依法依章程独立自主开展工作。领导全县共青团工作，领导和指导青联、学联和少先队工作，领导和指导全县青少年社团组织的工作。</w:t>
      </w:r>
    </w:p>
    <w:p>
      <w:pPr>
        <w:pStyle w:val="12"/>
        <w:autoSpaceDE w:val="0"/>
        <w:adjustRightInd w:val="0"/>
        <w:snapToGrid w:val="0"/>
        <w:spacing w:before="0" w:beforeAutospacing="0" w:after="0" w:afterAutospacing="0" w:line="594"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（4）团结动员广大青年干事创业。组织动员广大青年围绕中心、服务大局，积极主动参与党委、政府各项中心工作，把青年生力军作用转化为促进经济社会发展的强大力量。</w:t>
      </w:r>
    </w:p>
    <w:p>
      <w:pPr>
        <w:pStyle w:val="12"/>
        <w:autoSpaceDE w:val="0"/>
        <w:adjustRightInd w:val="0"/>
        <w:snapToGrid w:val="0"/>
        <w:spacing w:before="0" w:beforeAutospacing="0" w:after="0" w:afterAutospacing="0" w:line="594"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5）突出不断巩固和扩大党执政的青年群众基础职责。以青少年为主要工作对象，以学校、社区、新兴领域和网络为主阵地，团结凝聚青少年和代表维护青少年权益，帮助青少年通过合法渠道、正常途径，合理伸张权益诉求，促进社会公平正义。</w:t>
      </w:r>
    </w:p>
    <w:p>
      <w:pPr>
        <w:pStyle w:val="12"/>
        <w:autoSpaceDE w:val="0"/>
        <w:adjustRightInd w:val="0"/>
        <w:snapToGrid w:val="0"/>
        <w:spacing w:before="0" w:beforeAutospacing="0" w:after="0" w:afterAutospacing="0" w:line="594"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6）拓展共青团的组织覆盖和工作覆盖。适应人口流动、新兴群体发展等新情况，加强对新兴青年群体、网络领域的组织覆盖；推进非公经济组织和社会组织团建力度，构建以乡镇团委（街道团工委）为核心，企业、学校、青年社会组织等共同参与的区域化团建格局，巩固学校共青团基础性、战略性、源头性地位。积极探索开展网上共青团工作，重点加强网络舆论引导。创新共青团活动开展和工作评价机制。</w:t>
      </w:r>
    </w:p>
    <w:p>
      <w:pPr>
        <w:pStyle w:val="12"/>
        <w:autoSpaceDE w:val="0"/>
        <w:adjustRightInd w:val="0"/>
        <w:snapToGrid w:val="0"/>
        <w:spacing w:before="0" w:beforeAutospacing="0" w:after="0" w:afterAutospacing="0" w:line="594"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7）积极参与社会治理。发挥维护社会和谐稳定的作用，组织和动员广大青少年主动参与社会治安综合治理、矛盾纠纷化解等。切实发挥社会事务管理服务作用，按照法定程序承接好适宜由团县委承担的服务贫困大学生就业创业等社会管理服务职能，培养和打造共青团服务品牌。发挥民主参与和民主监督作用，积极代表和组织广大青年参与协商民主，有序参与基层民主自治和企事业单位民主管理。</w:t>
      </w:r>
    </w:p>
    <w:p>
      <w:pPr>
        <w:pStyle w:val="12"/>
        <w:autoSpaceDE w:val="0"/>
        <w:adjustRightInd w:val="0"/>
        <w:snapToGrid w:val="0"/>
        <w:spacing w:before="0" w:beforeAutospacing="0" w:after="0" w:afterAutospacing="0" w:line="594"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8）研究指导共青团自身改革和建设。加强政策理论研究，开展青年思想动态、工作状况等调查，及时为县委、县政府决策提出建议。负责研究指导全县青年外事工作、青年统战工作和青年人才服务工作。负责全县团的建设，协助党组织管理团干部。</w:t>
      </w:r>
    </w:p>
    <w:p>
      <w:pPr>
        <w:pStyle w:val="12"/>
        <w:autoSpaceDE w:val="0"/>
        <w:adjustRightInd w:val="0"/>
        <w:snapToGrid w:val="0"/>
        <w:spacing w:before="0" w:beforeAutospacing="0" w:after="0" w:afterAutospacing="0" w:line="594"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（9）完成县委、县政府交办的其他事项。</w:t>
      </w:r>
    </w:p>
    <w:p>
      <w:pPr>
        <w:pStyle w:val="12"/>
        <w:autoSpaceDE w:val="0"/>
        <w:adjustRightInd w:val="0"/>
        <w:snapToGrid w:val="0"/>
        <w:spacing w:before="0" w:beforeAutospacing="0" w:after="0" w:afterAutospacing="0" w:line="594" w:lineRule="exact"/>
        <w:ind w:firstLine="787" w:firstLineChars="245"/>
        <w:jc w:val="both"/>
        <w:rPr>
          <w:rFonts w:ascii="方正仿宋_GBK" w:hAnsi="Times New Roman" w:eastAsia="方正仿宋_GBK"/>
          <w:b/>
          <w:sz w:val="32"/>
          <w:szCs w:val="32"/>
        </w:rPr>
      </w:pPr>
      <w:r>
        <w:rPr>
          <w:rFonts w:hint="eastAsia" w:ascii="方正仿宋_GBK" w:hAnsi="Times New Roman" w:eastAsia="方正仿宋_GBK"/>
          <w:b/>
          <w:sz w:val="32"/>
          <w:szCs w:val="32"/>
        </w:rPr>
        <w:t>2. 重庆市垫江县少年宫主要的职能职责</w:t>
      </w:r>
    </w:p>
    <w:p>
      <w:pPr>
        <w:pStyle w:val="12"/>
        <w:autoSpaceDE w:val="0"/>
        <w:adjustRightInd w:val="0"/>
        <w:snapToGrid w:val="0"/>
        <w:spacing w:before="0" w:beforeAutospacing="0" w:after="0" w:afterAutospacing="0" w:line="594"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（1）组织开展全县青少年校外教育活动和培训。开展科学技术知识普及教育，体育活动，文化艺术活动，游戏娱乐活动，生活劳动与社会实践活动等；</w:t>
      </w:r>
    </w:p>
    <w:p>
      <w:pPr>
        <w:pStyle w:val="12"/>
        <w:autoSpaceDE w:val="0"/>
        <w:adjustRightInd w:val="0"/>
        <w:snapToGrid w:val="0"/>
        <w:spacing w:before="0" w:beforeAutospacing="0" w:after="0" w:afterAutospacing="0" w:line="594"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（2）开展青少年交流活动；</w:t>
      </w:r>
    </w:p>
    <w:p>
      <w:pPr>
        <w:pStyle w:val="12"/>
        <w:autoSpaceDE w:val="0"/>
        <w:adjustRightInd w:val="0"/>
        <w:snapToGrid w:val="0"/>
        <w:spacing w:before="0" w:beforeAutospacing="0" w:after="0" w:afterAutospacing="0" w:line="594"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（3）加强校外教育文化理论的学习和研究；</w:t>
      </w:r>
    </w:p>
    <w:p>
      <w:pPr>
        <w:pStyle w:val="12"/>
        <w:autoSpaceDE w:val="0"/>
        <w:adjustRightInd w:val="0"/>
        <w:snapToGrid w:val="0"/>
        <w:spacing w:before="0" w:beforeAutospacing="0" w:after="0" w:afterAutospacing="0" w:line="594"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（4）积极促进校外活动与学校教育的有效衔接。</w:t>
      </w:r>
    </w:p>
    <w:p>
      <w:pPr>
        <w:pStyle w:val="6"/>
        <w:shd w:val="clear" w:color="auto" w:fill="FFFFFF"/>
        <w:spacing w:before="0" w:beforeAutospacing="0" w:after="0" w:afterAutospacing="0" w:line="594" w:lineRule="exact"/>
        <w:ind w:firstLine="420"/>
        <w:jc w:val="both"/>
        <w:rPr>
          <w:rStyle w:val="10"/>
          <w:rFonts w:hint="default" w:ascii="方正仿宋_GBK" w:hAnsi="楷体" w:eastAsia="方正仿宋_GBK" w:cs="楷体"/>
          <w:sz w:val="32"/>
          <w:szCs w:val="32"/>
          <w:shd w:val="clear" w:color="auto" w:fill="FFFFFF"/>
        </w:rPr>
      </w:pPr>
      <w:r>
        <w:rPr>
          <w:rStyle w:val="10"/>
          <w:rFonts w:ascii="方正仿宋_GBK" w:hAnsi="楷体" w:eastAsia="方正仿宋_GBK" w:cs="楷体"/>
          <w:sz w:val="32"/>
          <w:szCs w:val="32"/>
          <w:shd w:val="clear" w:color="auto" w:fill="FFFFFF"/>
        </w:rPr>
        <w:t>（二）机构设置</w:t>
      </w:r>
    </w:p>
    <w:p>
      <w:pPr>
        <w:pStyle w:val="16"/>
        <w:autoSpaceDE w:val="0"/>
        <w:adjustRightInd w:val="0"/>
        <w:snapToGrid w:val="0"/>
        <w:spacing w:line="594" w:lineRule="exact"/>
        <w:ind w:firstLine="800" w:firstLineChars="250"/>
        <w:jc w:val="both"/>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中国共产主义青年团垫江县委员会由中国共产主义青年团垫江县委员会（本级）和重庆市垫江县少年宫（二级单位）构成。</w:t>
      </w:r>
    </w:p>
    <w:p>
      <w:pPr>
        <w:pStyle w:val="12"/>
        <w:autoSpaceDE w:val="0"/>
        <w:adjustRightInd w:val="0"/>
        <w:snapToGrid w:val="0"/>
        <w:spacing w:before="0" w:beforeAutospacing="0" w:after="0" w:afterAutospacing="0" w:line="594" w:lineRule="exact"/>
        <w:ind w:firstLine="796" w:firstLineChars="249"/>
        <w:jc w:val="both"/>
        <w:rPr>
          <w:rFonts w:ascii="方正仿宋_GBK" w:hAnsi="Times New Roman" w:eastAsia="方正仿宋_GBK"/>
          <w:sz w:val="32"/>
          <w:szCs w:val="32"/>
        </w:rPr>
      </w:pPr>
      <w:r>
        <w:rPr>
          <w:rFonts w:hint="eastAsia" w:ascii="方正仿宋_GBK" w:hAnsi="Times New Roman" w:eastAsia="方正仿宋_GBK"/>
          <w:sz w:val="32"/>
          <w:szCs w:val="32"/>
        </w:rPr>
        <w:t>1. 中国共产主义青年团垫江县委员会（本级）设2个内设机构，具体设置及主要职责分别是：</w:t>
      </w:r>
    </w:p>
    <w:p>
      <w:pPr>
        <w:pStyle w:val="12"/>
        <w:autoSpaceDE w:val="0"/>
        <w:adjustRightInd w:val="0"/>
        <w:snapToGrid w:val="0"/>
        <w:spacing w:before="0" w:beforeAutospacing="0" w:after="0" w:afterAutospacing="0" w:line="594"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办公室：负责团县委机关日常工作和统筹协调内外联系工作事务；负责文秘工作、印鉴管理、机要保密、会务安排、信息分析以及机构编制、干部人事、职称评定、财务管理、资产管理、后勤服务；负责统筹协调内外联系工作事务，牵头督导领导班子集中决策部署的工作落实情况，及时汇报并提出有关工作建议或意见。</w:t>
      </w:r>
    </w:p>
    <w:p>
      <w:pPr>
        <w:pStyle w:val="12"/>
        <w:autoSpaceDE w:val="0"/>
        <w:adjustRightInd w:val="0"/>
        <w:snapToGrid w:val="0"/>
        <w:spacing w:before="0" w:beforeAutospacing="0" w:after="0" w:afterAutospacing="0" w:line="594"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组织宣传部：负责基层组织建设、团干部队伍建设，团员青年管理服务、政治引领、思想引导；共青团活动网络调查与评价的收集、青少年群体网络舆情的监控与引导等工作；青少年权益维护、未成年人保护、创新创业创优、志愿服务；青少年网络媒介运营、管理和日常维护，包括发布创业帮扶、技能培训、青少年维权、扶贫济困信息等工作。</w:t>
      </w:r>
    </w:p>
    <w:p>
      <w:pPr>
        <w:pStyle w:val="12"/>
        <w:autoSpaceDE w:val="0"/>
        <w:adjustRightInd w:val="0"/>
        <w:snapToGrid w:val="0"/>
        <w:spacing w:before="0" w:beforeAutospacing="0" w:after="0" w:afterAutospacing="0" w:line="594" w:lineRule="exact"/>
        <w:ind w:firstLine="796" w:firstLineChars="249"/>
        <w:jc w:val="both"/>
        <w:rPr>
          <w:rFonts w:ascii="方正仿宋_GBK" w:hAnsi="Times New Roman" w:eastAsia="方正仿宋_GBK"/>
          <w:color w:val="333333"/>
          <w:sz w:val="32"/>
          <w:szCs w:val="32"/>
          <w:shd w:val="clear" w:color="auto" w:fill="FFFFFF"/>
        </w:rPr>
      </w:pPr>
      <w:r>
        <w:rPr>
          <w:rFonts w:hint="eastAsia" w:ascii="方正仿宋_GBK" w:hAnsi="Times New Roman" w:eastAsia="方正仿宋_GBK"/>
          <w:color w:val="333333"/>
          <w:sz w:val="32"/>
          <w:szCs w:val="32"/>
          <w:shd w:val="clear" w:color="auto" w:fill="FFFFFF"/>
        </w:rPr>
        <w:t>2. 重庆市垫江县少年宫根据上述职能职责设1个内设机构：办公室。</w:t>
      </w:r>
    </w:p>
    <w:p>
      <w:pPr>
        <w:pStyle w:val="12"/>
        <w:autoSpaceDE w:val="0"/>
        <w:adjustRightInd w:val="0"/>
        <w:snapToGrid w:val="0"/>
        <w:spacing w:before="0" w:beforeAutospacing="0" w:after="0" w:afterAutospacing="0" w:line="594" w:lineRule="exact"/>
        <w:ind w:firstLine="800" w:firstLineChars="250"/>
        <w:jc w:val="both"/>
        <w:rPr>
          <w:rFonts w:ascii="方正仿宋_GBK" w:hAnsi="方正仿宋_GBK" w:eastAsia="方正仿宋_GBK" w:cs="方正仿宋_GBK"/>
          <w:sz w:val="32"/>
          <w:szCs w:val="32"/>
        </w:rPr>
      </w:pPr>
      <w:r>
        <w:rPr>
          <w:rFonts w:hint="eastAsia" w:ascii="方正仿宋_GBK" w:hAnsi="Times New Roman" w:eastAsia="方正仿宋_GBK"/>
          <w:sz w:val="32"/>
          <w:szCs w:val="32"/>
        </w:rPr>
        <w:t>根据上述主要职责及内设机构调整情况，中国共产主义青年团垫江县委员会、垫江县少年宫的编制和领导职数核定如下：机关行政编制4人、事业编制7人。其中：书记1人、副书记2人；内设机构</w:t>
      </w:r>
      <w:r>
        <w:rPr>
          <w:rFonts w:hint="eastAsia" w:ascii="方正仿宋_GBK" w:hAnsi="Times New Roman" w:eastAsia="方正仿宋_GBK"/>
          <w:color w:val="000000"/>
          <w:sz w:val="32"/>
          <w:szCs w:val="32"/>
        </w:rPr>
        <w:t>正职领导职数2人。2024年年末实有行政在职职工4人、事业6人，另有挂职副书记2人，</w:t>
      </w:r>
      <w:r>
        <w:rPr>
          <w:rFonts w:hint="eastAsia" w:ascii="方正仿宋_GBK" w:hAnsi="Times New Roman" w:eastAsia="方正仿宋_GBK"/>
          <w:color w:val="333333"/>
          <w:sz w:val="32"/>
          <w:szCs w:val="32"/>
          <w:shd w:val="clear" w:color="auto" w:fill="FFFFFF"/>
        </w:rPr>
        <w:t>临聘工作人员4名，</w:t>
      </w:r>
      <w:r>
        <w:rPr>
          <w:rFonts w:hint="eastAsia" w:ascii="方正仿宋_GBK" w:hAnsi="Times New Roman" w:eastAsia="方正仿宋_GBK"/>
          <w:color w:val="000000"/>
          <w:sz w:val="32"/>
          <w:szCs w:val="32"/>
        </w:rPr>
        <w:t>大学生西部计划志愿者6人。</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二、部门决算收支情况说明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spacing w:before="0" w:beforeAutospacing="0" w:after="0" w:afterAutospacing="0"/>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2024年度收入总计639.21万元，支出总计</w:t>
      </w:r>
      <w:r>
        <w:rPr>
          <w:rFonts w:ascii="方正仿宋_GBK" w:hAnsi="方正仿宋_GBK" w:eastAsia="方正仿宋_GBK" w:cs="方正仿宋_GBK"/>
          <w:sz w:val="32"/>
          <w:szCs w:val="32"/>
        </w:rPr>
        <w:t>639.21</w:t>
      </w:r>
      <w:r>
        <w:rPr>
          <w:rFonts w:ascii="方正仿宋_GBK" w:hAnsi="方正仿宋_GBK" w:eastAsia="方正仿宋_GBK" w:cs="方正仿宋_GBK"/>
          <w:sz w:val="32"/>
          <w:szCs w:val="32"/>
          <w:shd w:val="clear" w:color="auto" w:fill="FFFFFF"/>
        </w:rPr>
        <w:t>万元。收、支与2023年度相比，减少41.15万元，下降6.05%，主要原因是</w:t>
      </w:r>
      <w:r>
        <w:rPr>
          <w:rFonts w:ascii="方正仿宋_GBK" w:eastAsia="方正仿宋_GBK"/>
          <w:sz w:val="32"/>
          <w:szCs w:val="32"/>
        </w:rPr>
        <w:t>提前下达2022年市</w:t>
      </w:r>
      <w:r>
        <w:rPr>
          <w:rFonts w:hint="eastAsia" w:ascii="方正仿宋_GBK" w:eastAsia="方正仿宋_GBK"/>
          <w:sz w:val="32"/>
          <w:szCs w:val="32"/>
          <w:lang w:eastAsia="zh-CN"/>
        </w:rPr>
        <w:t>校外联络经费</w:t>
      </w:r>
      <w:r>
        <w:rPr>
          <w:rFonts w:ascii="方正仿宋_GBK" w:eastAsia="方正仿宋_GBK"/>
          <w:sz w:val="32"/>
          <w:szCs w:val="32"/>
        </w:rPr>
        <w:t>（渝财综〔2021〕64号）专项和少年宫合作办学收入减少。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2024年度收入合计628.43万元，与2023年度相比，增加41.44万元，增长7.06%，主要原因是本年度增加1人，增人增加费用支出；同时政策性调整职工社保缴存基数并补缴增加。其中：财政拨款收入</w:t>
      </w:r>
      <w:r>
        <w:rPr>
          <w:rFonts w:ascii="方正仿宋_GBK" w:hAnsi="方正仿宋_GBK" w:eastAsia="方正仿宋_GBK" w:cs="方正仿宋_GBK"/>
          <w:sz w:val="32"/>
          <w:szCs w:val="32"/>
        </w:rPr>
        <w:t>561.26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89.31</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67.16</w:t>
      </w:r>
      <w:r>
        <w:rPr>
          <w:rFonts w:ascii="方正仿宋_GBK" w:hAnsi="方正仿宋_GBK" w:eastAsia="方正仿宋_GBK" w:cs="方正仿宋_GBK"/>
          <w:sz w:val="32"/>
          <w:szCs w:val="32"/>
          <w:shd w:val="clear" w:color="auto" w:fill="FFFFFF"/>
        </w:rPr>
        <w:t>万元，占10.69%。此外，使用非财政拨款结余和专用结余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10.78</w:t>
      </w:r>
      <w:r>
        <w:rPr>
          <w:rFonts w:ascii="方正仿宋_GBK" w:hAnsi="方正仿宋_GBK" w:eastAsia="方正仿宋_GBK" w:cs="方正仿宋_GBK"/>
          <w:sz w:val="32"/>
          <w:szCs w:val="32"/>
          <w:shd w:val="clear" w:color="auto" w:fill="FFFFFF"/>
        </w:rPr>
        <w:t>万元。</w:t>
      </w:r>
    </w:p>
    <w:p>
      <w:pPr>
        <w:pStyle w:val="6"/>
        <w:shd w:val="clear" w:color="auto" w:fill="FFFFFF"/>
        <w:spacing w:before="0" w:beforeAutospacing="0" w:after="0" w:afterAutospacing="0"/>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639.21</w:t>
      </w:r>
      <w:r>
        <w:rPr>
          <w:rFonts w:ascii="方正仿宋_GBK" w:hAnsi="方正仿宋_GBK" w:eastAsia="方正仿宋_GBK" w:cs="方正仿宋_GBK"/>
          <w:sz w:val="32"/>
          <w:szCs w:val="32"/>
          <w:shd w:val="clear" w:color="auto" w:fill="FFFFFF"/>
        </w:rPr>
        <w:t>万元，与2023年度相比，减少41.15万元，下降6.05%，主要原因是</w:t>
      </w:r>
      <w:r>
        <w:rPr>
          <w:rFonts w:ascii="方正仿宋_GBK" w:eastAsia="方正仿宋_GBK"/>
          <w:sz w:val="32"/>
          <w:szCs w:val="32"/>
        </w:rPr>
        <w:t>提前下达2022年市校外</w:t>
      </w:r>
      <w:r>
        <w:rPr>
          <w:rFonts w:hint="eastAsia" w:ascii="方正仿宋_GBK" w:eastAsia="方正仿宋_GBK"/>
          <w:sz w:val="32"/>
          <w:szCs w:val="32"/>
          <w:lang w:eastAsia="zh-CN"/>
        </w:rPr>
        <w:t>联络</w:t>
      </w:r>
      <w:r>
        <w:rPr>
          <w:rFonts w:ascii="方正仿宋_GBK" w:eastAsia="方正仿宋_GBK"/>
          <w:sz w:val="32"/>
          <w:szCs w:val="32"/>
        </w:rPr>
        <w:t>经费（渝财综〔2021〕64号）专项和少年宫合作办学收入减少。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294.37</w:t>
      </w:r>
      <w:r>
        <w:rPr>
          <w:rFonts w:ascii="方正仿宋_GBK" w:hAnsi="方正仿宋_GBK" w:eastAsia="方正仿宋_GBK" w:cs="方正仿宋_GBK"/>
          <w:sz w:val="32"/>
          <w:szCs w:val="32"/>
          <w:shd w:val="clear" w:color="auto" w:fill="FFFFFF"/>
        </w:rPr>
        <w:t>万元，占46.05%；项目支出</w:t>
      </w:r>
      <w:r>
        <w:rPr>
          <w:rFonts w:ascii="方正仿宋_GBK" w:hAnsi="方正仿宋_GBK" w:eastAsia="方正仿宋_GBK" w:cs="方正仿宋_GBK"/>
          <w:sz w:val="32"/>
          <w:szCs w:val="32"/>
        </w:rPr>
        <w:t>344.84</w:t>
      </w:r>
      <w:r>
        <w:rPr>
          <w:rFonts w:ascii="方正仿宋_GBK" w:hAnsi="方正仿宋_GBK" w:eastAsia="方正仿宋_GBK" w:cs="方正仿宋_GBK"/>
          <w:sz w:val="32"/>
          <w:szCs w:val="32"/>
          <w:shd w:val="clear" w:color="auto" w:fill="FFFFFF"/>
        </w:rPr>
        <w:t>万元，占53.95%；经营支出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sz w:val="32"/>
          <w:szCs w:val="32"/>
          <w:shd w:val="clear" w:color="auto" w:fill="FFFFFF"/>
        </w:rPr>
        <w:t>本年度与上年度均无结转结余</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2024年度财政拨款收、支总计572.04万元。与2022年相比，财政拨款收、支总计各减少22.71万元，下降3.82%。主要原因是</w:t>
      </w:r>
      <w:r>
        <w:rPr>
          <w:rFonts w:ascii="方正仿宋_GBK" w:eastAsia="方正仿宋_GBK"/>
          <w:sz w:val="32"/>
          <w:szCs w:val="32"/>
        </w:rPr>
        <w:t>提前下达2022年市</w:t>
      </w:r>
      <w:r>
        <w:rPr>
          <w:rFonts w:hint="eastAsia" w:ascii="方正仿宋_GBK" w:eastAsia="方正仿宋_GBK"/>
          <w:sz w:val="32"/>
          <w:szCs w:val="32"/>
          <w:lang w:eastAsia="zh-CN"/>
        </w:rPr>
        <w:t>校外联络经费</w:t>
      </w:r>
      <w:r>
        <w:rPr>
          <w:rFonts w:ascii="方正仿宋_GBK" w:eastAsia="方正仿宋_GBK"/>
          <w:sz w:val="32"/>
          <w:szCs w:val="32"/>
        </w:rPr>
        <w:t>（渝财综〔2021〕64号）专项减少。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524.36</w:t>
      </w:r>
      <w:r>
        <w:rPr>
          <w:rFonts w:ascii="方正仿宋_GBK" w:hAnsi="方正仿宋_GBK" w:eastAsia="方正仿宋_GBK" w:cs="方正仿宋_GBK"/>
          <w:sz w:val="32"/>
          <w:szCs w:val="32"/>
          <w:shd w:val="clear" w:color="auto" w:fill="FFFFFF"/>
        </w:rPr>
        <w:t>万元，与2023年度相比，增加124.10万元，增长31.00%。主要原因是本年度增加1人，增人增加费用支出；同时政策性调整职工社保缴存基数并补缴增加。较年初预算数增加8.21万元，增长1.59%。主要原因是调整职工社保缴存基数，财政追加并补缴增加。此外，年初财政拨款结转和结余</w:t>
      </w:r>
      <w:r>
        <w:rPr>
          <w:rFonts w:ascii="方正仿宋_GBK" w:hAnsi="方正仿宋_GBK" w:eastAsia="方正仿宋_GBK" w:cs="方正仿宋_GBK"/>
          <w:sz w:val="32"/>
          <w:szCs w:val="32"/>
        </w:rPr>
        <w:t>10.78</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535.14</w:t>
      </w:r>
      <w:r>
        <w:rPr>
          <w:rFonts w:ascii="方正仿宋_GBK" w:hAnsi="方正仿宋_GBK" w:eastAsia="方正仿宋_GBK" w:cs="方正仿宋_GBK"/>
          <w:sz w:val="32"/>
          <w:szCs w:val="32"/>
          <w:shd w:val="clear" w:color="auto" w:fill="FFFFFF"/>
        </w:rPr>
        <w:t>万元，与2023年度相比，增加55.49万元，增长11.57%。主要原因是本年度增加1人，增人增加费用支出；同时政策性调整职工社保缴存基数并补缴增加。较年初预算数增加18.99万元，增长3.68%。主要原因是政策性调整职工社保缴存基数，财政追加并补缴增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sz w:val="32"/>
          <w:szCs w:val="32"/>
          <w:shd w:val="clear" w:color="auto" w:fill="FFFFFF"/>
        </w:rPr>
        <w:t>本年度与上年度均无结转结余</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479.06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89.52</w:t>
      </w:r>
      <w:r>
        <w:rPr>
          <w:rFonts w:ascii="方正仿宋_GBK" w:hAnsi="方正仿宋_GBK" w:eastAsia="方正仿宋_GBK" w:cs="方正仿宋_GBK"/>
          <w:sz w:val="32"/>
          <w:szCs w:val="32"/>
          <w:shd w:val="clear" w:color="auto" w:fill="FFFFFF"/>
        </w:rPr>
        <w:t>%，较年初预算数增加4.08万元，增长0.86%，主要原因是本年度</w:t>
      </w:r>
      <w:r>
        <w:rPr>
          <w:rFonts w:ascii="方正仿宋_GBK" w:eastAsia="方正仿宋_GBK"/>
          <w:sz w:val="32"/>
          <w:szCs w:val="32"/>
        </w:rPr>
        <w:t>大学生志愿服务西部计划社保专项</w:t>
      </w:r>
      <w:r>
        <w:rPr>
          <w:rFonts w:ascii="方正仿宋_GBK" w:hAnsi="方正仿宋_GBK" w:eastAsia="方正仿宋_GBK" w:cs="方正仿宋_GBK"/>
          <w:sz w:val="32"/>
          <w:szCs w:val="32"/>
          <w:shd w:val="clear" w:color="auto" w:fill="FFFFFF"/>
        </w:rPr>
        <w:t>纳入年初预算增加。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（2）教育支出</w:t>
      </w:r>
      <w:r>
        <w:rPr>
          <w:rFonts w:ascii="方正仿宋_GBK" w:hAnsi="方正仿宋_GBK" w:eastAsia="方正仿宋_GBK" w:cs="方正仿宋_GBK"/>
          <w:sz w:val="32"/>
          <w:szCs w:val="32"/>
        </w:rPr>
        <w:t>0.50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0.09</w:t>
      </w:r>
      <w:r>
        <w:rPr>
          <w:rFonts w:ascii="方正仿宋_GBK" w:hAnsi="方正仿宋_GBK" w:eastAsia="方正仿宋_GBK" w:cs="方正仿宋_GBK"/>
          <w:sz w:val="32"/>
          <w:szCs w:val="32"/>
          <w:shd w:val="clear" w:color="auto" w:fill="FFFFFF"/>
        </w:rPr>
        <w:t>%，较年初预算数减少0.03万元，下降5.66%，主要原因是本年度安排培训的人次减少，培训费用也减少。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（3）社会保障与就业支出</w:t>
      </w:r>
      <w:r>
        <w:rPr>
          <w:rFonts w:ascii="方正仿宋_GBK" w:hAnsi="方正仿宋_GBK" w:eastAsia="方正仿宋_GBK" w:cs="方正仿宋_GBK"/>
          <w:sz w:val="32"/>
          <w:szCs w:val="32"/>
        </w:rPr>
        <w:t>33.81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6.32</w:t>
      </w:r>
      <w:r>
        <w:rPr>
          <w:rFonts w:ascii="方正仿宋_GBK" w:hAnsi="方正仿宋_GBK" w:eastAsia="方正仿宋_GBK" w:cs="方正仿宋_GBK"/>
          <w:sz w:val="32"/>
          <w:szCs w:val="32"/>
          <w:shd w:val="clear" w:color="auto" w:fill="FFFFFF"/>
        </w:rPr>
        <w:t>%，较年初预算数增加11.52万元，增长51.68%，主要原因是政策性调整职工社保缴存基数并补缴增加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（4）卫生健康支出</w:t>
      </w:r>
      <w:r>
        <w:rPr>
          <w:rFonts w:ascii="方正仿宋_GBK" w:hAnsi="方正仿宋_GBK" w:eastAsia="方正仿宋_GBK" w:cs="方正仿宋_GBK"/>
          <w:sz w:val="32"/>
          <w:szCs w:val="32"/>
        </w:rPr>
        <w:t>8.39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1.57</w:t>
      </w:r>
      <w:r>
        <w:rPr>
          <w:rFonts w:ascii="方正仿宋_GBK" w:hAnsi="方正仿宋_GBK" w:eastAsia="方正仿宋_GBK" w:cs="方正仿宋_GBK"/>
          <w:sz w:val="32"/>
          <w:szCs w:val="32"/>
          <w:shd w:val="clear" w:color="auto" w:fill="FFFFFF"/>
        </w:rPr>
        <w:t>%，较年初预算数增加0.29万元，增长3.58%，主要原因是调整职工医疗保险缴存基数增加。</w:t>
      </w:r>
    </w:p>
    <w:p>
      <w:pPr>
        <w:pStyle w:val="6"/>
        <w:shd w:val="clear" w:color="auto" w:fill="FFFFFF"/>
        <w:spacing w:before="0" w:beforeAutospacing="0" w:after="0" w:afterAutospacing="0"/>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住房保障支出13.38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2.50</w:t>
      </w:r>
      <w:r>
        <w:rPr>
          <w:rFonts w:ascii="方正仿宋_GBK" w:hAnsi="方正仿宋_GBK" w:eastAsia="方正仿宋_GBK" w:cs="方正仿宋_GBK"/>
          <w:sz w:val="32"/>
          <w:szCs w:val="32"/>
          <w:shd w:val="clear" w:color="auto" w:fill="FFFFFF"/>
        </w:rPr>
        <w:t>%，较年初预算数增加3.12万元，增长30.41%，主要原因是本年度少年宫调整职工公积金缴存基数增加。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hd w:val="clear" w:color="auto" w:fill="FFFFFF"/>
        <w:adjustRightInd w:val="0"/>
        <w:spacing w:before="0" w:beforeAutospacing="0" w:after="0" w:afterAutospacing="0" w:line="594" w:lineRule="exact"/>
        <w:ind w:firstLine="800" w:firstLineChars="250"/>
        <w:jc w:val="both"/>
        <w:rPr>
          <w:rFonts w:hint="default" w:ascii="方正仿宋_GBK" w:hAnsi="Times New Roman" w:eastAsia="方正仿宋_GBK"/>
          <w:color w:val="FF0000"/>
          <w:sz w:val="32"/>
          <w:szCs w:val="32"/>
        </w:rPr>
      </w:pPr>
      <w:r>
        <w:rPr>
          <w:rFonts w:ascii="方正仿宋_GBK" w:hAnsi="方正仿宋_GBK" w:eastAsia="方正仿宋_GBK" w:cs="方正仿宋_GBK"/>
          <w:sz w:val="32"/>
          <w:szCs w:val="32"/>
          <w:shd w:val="clear" w:color="auto" w:fill="FFFFFF"/>
        </w:rPr>
        <w:t>2024年度一般公共财政拨款基本支出</w:t>
      </w:r>
      <w:r>
        <w:rPr>
          <w:rFonts w:ascii="方正仿宋_GBK" w:hAnsi="方正仿宋_GBK" w:eastAsia="方正仿宋_GBK" w:cs="方正仿宋_GBK"/>
          <w:sz w:val="32"/>
          <w:szCs w:val="32"/>
        </w:rPr>
        <w:t>227.21</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198.80</w:t>
      </w:r>
      <w:r>
        <w:rPr>
          <w:rFonts w:ascii="方正仿宋_GBK" w:hAnsi="方正仿宋_GBK" w:eastAsia="方正仿宋_GBK" w:cs="方正仿宋_GBK"/>
          <w:sz w:val="32"/>
          <w:szCs w:val="32"/>
          <w:shd w:val="clear" w:color="auto" w:fill="FFFFFF"/>
        </w:rPr>
        <w:t>万元，与2023年度相比，增加22.45万元，增长12.73%，主要原因是本年度增加1人，增人增加费用支出；同时政策性调整职工社保缴存基数并补缴增加。人员经费用途主要包括</w:t>
      </w:r>
      <w:r>
        <w:rPr>
          <w:rFonts w:ascii="方正仿宋_GBK" w:hAnsi="Times New Roman" w:eastAsia="方正仿宋_GBK"/>
          <w:sz w:val="32"/>
          <w:szCs w:val="32"/>
        </w:rPr>
        <w:t>基本工资、津贴补贴、奖金、伙食补助费、绩效工资、社会保障缴费、住房公积金、其他工资福利、对个人和家庭补助支出。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28.41</w:t>
      </w:r>
      <w:r>
        <w:rPr>
          <w:rFonts w:ascii="方正仿宋_GBK" w:hAnsi="方正仿宋_GBK" w:eastAsia="方正仿宋_GBK" w:cs="方正仿宋_GBK"/>
          <w:sz w:val="32"/>
          <w:szCs w:val="32"/>
          <w:shd w:val="clear" w:color="auto" w:fill="FFFFFF"/>
        </w:rPr>
        <w:t>万元，与2023年度相比，减少0.93万元，下降3.17%，主要原因是本部门严格落实政府过“紧日子”的要求，压减预算，控制经费支出。公用经费用途主要包括</w:t>
      </w:r>
      <w:r>
        <w:rPr>
          <w:rFonts w:ascii="方正仿宋_GBK" w:hAnsi="Times New Roman" w:eastAsia="方正仿宋_GBK"/>
          <w:sz w:val="32"/>
          <w:szCs w:val="32"/>
        </w:rPr>
        <w:t>办公费、印刷费、邮电费、差旅费、因公出国（境）、公务接待费、劳务费、工会经费、会议费、培训费、其他交通费、其他商品服务支出等。</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36.90</w:t>
      </w:r>
      <w:r>
        <w:rPr>
          <w:rFonts w:ascii="方正仿宋_GBK" w:hAnsi="方正仿宋_GBK" w:eastAsia="方正仿宋_GBK" w:cs="方正仿宋_GBK"/>
          <w:sz w:val="32"/>
          <w:szCs w:val="32"/>
          <w:shd w:val="clear" w:color="auto" w:fill="FFFFFF"/>
        </w:rPr>
        <w:t>万元，与2023年度相比，减少64.23万元，下降63.51%，主要原因是减少</w:t>
      </w:r>
      <w:r>
        <w:rPr>
          <w:rFonts w:ascii="方正仿宋_GBK" w:eastAsia="方正仿宋_GBK"/>
          <w:sz w:val="32"/>
          <w:szCs w:val="32"/>
        </w:rPr>
        <w:t>提前下达2022年市</w:t>
      </w:r>
      <w:r>
        <w:rPr>
          <w:rFonts w:hint="eastAsia" w:ascii="方正仿宋_GBK" w:eastAsia="方正仿宋_GBK"/>
          <w:sz w:val="32"/>
          <w:szCs w:val="32"/>
          <w:lang w:eastAsia="zh-CN"/>
        </w:rPr>
        <w:t>校外联络经费</w:t>
      </w:r>
      <w:r>
        <w:rPr>
          <w:rFonts w:ascii="方正仿宋_GBK" w:eastAsia="方正仿宋_GBK"/>
          <w:sz w:val="32"/>
          <w:szCs w:val="32"/>
        </w:rPr>
        <w:t>（渝财综〔2021〕64号）专项。</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36.90</w:t>
      </w:r>
      <w:r>
        <w:rPr>
          <w:rFonts w:ascii="方正仿宋_GBK" w:hAnsi="方正仿宋_GBK" w:eastAsia="方正仿宋_GBK" w:cs="方正仿宋_GBK"/>
          <w:sz w:val="32"/>
          <w:szCs w:val="32"/>
          <w:shd w:val="clear" w:color="auto" w:fill="FFFFFF"/>
        </w:rPr>
        <w:t>万元，与2023年度相比，减少78.19万元，下降67.94%，主要原因是</w:t>
      </w:r>
      <w:r>
        <w:rPr>
          <w:rFonts w:ascii="方正仿宋_GBK" w:eastAsia="方正仿宋_GBK"/>
          <w:sz w:val="32"/>
          <w:szCs w:val="32"/>
        </w:rPr>
        <w:t>提前下达2022年市</w:t>
      </w:r>
      <w:r>
        <w:rPr>
          <w:rFonts w:hint="eastAsia" w:ascii="方正仿宋_GBK" w:eastAsia="方正仿宋_GBK"/>
          <w:sz w:val="32"/>
          <w:szCs w:val="32"/>
          <w:lang w:eastAsia="zh-CN"/>
        </w:rPr>
        <w:t>校外联络经费</w:t>
      </w:r>
      <w:r>
        <w:rPr>
          <w:rFonts w:ascii="方正仿宋_GBK" w:eastAsia="方正仿宋_GBK"/>
          <w:sz w:val="32"/>
          <w:szCs w:val="32"/>
        </w:rPr>
        <w:t>（渝财综〔2021〕64号）专项减少。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color w:val="FF0000"/>
          <w:sz w:val="32"/>
          <w:szCs w:val="32"/>
          <w:shd w:val="clear" w:color="auto" w:fill="FFFFFF"/>
        </w:rPr>
        <w:t> </w:t>
      </w:r>
      <w:r>
        <w:rPr>
          <w:rFonts w:ascii="方正仿宋_GBK" w:hAnsi="方正仿宋_GBK" w:eastAsia="方正仿宋_GBK" w:cs="方正仿宋_GBK"/>
          <w:sz w:val="32"/>
          <w:szCs w:val="32"/>
          <w:shd w:val="clear" w:color="auto" w:fill="FFFFFF"/>
        </w:rPr>
        <w:t> 2024年度国有资本经营预算财政</w:t>
      </w:r>
      <w:r>
        <w:rPr>
          <w:rFonts w:hint="eastAsia" w:ascii="方正仿宋_GBK" w:hAnsi="方正仿宋_GBK" w:eastAsia="方正仿宋_GBK" w:cs="方正仿宋_GBK"/>
          <w:sz w:val="32"/>
          <w:szCs w:val="32"/>
          <w:shd w:val="clear" w:color="auto" w:fill="FFFFFF"/>
          <w:lang w:eastAsia="zh-CN"/>
        </w:rPr>
        <w:t>拨款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万元。本部门202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6"/>
        <w:snapToGrid w:val="0"/>
        <w:spacing w:before="0" w:beforeAutospacing="0" w:after="0" w:afterAutospacing="0" w:line="600" w:lineRule="exact"/>
        <w:ind w:firstLine="643" w:firstLineChars="200"/>
        <w:jc w:val="both"/>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w:t>
      </w:r>
      <w:r>
        <w:rPr>
          <w:rStyle w:val="10"/>
          <w:rFonts w:hint="eastAsia" w:ascii="黑体" w:hAnsi="黑体" w:eastAsia="黑体" w:cs="黑体"/>
          <w:sz w:val="32"/>
          <w:szCs w:val="32"/>
          <w:shd w:val="clear" w:color="auto" w:fill="FFFFFF"/>
          <w:lang w:eastAsia="zh-CN"/>
        </w:rPr>
        <w:t>三公</w:t>
      </w:r>
      <w:r>
        <w:rPr>
          <w:rStyle w:val="10"/>
          <w:rFonts w:ascii="黑体" w:hAnsi="黑体" w:eastAsia="黑体" w:cs="黑体"/>
          <w:sz w:val="32"/>
          <w:szCs w:val="32"/>
          <w:shd w:val="clear" w:color="auto" w:fill="FFFFFF"/>
        </w:rPr>
        <w:t>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经费支出总体情况说明</w:t>
      </w:r>
    </w:p>
    <w:p>
      <w:pPr>
        <w:pStyle w:val="6"/>
        <w:snapToGrid w:val="0"/>
        <w:spacing w:before="0" w:beforeAutospacing="0" w:after="0" w:afterAutospacing="0" w:line="600" w:lineRule="exact"/>
        <w:ind w:firstLine="640" w:firstLineChars="200"/>
        <w:jc w:val="both"/>
        <w:rPr>
          <w:rFonts w:hint="default" w:ascii="方正仿宋_GBK" w:hAnsi="Times New Roman" w:eastAsia="方正仿宋_GBK"/>
          <w:sz w:val="32"/>
          <w:szCs w:val="32"/>
        </w:rPr>
      </w:pPr>
      <w:r>
        <w:rPr>
          <w:rFonts w:ascii="方正仿宋_GBK" w:hAnsi="方正仿宋_GBK" w:eastAsia="方正仿宋_GBK" w:cs="方正仿宋_GBK"/>
          <w:sz w:val="32"/>
          <w:szCs w:val="32"/>
          <w:shd w:val="clear" w:color="auto" w:fill="FFFFFF"/>
        </w:rPr>
        <w:t>2024年度</w:t>
      </w:r>
      <w:r>
        <w:rPr>
          <w:rFonts w:hint="eastAsia" w:ascii="方正仿宋_GBK" w:hAnsi="方正仿宋_GBK" w:eastAsia="方正仿宋_GBK" w:cs="方正仿宋_GBK"/>
          <w:sz w:val="32"/>
          <w:szCs w:val="32"/>
          <w:shd w:val="clear" w:color="auto" w:fill="FFFFFF"/>
          <w:lang w:eastAsia="zh-CN"/>
        </w:rPr>
        <w:t>三公</w:t>
      </w:r>
      <w:r>
        <w:rPr>
          <w:rFonts w:ascii="方正仿宋_GBK" w:hAnsi="方正仿宋_GBK" w:eastAsia="方正仿宋_GBK" w:cs="方正仿宋_GBK"/>
          <w:sz w:val="32"/>
          <w:szCs w:val="32"/>
          <w:shd w:val="clear" w:color="auto" w:fill="FFFFFF"/>
        </w:rPr>
        <w:t>经费支出共计</w:t>
      </w:r>
      <w:r>
        <w:rPr>
          <w:rFonts w:ascii="方正仿宋_GBK" w:hAnsi="方正仿宋_GBK" w:eastAsia="方正仿宋_GBK" w:cs="方正仿宋_GBK"/>
          <w:sz w:val="32"/>
          <w:szCs w:val="32"/>
        </w:rPr>
        <w:t>1.07</w:t>
      </w:r>
      <w:r>
        <w:rPr>
          <w:rFonts w:ascii="方正仿宋_GBK" w:hAnsi="方正仿宋_GBK" w:eastAsia="方正仿宋_GBK" w:cs="方正仿宋_GBK"/>
          <w:sz w:val="32"/>
          <w:szCs w:val="32"/>
          <w:shd w:val="clear" w:color="auto" w:fill="FFFFFF"/>
        </w:rPr>
        <w:t>万元，较年初预算数减少1.13万元，下降51.36%，主要原因是</w:t>
      </w:r>
      <w:r>
        <w:rPr>
          <w:rFonts w:ascii="方正仿宋_GBK" w:hAnsi="Times New Roman" w:eastAsia="方正仿宋_GBK"/>
          <w:sz w:val="32"/>
          <w:szCs w:val="32"/>
        </w:rPr>
        <w:t>认真贯彻落实中央八项规定精神和厉行节约要求，强化公务接待支出管理。</w:t>
      </w:r>
      <w:r>
        <w:rPr>
          <w:rFonts w:ascii="方正仿宋_GBK" w:hAnsi="方正仿宋_GBK" w:eastAsia="方正仿宋_GBK" w:cs="方正仿宋_GBK"/>
          <w:sz w:val="32"/>
          <w:szCs w:val="32"/>
          <w:shd w:val="clear" w:color="auto" w:fill="FFFFFF"/>
        </w:rPr>
        <w:t>较上年支出数减少0.26万元，下降19.55%，主要原因是</w:t>
      </w:r>
      <w:r>
        <w:rPr>
          <w:rFonts w:ascii="方正仿宋_GBK" w:hAnsi="Times New Roman" w:eastAsia="方正仿宋_GBK"/>
          <w:sz w:val="32"/>
          <w:szCs w:val="32"/>
        </w:rPr>
        <w:t>认真贯彻落实中央八项规定精神和厉行节约要求，强化公务接待支出管理。</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w:t>
      </w:r>
      <w:r>
        <w:rPr>
          <w:rFonts w:hint="eastAsia" w:ascii="楷体" w:hAnsi="楷体" w:eastAsia="楷体" w:cs="楷体"/>
          <w:b/>
          <w:bCs/>
          <w:sz w:val="32"/>
          <w:szCs w:val="32"/>
          <w:shd w:val="clear" w:color="auto" w:fill="FFFFFF"/>
          <w:lang w:eastAsia="zh-CN"/>
        </w:rPr>
        <w:t>三公</w:t>
      </w:r>
      <w:r>
        <w:rPr>
          <w:rFonts w:ascii="楷体" w:hAnsi="楷体" w:eastAsia="楷体" w:cs="楷体"/>
          <w:b/>
          <w:bCs/>
          <w:sz w:val="32"/>
          <w:szCs w:val="32"/>
          <w:shd w:val="clear" w:color="auto" w:fill="FFFFFF"/>
        </w:rPr>
        <w:t>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部门因公出国（境）费用0.00万元。费用支出较年初预算数无增减，主要原因是年初预算未安排因公出国（境）费用，也未发生因公出国（境）费用。较上年支出数无增减，主要原因是上年和本年均未发生因公出国（境）费用。 </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Times New Roman" w:eastAsia="方正仿宋_GBK"/>
          <w:sz w:val="32"/>
          <w:szCs w:val="32"/>
        </w:rPr>
      </w:pPr>
      <w:r>
        <w:rPr>
          <w:rFonts w:ascii="方正仿宋_GBK" w:hAnsi="方正仿宋_GBK" w:eastAsia="方正仿宋_GBK" w:cs="方正仿宋_GBK"/>
          <w:sz w:val="32"/>
          <w:szCs w:val="32"/>
          <w:shd w:val="clear" w:color="auto" w:fill="FFFFFF"/>
        </w:rPr>
        <w:t xml:space="preserve"> 公务车运行维护费0.00万元。费用支出较年初预算数无增减，主要原因是年初预算未安排且本年未发生公务车运行维护费用。较上年支出数无增减，主要原因是上年和本年均未发生公务车运行维护费用。</w:t>
      </w:r>
    </w:p>
    <w:p>
      <w:pPr>
        <w:pStyle w:val="6"/>
        <w:shd w:val="clear" w:color="auto" w:fill="FFFFFF"/>
        <w:adjustRightInd w:val="0"/>
        <w:spacing w:before="0" w:beforeAutospacing="0" w:after="0" w:afterAutospacing="0" w:line="594" w:lineRule="exact"/>
        <w:ind w:firstLine="640" w:firstLineChars="200"/>
        <w:jc w:val="both"/>
        <w:rPr>
          <w:rFonts w:hint="default" w:ascii="方正仿宋_GBK" w:hAnsi="Times New Roman" w:eastAsia="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1.07</w:t>
      </w:r>
      <w:r>
        <w:rPr>
          <w:rFonts w:ascii="方正仿宋_GBK" w:hAnsi="方正仿宋_GBK" w:eastAsia="方正仿宋_GBK" w:cs="方正仿宋_GBK"/>
          <w:sz w:val="32"/>
          <w:szCs w:val="32"/>
          <w:shd w:val="clear" w:color="auto" w:fill="FFFFFF"/>
        </w:rPr>
        <w:t>万元，主要用于接待</w:t>
      </w:r>
      <w:bookmarkStart w:id="0" w:name="_GoBack"/>
      <w:bookmarkEnd w:id="0"/>
      <w:r>
        <w:rPr>
          <w:rFonts w:ascii="方正仿宋_GBK" w:hAnsi="Times New Roman" w:eastAsia="方正仿宋_GBK"/>
          <w:sz w:val="32"/>
          <w:szCs w:val="32"/>
        </w:rPr>
        <w:t>市、其他区县到我单位学习调研共青团和少年宫工作，接受相关部门检查指导工作及招商引资工作发生的接待支出。</w:t>
      </w:r>
      <w:r>
        <w:rPr>
          <w:rFonts w:ascii="方正仿宋_GBK" w:hAnsi="方正仿宋_GBK" w:eastAsia="方正仿宋_GBK" w:cs="方正仿宋_GBK"/>
          <w:sz w:val="32"/>
          <w:szCs w:val="32"/>
          <w:shd w:val="clear" w:color="auto" w:fill="FFFFFF"/>
        </w:rPr>
        <w:t>费用支出较年初预算数减少1.13万元，下降51.36%，主要原因是</w:t>
      </w:r>
      <w:r>
        <w:rPr>
          <w:rFonts w:ascii="方正仿宋_GBK" w:hAnsi="Times New Roman" w:eastAsia="方正仿宋_GBK"/>
          <w:sz w:val="32"/>
          <w:szCs w:val="32"/>
        </w:rPr>
        <w:t>认真贯彻落实中央八项规定精神和厉行节约要求，强化公务接待支出管理。</w:t>
      </w:r>
      <w:r>
        <w:rPr>
          <w:rFonts w:ascii="方正仿宋_GBK" w:hAnsi="方正仿宋_GBK" w:eastAsia="方正仿宋_GBK" w:cs="方正仿宋_GBK"/>
          <w:sz w:val="32"/>
          <w:szCs w:val="32"/>
          <w:shd w:val="clear" w:color="auto" w:fill="FFFFFF"/>
        </w:rPr>
        <w:t>较上年支出数减少0.26万元，下降19.55%，主要原因是</w:t>
      </w:r>
      <w:r>
        <w:rPr>
          <w:rFonts w:ascii="方正仿宋_GBK" w:hAnsi="Times New Roman" w:eastAsia="方正仿宋_GBK"/>
          <w:sz w:val="32"/>
          <w:szCs w:val="32"/>
        </w:rPr>
        <w:t>一是认真贯彻落实中央八项规定精神和厉行节约要求，从严控制</w:t>
      </w:r>
      <w:r>
        <w:rPr>
          <w:rFonts w:hint="eastAsia" w:ascii="方正仿宋_GBK" w:hAnsi="Times New Roman" w:eastAsia="方正仿宋_GBK"/>
          <w:sz w:val="32"/>
          <w:szCs w:val="32"/>
          <w:lang w:eastAsia="zh-CN"/>
        </w:rPr>
        <w:t>三公</w:t>
      </w:r>
      <w:r>
        <w:rPr>
          <w:rFonts w:ascii="方正仿宋_GBK" w:hAnsi="Times New Roman" w:eastAsia="方正仿宋_GBK"/>
          <w:sz w:val="32"/>
          <w:szCs w:val="32"/>
        </w:rPr>
        <w:t>经费，全年实际支出较年初预算和上年决算均有所下降。二是强化公务接待支出管理，严格遵守公务接待开支范围和开支标准，严格控制陪餐人数，对应由接待对象承担的费用一律由接待对象自行支付，公务接待费下降。</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w:t>
      </w:r>
      <w:r>
        <w:rPr>
          <w:rFonts w:hint="eastAsia" w:ascii="楷体" w:hAnsi="楷体" w:eastAsia="楷体" w:cs="楷体"/>
          <w:b/>
          <w:bCs/>
          <w:sz w:val="32"/>
          <w:szCs w:val="32"/>
          <w:shd w:val="clear" w:color="auto" w:fill="FFFFFF"/>
          <w:lang w:eastAsia="zh-CN"/>
        </w:rPr>
        <w:t>三公</w:t>
      </w:r>
      <w:r>
        <w:rPr>
          <w:rFonts w:ascii="楷体" w:hAnsi="楷体" w:eastAsia="楷体" w:cs="楷体"/>
          <w:b/>
          <w:bCs/>
          <w:sz w:val="32"/>
          <w:szCs w:val="32"/>
          <w:shd w:val="clear" w:color="auto" w:fill="FFFFFF"/>
        </w:rPr>
        <w:t>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18</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125</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人。2024年本部门人均接待费</w:t>
      </w:r>
      <w:r>
        <w:rPr>
          <w:rFonts w:ascii="方正仿宋_GBK" w:hAnsi="方正仿宋_GBK" w:eastAsia="方正仿宋_GBK" w:cs="方正仿宋_GBK"/>
          <w:sz w:val="32"/>
          <w:szCs w:val="32"/>
        </w:rPr>
        <w:t>85.52</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spacing w:before="0" w:beforeAutospacing="0" w:after="0" w:afterAutospacing="0"/>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418" w:firstLineChars="13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0.42</w:t>
      </w:r>
      <w:r>
        <w:rPr>
          <w:rFonts w:ascii="方正仿宋_GBK" w:hAnsi="方正仿宋_GBK" w:eastAsia="方正仿宋_GBK" w:cs="方正仿宋_GBK"/>
          <w:sz w:val="32"/>
          <w:szCs w:val="32"/>
          <w:shd w:val="clear" w:color="auto" w:fill="FFFFFF"/>
        </w:rPr>
        <w:t>万元，与2023年度相比，增加0.33万元，增长366.67%，主要原因是少年宫印制会议材料费用增加。本年度培训费支出</w:t>
      </w:r>
      <w:r>
        <w:rPr>
          <w:rFonts w:ascii="方正仿宋_GBK" w:hAnsi="方正仿宋_GBK" w:eastAsia="方正仿宋_GBK" w:cs="方正仿宋_GBK"/>
          <w:sz w:val="32"/>
          <w:szCs w:val="32"/>
        </w:rPr>
        <w:t>0.50</w:t>
      </w:r>
      <w:r>
        <w:rPr>
          <w:rFonts w:ascii="方正仿宋_GBK" w:hAnsi="方正仿宋_GBK" w:eastAsia="方正仿宋_GBK" w:cs="方正仿宋_GBK"/>
          <w:sz w:val="32"/>
          <w:szCs w:val="32"/>
          <w:shd w:val="clear" w:color="auto" w:fill="FFFFFF"/>
        </w:rPr>
        <w:t>万元，与2023年度相比，增加0.03万元，增长6.38%，主要原因是本年度少年宫安排的岗前培训和中层干部参加专题培训费用增加。</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（二）机关运行经费情况说明</w:t>
      </w:r>
    </w:p>
    <w:p>
      <w:pPr>
        <w:pStyle w:val="6"/>
        <w:spacing w:before="0" w:beforeAutospacing="0" w:after="0" w:afterAutospacing="0" w:line="594" w:lineRule="exact"/>
        <w:ind w:firstLine="640" w:firstLineChars="200"/>
        <w:contextualSpacing/>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2024年度本部门机关运行经费支出</w:t>
      </w:r>
      <w:r>
        <w:rPr>
          <w:rFonts w:ascii="方正仿宋_GBK" w:hAnsi="方正仿宋_GBK" w:eastAsia="方正仿宋_GBK" w:cs="方正仿宋_GBK"/>
          <w:sz w:val="32"/>
          <w:szCs w:val="32"/>
        </w:rPr>
        <w:t>12.66</w:t>
      </w:r>
      <w:r>
        <w:rPr>
          <w:rFonts w:ascii="方正仿宋_GBK" w:hAnsi="方正仿宋_GBK" w:eastAsia="方正仿宋_GBK" w:cs="方正仿宋_GBK"/>
          <w:sz w:val="32"/>
          <w:szCs w:val="32"/>
          <w:shd w:val="clear" w:color="auto" w:fill="FFFFFF"/>
        </w:rPr>
        <w:t>万元，机关运行经费主要用于开支</w:t>
      </w:r>
      <w:r>
        <w:rPr>
          <w:rFonts w:ascii="方正仿宋_GBK" w:hAnsi="Times New Roman" w:eastAsia="方正仿宋_GBK"/>
          <w:sz w:val="32"/>
          <w:szCs w:val="32"/>
        </w:rPr>
        <w:t>办公费、印刷费、邮电费、差旅费、因公出国（境）、公务接待费、劳务费、工会经费、会议费、培训费、其他交通费、其他商品服务支出等。</w:t>
      </w:r>
      <w:r>
        <w:rPr>
          <w:rFonts w:ascii="方正仿宋_GBK" w:hAnsi="方正仿宋_GBK" w:eastAsia="方正仿宋_GBK" w:cs="方正仿宋_GBK"/>
          <w:sz w:val="32"/>
          <w:szCs w:val="32"/>
          <w:shd w:val="clear" w:color="auto" w:fill="FFFFFF"/>
        </w:rPr>
        <w:t>机关运行经费较上年支出数减少1.38万元，下降9.83%，主要原因是本单位严格落实政府过“紧日子”的要求，压减预算，控制经费支出。</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截至2024年12月31日，本部门共有车辆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594" w:lineRule="exact"/>
        <w:ind w:firstLine="800" w:firstLineChars="25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年度我部门未发生政府采购事项，无相关经费支出。</w:t>
      </w:r>
    </w:p>
    <w:p>
      <w:pPr>
        <w:pStyle w:val="6"/>
        <w:snapToGrid w:val="0"/>
        <w:spacing w:before="0" w:beforeAutospacing="0" w:after="0" w:afterAutospacing="0" w:line="600" w:lineRule="exact"/>
        <w:ind w:firstLine="643" w:firstLineChars="200"/>
        <w:jc w:val="both"/>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五、2024年度预算绩效管理情况说明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pPr>
        <w:pStyle w:val="12"/>
        <w:autoSpaceDE w:val="0"/>
        <w:spacing w:before="0" w:beforeAutospacing="0" w:after="0" w:after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根据预算绩效管理要求，我部门对部门整体和6个二级项目开展了绩效自评，涉及财政拨款项目支出资金344.84万元。</w:t>
      </w:r>
    </w:p>
    <w:p>
      <w:pPr>
        <w:pStyle w:val="12"/>
        <w:autoSpaceDE w:val="0"/>
        <w:spacing w:before="0" w:beforeAutospacing="0" w:line="600" w:lineRule="exact"/>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drawing>
          <wp:anchor distT="0" distB="0" distL="114300" distR="114300" simplePos="0" relativeHeight="251659264" behindDoc="0" locked="0" layoutInCell="1" allowOverlap="1">
            <wp:simplePos x="0" y="0"/>
            <wp:positionH relativeFrom="column">
              <wp:posOffset>19050</wp:posOffset>
            </wp:positionH>
            <wp:positionV relativeFrom="paragraph">
              <wp:posOffset>49530</wp:posOffset>
            </wp:positionV>
            <wp:extent cx="5281295" cy="4979035"/>
            <wp:effectExtent l="19050" t="0" r="0" b="0"/>
            <wp:wrapTopAndBottom/>
            <wp:docPr id="3" name="图片 2" descr="团委2024整体绩效评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团委2024整体绩效评价.png"/>
                    <pic:cNvPicPr>
                      <a:picLocks noChangeAspect="1"/>
                    </pic:cNvPicPr>
                  </pic:nvPicPr>
                  <pic:blipFill>
                    <a:blip r:embed="rId7"/>
                    <a:stretch>
                      <a:fillRect/>
                    </a:stretch>
                  </pic:blipFill>
                  <pic:spPr>
                    <a:xfrm>
                      <a:off x="0" y="0"/>
                      <a:ext cx="5281295" cy="4979035"/>
                    </a:xfrm>
                    <a:prstGeom prst="rect">
                      <a:avLst/>
                    </a:prstGeom>
                  </pic:spPr>
                </pic:pic>
              </a:graphicData>
            </a:graphic>
          </wp:anchor>
        </w:drawing>
      </w:r>
    </w:p>
    <w:p>
      <w:pPr>
        <w:pStyle w:val="12"/>
        <w:autoSpaceDE w:val="0"/>
        <w:spacing w:before="0" w:beforeAutospacing="0" w:line="600" w:lineRule="exact"/>
        <w:rPr>
          <w:rFonts w:ascii="方正仿宋_GBK" w:hAnsi="方正仿宋_GBK" w:eastAsia="方正仿宋_GBK" w:cs="方正仿宋_GBK"/>
          <w:sz w:val="28"/>
          <w:szCs w:val="28"/>
          <w:shd w:val="clear" w:color="auto" w:fill="FFFFFF"/>
        </w:rPr>
      </w:pPr>
      <w:r>
        <w:rPr>
          <w:rFonts w:ascii="方正仿宋_GBK" w:hAnsi="方正仿宋_GBK" w:eastAsia="方正仿宋_GBK" w:cs="方正仿宋_GBK"/>
          <w:sz w:val="28"/>
          <w:szCs w:val="28"/>
        </w:rPr>
        <w:drawing>
          <wp:anchor distT="0" distB="0" distL="114300" distR="114300" simplePos="0" relativeHeight="251661312" behindDoc="0" locked="0" layoutInCell="1" allowOverlap="1">
            <wp:simplePos x="0" y="0"/>
            <wp:positionH relativeFrom="column">
              <wp:posOffset>19050</wp:posOffset>
            </wp:positionH>
            <wp:positionV relativeFrom="paragraph">
              <wp:posOffset>9525</wp:posOffset>
            </wp:positionV>
            <wp:extent cx="5276850" cy="5191125"/>
            <wp:effectExtent l="19050" t="0" r="0" b="0"/>
            <wp:wrapTopAndBottom/>
            <wp:docPr id="5" name="图片 4" descr="校外联专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校外联专项.png"/>
                    <pic:cNvPicPr>
                      <a:picLocks noChangeAspect="1"/>
                    </pic:cNvPicPr>
                  </pic:nvPicPr>
                  <pic:blipFill>
                    <a:blip r:embed="rId8"/>
                    <a:stretch>
                      <a:fillRect/>
                    </a:stretch>
                  </pic:blipFill>
                  <pic:spPr>
                    <a:xfrm>
                      <a:off x="0" y="0"/>
                      <a:ext cx="5276850" cy="5191125"/>
                    </a:xfrm>
                    <a:prstGeom prst="rect">
                      <a:avLst/>
                    </a:prstGeom>
                  </pic:spPr>
                </pic:pic>
              </a:graphicData>
            </a:graphic>
          </wp:anchor>
        </w:drawing>
      </w:r>
    </w:p>
    <w:p>
      <w:pPr>
        <w:pStyle w:val="12"/>
        <w:autoSpaceDE w:val="0"/>
        <w:spacing w:before="0" w:beforeAutospacing="0" w:after="0" w:afterAutospacing="0" w:line="600" w:lineRule="exact"/>
        <w:rPr>
          <w:rFonts w:ascii="楷体" w:hAnsi="楷体" w:eastAsia="楷体" w:cs="楷体"/>
          <w:b/>
          <w:bCs/>
          <w:sz w:val="32"/>
          <w:szCs w:val="32"/>
          <w:shd w:val="clear" w:color="auto" w:fill="FFFFFF"/>
        </w:rPr>
      </w:pPr>
    </w:p>
    <w:p>
      <w:pPr>
        <w:pStyle w:val="12"/>
        <w:autoSpaceDE w:val="0"/>
        <w:spacing w:before="0" w:beforeAutospacing="0" w:after="0" w:afterAutospacing="0" w:line="600" w:lineRule="exact"/>
        <w:rPr>
          <w:rFonts w:ascii="楷体" w:hAnsi="楷体" w:eastAsia="楷体" w:cs="楷体"/>
          <w:b/>
          <w:bCs/>
          <w:sz w:val="32"/>
          <w:szCs w:val="32"/>
          <w:shd w:val="clear" w:color="auto" w:fill="FFFFFF"/>
        </w:rPr>
      </w:pPr>
    </w:p>
    <w:p>
      <w:pPr>
        <w:pStyle w:val="12"/>
        <w:autoSpaceDE w:val="0"/>
        <w:spacing w:before="0" w:beforeAutospacing="0" w:after="0" w:afterAutospacing="0" w:line="600" w:lineRule="exact"/>
        <w:rPr>
          <w:rFonts w:ascii="楷体" w:hAnsi="楷体" w:eastAsia="楷体" w:cs="楷体"/>
          <w:b/>
          <w:bCs/>
          <w:sz w:val="32"/>
          <w:szCs w:val="32"/>
          <w:shd w:val="clear" w:color="auto" w:fill="FFFFFF"/>
        </w:rPr>
      </w:pPr>
    </w:p>
    <w:p>
      <w:pPr>
        <w:pStyle w:val="12"/>
        <w:autoSpaceDE w:val="0"/>
        <w:spacing w:before="0" w:beforeAutospacing="0" w:after="0" w:afterAutospacing="0" w:line="600" w:lineRule="exact"/>
        <w:rPr>
          <w:rFonts w:ascii="楷体" w:hAnsi="楷体" w:eastAsia="楷体" w:cs="楷体"/>
          <w:b/>
          <w:bCs/>
          <w:sz w:val="32"/>
          <w:szCs w:val="32"/>
          <w:shd w:val="clear" w:color="auto" w:fill="FFFFFF"/>
        </w:rPr>
      </w:pPr>
    </w:p>
    <w:p>
      <w:pPr>
        <w:pStyle w:val="12"/>
        <w:autoSpaceDE w:val="0"/>
        <w:spacing w:before="0" w:beforeAutospacing="0" w:after="0" w:afterAutospacing="0" w:line="600" w:lineRule="exact"/>
        <w:rPr>
          <w:rFonts w:ascii="楷体" w:hAnsi="楷体" w:eastAsia="楷体" w:cs="楷体"/>
          <w:b/>
          <w:bCs/>
          <w:sz w:val="32"/>
          <w:szCs w:val="32"/>
          <w:shd w:val="clear" w:color="auto" w:fill="FFFFFF"/>
        </w:rPr>
      </w:pPr>
    </w:p>
    <w:p>
      <w:pPr>
        <w:pStyle w:val="12"/>
        <w:autoSpaceDE w:val="0"/>
        <w:spacing w:before="0" w:beforeAutospacing="0" w:after="0" w:afterAutospacing="0" w:line="600" w:lineRule="exact"/>
        <w:rPr>
          <w:rFonts w:ascii="楷体" w:hAnsi="楷体" w:eastAsia="楷体" w:cs="楷体"/>
          <w:b/>
          <w:bCs/>
          <w:sz w:val="32"/>
          <w:szCs w:val="32"/>
          <w:shd w:val="clear" w:color="auto" w:fill="FFFFFF"/>
        </w:rPr>
      </w:pPr>
    </w:p>
    <w:p>
      <w:pPr>
        <w:pStyle w:val="12"/>
        <w:autoSpaceDE w:val="0"/>
        <w:spacing w:before="0" w:beforeAutospacing="0" w:after="0" w:afterAutospacing="0" w:line="600" w:lineRule="exact"/>
        <w:rPr>
          <w:rFonts w:ascii="楷体" w:hAnsi="楷体" w:eastAsia="楷体" w:cs="楷体"/>
          <w:b/>
          <w:bCs/>
          <w:sz w:val="32"/>
          <w:szCs w:val="32"/>
          <w:shd w:val="clear" w:color="auto" w:fill="FFFFFF"/>
        </w:rPr>
      </w:pPr>
    </w:p>
    <w:p>
      <w:pPr>
        <w:pStyle w:val="12"/>
        <w:autoSpaceDE w:val="0"/>
        <w:spacing w:before="0" w:beforeAutospacing="0" w:after="0" w:afterAutospacing="0" w:line="600" w:lineRule="exact"/>
        <w:rPr>
          <w:rFonts w:ascii="楷体" w:hAnsi="楷体" w:eastAsia="楷体" w:cs="楷体"/>
          <w:b/>
          <w:bCs/>
          <w:sz w:val="32"/>
          <w:szCs w:val="32"/>
          <w:shd w:val="clear" w:color="auto" w:fill="FFFFFF"/>
        </w:rPr>
      </w:pPr>
    </w:p>
    <w:p>
      <w:pPr>
        <w:pStyle w:val="12"/>
        <w:autoSpaceDE w:val="0"/>
        <w:spacing w:before="0" w:beforeAutospacing="0" w:after="0" w:afterAutospacing="0" w:line="600" w:lineRule="exact"/>
        <w:ind w:firstLine="560" w:firstLineChars="200"/>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rPr>
        <w:drawing>
          <wp:anchor distT="0" distB="0" distL="114300" distR="114300" simplePos="0" relativeHeight="251660288" behindDoc="0" locked="0" layoutInCell="1" allowOverlap="1">
            <wp:simplePos x="0" y="0"/>
            <wp:positionH relativeFrom="column">
              <wp:posOffset>19050</wp:posOffset>
            </wp:positionH>
            <wp:positionV relativeFrom="paragraph">
              <wp:posOffset>13970</wp:posOffset>
            </wp:positionV>
            <wp:extent cx="5281295" cy="5135880"/>
            <wp:effectExtent l="19050" t="0" r="0" b="0"/>
            <wp:wrapTopAndBottom/>
            <wp:docPr id="4" name="图片 3" descr="群团发展专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群团发展专项.png"/>
                    <pic:cNvPicPr>
                      <a:picLocks noChangeAspect="1"/>
                    </pic:cNvPicPr>
                  </pic:nvPicPr>
                  <pic:blipFill>
                    <a:blip r:embed="rId9"/>
                    <a:stretch>
                      <a:fillRect/>
                    </a:stretch>
                  </pic:blipFill>
                  <pic:spPr>
                    <a:xfrm>
                      <a:off x="0" y="0"/>
                      <a:ext cx="5281295" cy="5135880"/>
                    </a:xfrm>
                    <a:prstGeom prst="rect">
                      <a:avLst/>
                    </a:prstGeom>
                  </pic:spPr>
                </pic:pic>
              </a:graphicData>
            </a:graphic>
          </wp:anchor>
        </w:drawing>
      </w:r>
      <w:r>
        <w:rPr>
          <w:rFonts w:hint="eastAsia" w:ascii="楷体" w:hAnsi="楷体" w:eastAsia="楷体" w:cs="楷体"/>
          <w:b/>
          <w:bCs/>
          <w:sz w:val="32"/>
          <w:szCs w:val="32"/>
          <w:shd w:val="clear" w:color="auto" w:fill="FFFFFF"/>
        </w:rPr>
        <w:t>（二）部门绩效评价情况</w:t>
      </w:r>
    </w:p>
    <w:p>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本年度我部门未组织开展绩效评价。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4"/>
        <w:autoSpaceDE w:val="0"/>
        <w:spacing w:line="594" w:lineRule="exact"/>
        <w:ind w:firstLine="640"/>
        <w:contextualSpacing/>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本年度县财政局未委托第三方对我部门开展绩效评价。</w:t>
      </w:r>
    </w:p>
    <w:p>
      <w:pPr>
        <w:pStyle w:val="6"/>
        <w:shd w:val="clear" w:color="auto" w:fill="FFFFFF"/>
        <w:spacing w:before="0" w:beforeAutospacing="0" w:after="0" w:afterAutospacing="0"/>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（十二）</w:t>
      </w:r>
      <w:r>
        <w:rPr>
          <w:rStyle w:val="10"/>
          <w:rFonts w:hint="eastAsia" w:ascii="楷体" w:hAnsi="楷体" w:eastAsia="楷体" w:cs="楷体"/>
          <w:sz w:val="32"/>
          <w:szCs w:val="32"/>
          <w:shd w:val="clear" w:color="auto" w:fill="FFFFFF"/>
          <w:lang w:eastAsia="zh-CN"/>
        </w:rPr>
        <w:t>三公</w:t>
      </w:r>
      <w:r>
        <w:rPr>
          <w:rStyle w:val="10"/>
          <w:rFonts w:hint="eastAsia" w:ascii="楷体" w:hAnsi="楷体" w:eastAsia="楷体" w:cs="楷体"/>
          <w:sz w:val="32"/>
          <w:szCs w:val="32"/>
          <w:shd w:val="clear" w:color="auto" w:fill="FFFFFF"/>
        </w:rPr>
        <w:t>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spacing w:before="0" w:beforeAutospacing="0" w:after="0" w:afterAutospacing="0" w:line="594" w:lineRule="exact"/>
        <w:ind w:firstLine="643" w:firstLineChars="200"/>
        <w:jc w:val="both"/>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r>
        <w:rPr>
          <w:rFonts w:ascii="方正仿宋_GBK" w:hAnsi="Times New Roman" w:eastAsia="方正仿宋_GBK"/>
          <w:sz w:val="32"/>
          <w:szCs w:val="32"/>
        </w:rPr>
        <w:t>皮老师   023-74522003</w:t>
      </w:r>
    </w:p>
    <w:p>
      <w:pPr>
        <w:pStyle w:val="6"/>
        <w:snapToGrid w:val="0"/>
        <w:spacing w:before="0" w:beforeAutospacing="0" w:after="0" w:afterAutospacing="0" w:line="600" w:lineRule="exact"/>
        <w:ind w:firstLine="643" w:firstLineChars="200"/>
        <w:jc w:val="both"/>
        <w:rPr>
          <w:rStyle w:val="10"/>
          <w:rFonts w:hint="default"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部门：</w:t>
            </w:r>
            <w:r>
              <w:rPr>
                <w:sz w:val="20"/>
              </w:rPr>
              <w:t>中国共产主义青年团垫江县委员会</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524.36</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546.22</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36.90</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0.50</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67.16</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33.81</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8.39</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13.38</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36.90</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628.43</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639.21</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10.78</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639.21</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639.21</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25" w:type="dxa"/>
        <w:tblInd w:w="0" w:type="dxa"/>
        <w:tblLayout w:type="fixed"/>
        <w:tblCellMar>
          <w:top w:w="0" w:type="dxa"/>
          <w:left w:w="0" w:type="dxa"/>
          <w:bottom w:w="0" w:type="dxa"/>
          <w:right w:w="0" w:type="dxa"/>
        </w:tblCellMar>
      </w:tblPr>
      <w:tblGrid>
        <w:gridCol w:w="1437"/>
        <w:gridCol w:w="3117"/>
        <w:gridCol w:w="1349"/>
        <w:gridCol w:w="1407"/>
        <w:gridCol w:w="1229"/>
        <w:gridCol w:w="1229"/>
        <w:gridCol w:w="1361"/>
        <w:gridCol w:w="1300"/>
        <w:gridCol w:w="1431"/>
        <w:gridCol w:w="1465"/>
      </w:tblGrid>
      <w:tr>
        <w:tblPrEx>
          <w:tblCellMar>
            <w:top w:w="0" w:type="dxa"/>
            <w:left w:w="0" w:type="dxa"/>
            <w:bottom w:w="0" w:type="dxa"/>
            <w:right w:w="0" w:type="dxa"/>
          </w:tblCellMar>
        </w:tblPrEx>
        <w:trPr>
          <w:trHeight w:val="641" w:hRule="atLeast"/>
        </w:trPr>
        <w:tc>
          <w:tcPr>
            <w:tcW w:w="15325"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5903"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sz w:val="20"/>
              </w:rPr>
              <w:t>中国共产主义青年团垫江县委员会</w:t>
            </w:r>
          </w:p>
        </w:tc>
        <w:tc>
          <w:tcPr>
            <w:tcW w:w="14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5903"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554"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4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17"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17"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17"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17"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5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628.43</w:t>
            </w:r>
          </w:p>
        </w:tc>
        <w:tc>
          <w:tcPr>
            <w:tcW w:w="14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561.26</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4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67.16</w:t>
            </w:r>
          </w:p>
        </w:tc>
      </w:tr>
      <w:tr>
        <w:tblPrEx>
          <w:tblCellMar>
            <w:top w:w="0" w:type="dxa"/>
            <w:left w:w="0" w:type="dxa"/>
            <w:bottom w:w="0" w:type="dxa"/>
            <w:right w:w="0" w:type="dxa"/>
          </w:tblCellMar>
        </w:tblPrEx>
        <w:trPr>
          <w:trHeight w:val="348" w:hRule="atLeast"/>
        </w:trPr>
        <w:tc>
          <w:tcPr>
            <w:tcW w:w="14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535.44</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468.28</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67.16</w:t>
            </w:r>
          </w:p>
        </w:tc>
      </w:tr>
      <w:tr>
        <w:tblPrEx>
          <w:tblCellMar>
            <w:top w:w="0" w:type="dxa"/>
            <w:left w:w="0" w:type="dxa"/>
            <w:bottom w:w="0" w:type="dxa"/>
            <w:right w:w="0" w:type="dxa"/>
          </w:tblCellMar>
        </w:tblPrEx>
        <w:trPr>
          <w:trHeight w:val="348" w:hRule="atLeast"/>
        </w:trPr>
        <w:tc>
          <w:tcPr>
            <w:tcW w:w="14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20129</w:t>
            </w:r>
          </w:p>
        </w:tc>
        <w:tc>
          <w:tcPr>
            <w:tcW w:w="31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群众团体事务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535.44</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468.28</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67.16</w:t>
            </w:r>
          </w:p>
        </w:tc>
      </w:tr>
      <w:tr>
        <w:tblPrEx>
          <w:tblCellMar>
            <w:top w:w="0" w:type="dxa"/>
            <w:left w:w="0" w:type="dxa"/>
            <w:bottom w:w="0" w:type="dxa"/>
            <w:right w:w="0" w:type="dxa"/>
          </w:tblCellMar>
        </w:tblPrEx>
        <w:trPr>
          <w:trHeight w:val="348" w:hRule="atLeast"/>
        </w:trPr>
        <w:tc>
          <w:tcPr>
            <w:tcW w:w="14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2012901</w:t>
            </w:r>
          </w:p>
        </w:tc>
        <w:tc>
          <w:tcPr>
            <w:tcW w:w="31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65.47</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65.47</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14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2012902</w:t>
            </w:r>
          </w:p>
        </w:tc>
        <w:tc>
          <w:tcPr>
            <w:tcW w:w="31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7.84</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7.84</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14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2012950</w:t>
            </w:r>
          </w:p>
        </w:tc>
        <w:tc>
          <w:tcPr>
            <w:tcW w:w="31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172.82</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105.66</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67.16</w:t>
            </w:r>
          </w:p>
        </w:tc>
      </w:tr>
      <w:tr>
        <w:tblPrEx>
          <w:tblCellMar>
            <w:top w:w="0" w:type="dxa"/>
            <w:left w:w="0" w:type="dxa"/>
            <w:bottom w:w="0" w:type="dxa"/>
            <w:right w:w="0" w:type="dxa"/>
          </w:tblCellMar>
        </w:tblPrEx>
        <w:trPr>
          <w:trHeight w:val="348" w:hRule="atLeast"/>
        </w:trPr>
        <w:tc>
          <w:tcPr>
            <w:tcW w:w="14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2012999</w:t>
            </w:r>
          </w:p>
        </w:tc>
        <w:tc>
          <w:tcPr>
            <w:tcW w:w="31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其他群众团体事务支出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289.31</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289.31</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14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1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0.50</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4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1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0.50</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4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1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0.50</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14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33.81</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33.81</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4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1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0.01</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0.01</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4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1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0.01</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0.01</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14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33.81</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33.81</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4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20.65</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20.65</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14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10.35</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10.35</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14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14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8.39</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8.39</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4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8.39</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8.39</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4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4.10</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14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4.29</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4.29</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14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13.38</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13.38</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4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13.38</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13.38</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4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13.38</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13.38</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14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1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36.90</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4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1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36.90</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4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2296004</w:t>
            </w:r>
          </w:p>
        </w:tc>
        <w:tc>
          <w:tcPr>
            <w:tcW w:w="31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用于教育事业的彩票公益金支出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36.90</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36.90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70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中国共产主义青年团垫江县委员会</w:t>
            </w: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670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48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5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639.21</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294.37</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344.84</w:t>
            </w:r>
          </w:p>
        </w:tc>
        <w:tc>
          <w:tcPr>
            <w:tcW w:w="1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546.22</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238.29</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307.93</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群众团体事务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546.22</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238.29</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307.93</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65.47</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65.47</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7.84</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7.84</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2012950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172.82</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172.82</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其他群众团体事务支出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300.09</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300.09</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0.50</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0.50</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0.50</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33.81</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33.81</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0.01</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0.01</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0.01</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0.01</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0.01</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33.81</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33.81</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20.65</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20.65</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10.35</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10.35</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8.39</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8.39</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8.39</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8.39</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4.10</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4.29</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4.29</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13.38</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13.38</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13.38</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13.38</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13.38</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13.38</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2296004</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用于教育事业的彩票公益金支出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36.90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36.90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中国共产主义青年团垫江县委员会</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524.36</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479.06</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479.06</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36.90</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33.81</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33.81</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8.39</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8.39</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13.38</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13.38</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36.90</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36.90</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561.26</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572.04</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535.14</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36.90</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10.78</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10.78</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572.04</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572.04</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535.14</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36.90</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487"/>
        <w:gridCol w:w="3895"/>
        <w:gridCol w:w="3306"/>
        <w:gridCol w:w="3300"/>
        <w:gridCol w:w="3334"/>
      </w:tblGrid>
      <w:tr>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8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中国共产主义青年团垫江县委员会</w:t>
            </w: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868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48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48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48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8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535.14</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227.21</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307.94</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479.06</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171.13</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307.93</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群众团体事务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479.06</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171.13</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307.93</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65.47</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65.47</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7.84</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7.84</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2012950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105.66</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105.66</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其他群众团体事务支出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300.09</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300.09</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0.50</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0.50</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0.50</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0.50</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0.50</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0.50</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33.81</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33.81</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0.01</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0.01</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0.01</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0.01</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0.01</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33.81</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33.81</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20.65</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20.65</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10.35</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10.35</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8.39</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8.39</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8.39</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8.39</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4.10</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4.10</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4.29</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4.29</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13.38</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13.38</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13.38</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13.38</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14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13.38</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13.38</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中国共产主义青年团垫江县委员会</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196.00</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28.41</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36.79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6.34</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12.46</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23.00</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57.81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20.65</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10.35</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1.93</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0.25</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3.31</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2.80</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0.42</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2.60</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1.83</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198.80</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28.41</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7"/>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中国共产主义青年团垫江县委员会</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36.90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36.90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36.90</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36.90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36.90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36.90</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36.90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36.90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36.90</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2296004</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用于教育事业的彩票公益金支出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36.90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36.90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36.90</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中国共产主义青年团垫江县委员会</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tblPrEx>
          <w:tblCellMar>
            <w:top w:w="0" w:type="dxa"/>
            <w:left w:w="170" w:type="dxa"/>
            <w:bottom w:w="0" w:type="dxa"/>
            <w:right w:w="170" w:type="dxa"/>
          </w:tblCellMar>
        </w:tblPrEx>
        <w:trPr>
          <w:trHeight w:val="343" w:hRule="atLeast"/>
        </w:trPr>
        <w:tc>
          <w:tcPr>
            <w:tcW w:w="14130"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176"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4"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部门</w:t>
            </w:r>
            <w:r>
              <w:rPr>
                <w:rFonts w:cs="宋体"/>
                <w:color w:val="000000"/>
                <w:kern w:val="2"/>
                <w:sz w:val="20"/>
                <w:szCs w:val="20"/>
              </w:rPr>
              <w:t>：</w:t>
            </w:r>
            <w:r>
              <w:rPr>
                <w:color w:val="000000"/>
                <w:sz w:val="20"/>
              </w:rPr>
              <w:t>中国共产主义青年团垫江县委员会</w:t>
            </w:r>
          </w:p>
        </w:tc>
        <w:tc>
          <w:tcPr>
            <w:tcW w:w="23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w:t>
            </w:r>
            <w:r>
              <w:rPr>
                <w:rFonts w:hint="eastAsia" w:cs="宋体"/>
                <w:b/>
                <w:color w:val="000000"/>
                <w:kern w:val="2"/>
                <w:sz w:val="16"/>
                <w:szCs w:val="16"/>
                <w:lang w:eastAsia="zh-CN"/>
              </w:rPr>
              <w:t>三公</w:t>
            </w:r>
            <w:r>
              <w:rPr>
                <w:rFonts w:cs="宋体"/>
                <w:b/>
                <w:color w:val="000000"/>
                <w:kern w:val="2"/>
                <w:sz w:val="16"/>
                <w:szCs w:val="16"/>
              </w:rPr>
              <w:t>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12.66</w:t>
            </w:r>
          </w:p>
        </w:tc>
      </w:tr>
      <w:tr>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1.07</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1.07</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12.66</w:t>
            </w:r>
          </w:p>
        </w:tc>
      </w:tr>
      <w:tr>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1.07</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1.07</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1.07</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18</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125</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0.42</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0.50</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6.78</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rPr>
      </w:pPr>
      <w:r>
        <w:rPr>
          <w:rFonts w:cs="宋体"/>
          <w:sz w:val="18"/>
          <w:szCs w:val="18"/>
        </w:rPr>
        <w:t>备注：1.本表反映部门本年度财政拨款</w:t>
      </w:r>
      <w:r>
        <w:rPr>
          <w:rFonts w:hint="eastAsia" w:cs="宋体"/>
          <w:sz w:val="18"/>
          <w:szCs w:val="18"/>
          <w:lang w:eastAsia="zh-CN"/>
        </w:rPr>
        <w:t>三公</w:t>
      </w:r>
      <w:r>
        <w:rPr>
          <w:rFonts w:cs="宋体"/>
          <w:sz w:val="18"/>
          <w:szCs w:val="18"/>
        </w:rPr>
        <w:t>经费支出预决算情况。其中，预算数为</w:t>
      </w:r>
      <w:r>
        <w:rPr>
          <w:rFonts w:hint="eastAsia" w:cs="宋体"/>
          <w:sz w:val="18"/>
          <w:szCs w:val="18"/>
          <w:lang w:eastAsia="zh-CN"/>
        </w:rPr>
        <w:t>三公</w:t>
      </w:r>
      <w:r>
        <w:rPr>
          <w:rFonts w:cs="宋体"/>
          <w:sz w:val="18"/>
          <w:szCs w:val="18"/>
        </w:rPr>
        <w:t>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rPr>
                    <w:rFonts w:hint="default"/>
                  </w:rPr>
                  <w:fldChar w:fldCharType="begin"/>
                </w:r>
                <w:r>
                  <w:instrText xml:space="preserve"> PAGE  \* MERGEFORMAT </w:instrText>
                </w:r>
                <w:r>
                  <w:rPr>
                    <w:rFonts w:hint="default"/>
                  </w:rPr>
                  <w:fldChar w:fldCharType="separate"/>
                </w:r>
                <w:r>
                  <w:rPr>
                    <w:rFonts w:hint="default"/>
                  </w:rPr>
                  <w:t>- 15 -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2052" o:spid="_x0000_s2052"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18 -</w:t>
                </w:r>
                <w:r>
                  <w:rPr>
                    <w:rFonts w:hint="default"/>
                  </w:rPr>
                  <w:fldChar w:fldCharType="end"/>
                </w:r>
              </w:p>
            </w:txbxContent>
          </v:textbox>
        </v:shape>
      </w:pict>
    </w:r>
    <w:r>
      <w:rPr>
        <w:rFonts w:hint="default"/>
      </w:rPr>
      <w:pict>
        <v:shape id="_x0000_s2051" o:spid="_x0000_s205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lkNmIwODI1Y2QwNGQxZDFhYmRhZWMyNWM5ZTJhMjUifQ=="/>
  </w:docVars>
  <w:rsids>
    <w:rsidRoot w:val="00B03CCD"/>
    <w:rsid w:val="000A4EE2"/>
    <w:rsid w:val="000C01CC"/>
    <w:rsid w:val="000D7702"/>
    <w:rsid w:val="00124937"/>
    <w:rsid w:val="0014447B"/>
    <w:rsid w:val="001A7A6D"/>
    <w:rsid w:val="001C3854"/>
    <w:rsid w:val="00230A7F"/>
    <w:rsid w:val="00261065"/>
    <w:rsid w:val="00262E3B"/>
    <w:rsid w:val="00277481"/>
    <w:rsid w:val="002B0DC7"/>
    <w:rsid w:val="002D0E5A"/>
    <w:rsid w:val="002E5443"/>
    <w:rsid w:val="0032196C"/>
    <w:rsid w:val="00387202"/>
    <w:rsid w:val="00423C0D"/>
    <w:rsid w:val="00444134"/>
    <w:rsid w:val="0046538B"/>
    <w:rsid w:val="004C12FF"/>
    <w:rsid w:val="004D3E10"/>
    <w:rsid w:val="004F5E67"/>
    <w:rsid w:val="00550ABE"/>
    <w:rsid w:val="005753D0"/>
    <w:rsid w:val="005B023C"/>
    <w:rsid w:val="005B121D"/>
    <w:rsid w:val="00600322"/>
    <w:rsid w:val="006137D7"/>
    <w:rsid w:val="00634FA8"/>
    <w:rsid w:val="0063613A"/>
    <w:rsid w:val="00644D0C"/>
    <w:rsid w:val="00663587"/>
    <w:rsid w:val="006717E5"/>
    <w:rsid w:val="00675D13"/>
    <w:rsid w:val="006E2034"/>
    <w:rsid w:val="00720D2E"/>
    <w:rsid w:val="00732392"/>
    <w:rsid w:val="00765B14"/>
    <w:rsid w:val="00792285"/>
    <w:rsid w:val="007A0D2E"/>
    <w:rsid w:val="007A3314"/>
    <w:rsid w:val="007B419D"/>
    <w:rsid w:val="00810F13"/>
    <w:rsid w:val="008175B8"/>
    <w:rsid w:val="00870999"/>
    <w:rsid w:val="008E305D"/>
    <w:rsid w:val="00944711"/>
    <w:rsid w:val="009821E3"/>
    <w:rsid w:val="00984852"/>
    <w:rsid w:val="009B67B8"/>
    <w:rsid w:val="00A03B1E"/>
    <w:rsid w:val="00A21549"/>
    <w:rsid w:val="00A473AF"/>
    <w:rsid w:val="00A52D9E"/>
    <w:rsid w:val="00A67739"/>
    <w:rsid w:val="00A820B7"/>
    <w:rsid w:val="00AC5566"/>
    <w:rsid w:val="00B03CCD"/>
    <w:rsid w:val="00B06441"/>
    <w:rsid w:val="00B40138"/>
    <w:rsid w:val="00B63D61"/>
    <w:rsid w:val="00BB382F"/>
    <w:rsid w:val="00BF5A85"/>
    <w:rsid w:val="00C307F6"/>
    <w:rsid w:val="00C96B11"/>
    <w:rsid w:val="00CB7654"/>
    <w:rsid w:val="00CC6B99"/>
    <w:rsid w:val="00D11284"/>
    <w:rsid w:val="00D15419"/>
    <w:rsid w:val="00DF7706"/>
    <w:rsid w:val="00E05175"/>
    <w:rsid w:val="00E17088"/>
    <w:rsid w:val="00E654E2"/>
    <w:rsid w:val="00E76362"/>
    <w:rsid w:val="00ED0E45"/>
    <w:rsid w:val="00F137D3"/>
    <w:rsid w:val="00F13C36"/>
    <w:rsid w:val="00F23C68"/>
    <w:rsid w:val="00F32C53"/>
    <w:rsid w:val="00F73F90"/>
    <w:rsid w:val="00F7623D"/>
    <w:rsid w:val="00F8598B"/>
    <w:rsid w:val="00FA0819"/>
    <w:rsid w:val="00FA444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4FF4660A"/>
    <w:rsid w:val="50F06B6E"/>
    <w:rsid w:val="511C4FE5"/>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946059A"/>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66447C"/>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281D4D"/>
    <w:rsid w:val="754758CF"/>
    <w:rsid w:val="764F62AB"/>
    <w:rsid w:val="765C45EC"/>
    <w:rsid w:val="768A7619"/>
    <w:rsid w:val="772E1EBA"/>
    <w:rsid w:val="77904C87"/>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link w:val="17"/>
    <w:qFormat/>
    <w:uiPriority w:val="99"/>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_Style 1"/>
    <w:basedOn w:val="1"/>
    <w:semiHidden/>
    <w:qFormat/>
    <w:uiPriority w:val="99"/>
    <w:pPr>
      <w:ind w:firstLine="420" w:firstLineChars="200"/>
    </w:pPr>
    <w:rPr>
      <w:rFonts w:hint="default" w:cs="宋体"/>
    </w:rPr>
  </w:style>
  <w:style w:type="character" w:customStyle="1" w:styleId="17">
    <w:name w:val="页眉 字符"/>
    <w:basedOn w:val="9"/>
    <w:link w:val="4"/>
    <w:uiPriority w:val="99"/>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10996</Words>
  <Characters>14238</Characters>
  <Lines>119</Lines>
  <Paragraphs>33</Paragraphs>
  <TotalTime>31</TotalTime>
  <ScaleCrop>false</ScaleCrop>
  <LinksUpToDate>false</LinksUpToDate>
  <CharactersWithSpaces>14665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毕欢</cp:lastModifiedBy>
  <dcterms:modified xsi:type="dcterms:W3CDTF">2025-09-15T02:48:38Z</dcterms:modified>
  <dc:title>中国共产主义青年团垫江县委员会</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0DF320FD913E4E1BA94D8E751F1D601F_13</vt:lpwstr>
  </property>
  <property fmtid="{D5CDD505-2E9C-101B-9397-08002B2CF9AE}" pid="4" name="KSOTemplateDocerSaveRecord">
    <vt:lpwstr>eyJoZGlkIjoiMDUwMjYyMTAwZTM5NTcxOGVhNzI3YWZjMDRhMjZkZDEifQ==</vt:lpwstr>
  </property>
</Properties>
</file>