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垫江县少年宫</w:t>
      </w: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spacing w:before="0"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 组织开展全县青少年校外教育活动和培训。开展科学技术知识普及教育，体育活动，文化艺术活动，游戏娱乐活动，生活劳动与社会实践活动等；</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 开展青少年交流活动；</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 加强校外教育文化理论的学习和研究；</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4. 积极促进校外活动与学校教育的有效衔接。</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color w:val="FF0000"/>
          <w:sz w:val="32"/>
          <w:szCs w:val="32"/>
        </w:rPr>
      </w:pPr>
      <w:r>
        <w:rPr>
          <w:rFonts w:ascii="方正仿宋_GBK" w:hAnsi="Times New Roman" w:eastAsia="方正仿宋_GBK"/>
          <w:color w:val="333333"/>
          <w:sz w:val="32"/>
          <w:szCs w:val="32"/>
          <w:shd w:val="clear" w:color="auto" w:fill="FFFFFF"/>
        </w:rPr>
        <w:t>垫江县少年宫内根据上述职能职责设1个内设机构：办公室。核定编制7名，临聘工作人员4名。2024年年末实有在职职工6人，临聘工作人员3名，西部计划志愿者4名。</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2024年度收入总计243.01万元，支出总计</w:t>
      </w:r>
      <w:r>
        <w:rPr>
          <w:rFonts w:ascii="方正仿宋_GBK" w:hAnsi="方正仿宋_GBK" w:eastAsia="方正仿宋_GBK" w:cs="方正仿宋_GBK"/>
          <w:sz w:val="32"/>
          <w:szCs w:val="32"/>
        </w:rPr>
        <w:t>243.01</w:t>
      </w:r>
      <w:r>
        <w:rPr>
          <w:rFonts w:ascii="方正仿宋_GBK" w:hAnsi="方正仿宋_GBK" w:eastAsia="方正仿宋_GBK" w:cs="方正仿宋_GBK"/>
          <w:sz w:val="32"/>
          <w:szCs w:val="32"/>
          <w:shd w:val="clear" w:color="auto" w:fill="FFFFFF"/>
        </w:rPr>
        <w:t>万元。收、支与2023年度相比，减少4.99万元，下降2.01%，主要原因是少年宫合作办学事业收入支出减少。</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2024年度收入合计243.01万元，与2023年度相比，增加8.97万元，增长3.83%，主要原因是少年宫社保缴费政策性调整补缴。其中：财政拨款收入</w:t>
      </w:r>
      <w:r>
        <w:rPr>
          <w:rFonts w:ascii="方正仿宋_GBK" w:hAnsi="方正仿宋_GBK" w:eastAsia="方正仿宋_GBK" w:cs="方正仿宋_GBK"/>
          <w:sz w:val="32"/>
          <w:szCs w:val="32"/>
        </w:rPr>
        <w:t>175.84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72.36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67.16</w:t>
      </w:r>
      <w:r>
        <w:rPr>
          <w:rFonts w:ascii="方正仿宋_GBK" w:hAnsi="方正仿宋_GBK" w:eastAsia="方正仿宋_GBK" w:cs="方正仿宋_GBK"/>
          <w:sz w:val="32"/>
          <w:szCs w:val="32"/>
          <w:shd w:val="clear" w:color="auto" w:fill="FFFFFF"/>
        </w:rPr>
        <w:t>万元，占27.64%。此外，使用非财政拨款结余和专用结余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243.01</w:t>
      </w:r>
      <w:r>
        <w:rPr>
          <w:rFonts w:ascii="方正仿宋_GBK" w:hAnsi="方正仿宋_GBK" w:eastAsia="方正仿宋_GBK" w:cs="方正仿宋_GBK"/>
          <w:sz w:val="32"/>
          <w:szCs w:val="32"/>
          <w:shd w:val="clear" w:color="auto" w:fill="FFFFFF"/>
        </w:rPr>
        <w:t>万元，与2023年度相比，减少4.99万元，下降2.01%，主要原因是少年宫合作办学事业支出减少。其中：基本支出</w:t>
      </w:r>
      <w:r>
        <w:rPr>
          <w:rFonts w:ascii="方正仿宋_GBK" w:hAnsi="方正仿宋_GBK" w:eastAsia="方正仿宋_GBK" w:cs="方正仿宋_GBK"/>
          <w:sz w:val="32"/>
          <w:szCs w:val="32"/>
        </w:rPr>
        <w:t>206.11</w:t>
      </w:r>
      <w:r>
        <w:rPr>
          <w:rFonts w:ascii="方正仿宋_GBK" w:hAnsi="方正仿宋_GBK" w:eastAsia="方正仿宋_GBK" w:cs="方正仿宋_GBK"/>
          <w:sz w:val="32"/>
          <w:szCs w:val="32"/>
          <w:shd w:val="clear" w:color="auto" w:fill="FFFFFF"/>
        </w:rPr>
        <w:t>万元，占84.82%；项目支出</w:t>
      </w:r>
      <w:r>
        <w:rPr>
          <w:rFonts w:ascii="方正仿宋_GBK" w:hAnsi="方正仿宋_GBK" w:eastAsia="方正仿宋_GBK" w:cs="方正仿宋_GBK"/>
          <w:sz w:val="32"/>
          <w:szCs w:val="32"/>
        </w:rPr>
        <w:t>36.90</w:t>
      </w:r>
      <w:r>
        <w:rPr>
          <w:rFonts w:ascii="方正仿宋_GBK" w:hAnsi="方正仿宋_GBK" w:eastAsia="方正仿宋_GBK" w:cs="方正仿宋_GBK"/>
          <w:sz w:val="32"/>
          <w:szCs w:val="32"/>
          <w:shd w:val="clear" w:color="auto" w:fill="FFFFFF"/>
        </w:rPr>
        <w:t>万元，占15.18%；经营支出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6"/>
        <w:ind w:left="360" w:firstLine="0" w:firstLineChars="0"/>
        <w:rPr>
          <w:rFonts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2024年度财政拨款收、支总计175.84万元。与2023年相比，财政拨款收、支总计各增加13.44万元，增长8.28%。主要原因是少年宫社保缴费政策性调整补缴。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138.94</w:t>
      </w:r>
      <w:r>
        <w:rPr>
          <w:rFonts w:ascii="方正仿宋_GBK" w:hAnsi="方正仿宋_GBK" w:eastAsia="方正仿宋_GBK" w:cs="方正仿宋_GBK"/>
          <w:sz w:val="32"/>
          <w:szCs w:val="32"/>
          <w:shd w:val="clear" w:color="auto" w:fill="FFFFFF"/>
        </w:rPr>
        <w:t>万元，与2023年度相比，增加20.61万元，增长17.42%。主要原因是少年宫社保缴费政策性调整补缴。较年初预算数增加18.45万元，增长15.31%。主要原因是少年宫社保缴费政策性调整补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138.94</w:t>
      </w:r>
      <w:r>
        <w:rPr>
          <w:rFonts w:ascii="方正仿宋_GBK" w:hAnsi="方正仿宋_GBK" w:eastAsia="方正仿宋_GBK" w:cs="方正仿宋_GBK"/>
          <w:sz w:val="32"/>
          <w:szCs w:val="32"/>
          <w:shd w:val="clear" w:color="auto" w:fill="FFFFFF"/>
        </w:rPr>
        <w:t>万元，与2023年度相比，增加20.61万元，增长17.42%。主要原因是少年宫社保缴费政策性调整补缴。较年初预算数增加18.45万元，增长15.31%。主要原因是少年宫社保缴费政策性调整补缴。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105.66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76.04</w:t>
      </w:r>
      <w:r>
        <w:rPr>
          <w:rFonts w:ascii="方正仿宋_GBK" w:hAnsi="方正仿宋_GBK" w:eastAsia="方正仿宋_GBK" w:cs="方正仿宋_GBK"/>
          <w:sz w:val="32"/>
          <w:szCs w:val="32"/>
          <w:shd w:val="clear" w:color="auto" w:fill="FFFFFF"/>
        </w:rPr>
        <w:t>%，较年初预算数增加5.22万元，增长5.20%，主要原因是本单位本年度增加1人，增人增加经费支出。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%，较年初预算数减少0.03万元，下降9.09%，主要原因是本年度安排培训的人次减少，培训费用也减少。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15.08</w:t>
      </w:r>
      <w:r>
        <w:rPr>
          <w:rFonts w:ascii="方正仿宋_GBK" w:hAnsi="方正仿宋_GBK" w:eastAsia="方正仿宋_GBK" w:cs="方正仿宋_GBK"/>
          <w:sz w:val="32"/>
          <w:szCs w:val="32"/>
          <w:shd w:val="clear" w:color="auto" w:fill="FFFFFF"/>
        </w:rPr>
        <w:t>%，较年初预算数增加10.66万元，增长103.60%，主要原因是少年宫社保缴费政策性调整补缴。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%，较年初预算数无增减，与年初预算数持平。</w:t>
      </w:r>
    </w:p>
    <w:p>
      <w:pPr>
        <w:pStyle w:val="6"/>
        <w:shd w:val="clear" w:color="auto" w:fill="FFFFFF"/>
        <w:spacing w:before="0" w:beforeAutospacing="0" w:after="0" w:afterAutospacing="0"/>
        <w:rPr>
          <w:rFonts w:hint="default" w:ascii="方正仿宋_GBK" w:hAnsi="方正仿宋_GBK" w:eastAsia="方正仿宋_GBK" w:cs="方正仿宋_GBK"/>
          <w:color w:val="FF0000"/>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 xml:space="preserve">  （5）</w:t>
      </w:r>
      <w:r>
        <w:rPr>
          <w:rFonts w:ascii="方正仿宋_GBK" w:hAnsi="方正仿宋_GBK" w:eastAsia="方正仿宋_GBK" w:cs="方正仿宋_GBK"/>
          <w:sz w:val="32"/>
          <w:szCs w:val="32"/>
        </w:rPr>
        <w:t>住房保障支出7.74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5.57</w:t>
      </w:r>
      <w:r>
        <w:rPr>
          <w:rFonts w:ascii="方正仿宋_GBK" w:hAnsi="方正仿宋_GBK" w:eastAsia="方正仿宋_GBK" w:cs="方正仿宋_GBK"/>
          <w:sz w:val="32"/>
          <w:szCs w:val="32"/>
          <w:shd w:val="clear" w:color="auto" w:fill="FFFFFF"/>
        </w:rPr>
        <w:t>%，较年初预算数增加2.60万元，增长50.58%，主要原因是本年度调整职工公积金缴存基数增加。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138.94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123.19</w:t>
      </w:r>
      <w:r>
        <w:rPr>
          <w:rFonts w:ascii="方正仿宋_GBK" w:hAnsi="方正仿宋_GBK" w:eastAsia="方正仿宋_GBK" w:cs="方正仿宋_GBK"/>
          <w:sz w:val="32"/>
          <w:szCs w:val="32"/>
          <w:shd w:val="clear" w:color="auto" w:fill="FFFFFF"/>
        </w:rPr>
        <w:t>万元，与2023年度相比，增加20.15万元，增长19.56%，主要原因是少年宫社保缴费政策性调整补缴。人员经费用途主要包括</w:t>
      </w:r>
      <w:r>
        <w:rPr>
          <w:rFonts w:ascii="方正仿宋_GBK" w:hAnsi="Times New Roman"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15.76</w:t>
      </w:r>
      <w:r>
        <w:rPr>
          <w:rFonts w:ascii="方正仿宋_GBK" w:hAnsi="方正仿宋_GBK" w:eastAsia="方正仿宋_GBK" w:cs="方正仿宋_GBK"/>
          <w:sz w:val="32"/>
          <w:szCs w:val="32"/>
          <w:shd w:val="clear" w:color="auto" w:fill="FFFFFF"/>
        </w:rPr>
        <w:t>万元，与2023年度相比，增加0.46万元，增长3.01%，主要原因是本单位本年度增加1人，增人增加公用经费支出。公用经费用途主要包括</w:t>
      </w:r>
      <w:r>
        <w:rPr>
          <w:rFonts w:ascii="方正仿宋_GBK" w:hAnsi="Times New Roman" w:eastAsia="方正仿宋_GBK"/>
          <w:sz w:val="32"/>
          <w:szCs w:val="32"/>
        </w:rPr>
        <w:t>办公费、印刷费、邮电费、差旅费、因公出国（境）、公务接待费、劳务费、工会经费、会议费、培训费、其他交通费、其他商品服务支出等。</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800" w:firstLineChars="25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36.90</w:t>
      </w:r>
      <w:r>
        <w:rPr>
          <w:rFonts w:ascii="方正仿宋_GBK" w:hAnsi="方正仿宋_GBK" w:eastAsia="方正仿宋_GBK" w:cs="方正仿宋_GBK"/>
          <w:sz w:val="32"/>
          <w:szCs w:val="32"/>
          <w:shd w:val="clear" w:color="auto" w:fill="FFFFFF"/>
        </w:rPr>
        <w:t>万元，与2023年度相比，增加6.80万元，增长22.59%，主要原因是</w:t>
      </w:r>
      <w:r>
        <w:rPr>
          <w:rFonts w:ascii="方正仿宋_GBK" w:eastAsia="方正仿宋_GBK"/>
          <w:sz w:val="32"/>
          <w:szCs w:val="32"/>
        </w:rPr>
        <w:t>青少年校外公益活动项目补助资金增加。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36.90</w:t>
      </w:r>
      <w:r>
        <w:rPr>
          <w:rFonts w:ascii="方正仿宋_GBK" w:hAnsi="方正仿宋_GBK" w:eastAsia="方正仿宋_GBK" w:cs="方正仿宋_GBK"/>
          <w:sz w:val="32"/>
          <w:szCs w:val="32"/>
          <w:shd w:val="clear" w:color="auto" w:fill="FFFFFF"/>
        </w:rPr>
        <w:t>万元，与2023年度相比，减少7.16万元，下降16.25%，主要原因是</w:t>
      </w:r>
      <w:r>
        <w:rPr>
          <w:rFonts w:ascii="方正仿宋_GBK" w:eastAsia="方正仿宋_GBK"/>
          <w:sz w:val="32"/>
          <w:szCs w:val="32"/>
        </w:rPr>
        <w:t>青少年校外公益活动项目补助资金支出减少。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w:t>
      </w:r>
      <w:r>
        <w:rPr>
          <w:rFonts w:hint="eastAsia" w:ascii="楷体" w:hAnsi="楷体" w:eastAsia="楷体" w:cs="楷体"/>
          <w:b/>
          <w:bCs/>
          <w:sz w:val="32"/>
          <w:szCs w:val="32"/>
          <w:shd w:val="clear" w:color="auto" w:fill="FFFFFF"/>
          <w:lang w:eastAsia="zh-CN"/>
        </w:rPr>
        <w:t>国有资本经营预算财政拨款</w:t>
      </w:r>
      <w:r>
        <w:rPr>
          <w:rFonts w:ascii="楷体" w:hAnsi="楷体" w:eastAsia="楷体" w:cs="楷体"/>
          <w:b/>
          <w:bCs/>
          <w:sz w:val="32"/>
          <w:szCs w:val="32"/>
          <w:shd w:val="clear" w:color="auto" w:fill="FFFFFF"/>
        </w:rPr>
        <w:t>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国有资本经营预算财政拨</w:t>
      </w:r>
      <w:bookmarkStart w:id="0" w:name="_GoBack"/>
      <w:bookmarkEnd w:id="0"/>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w:t>
      </w:r>
      <w:r>
        <w:rPr>
          <w:rFonts w:hint="eastAsia" w:ascii="方正仿宋_GBK" w:hAnsi="方正仿宋_GBK" w:eastAsia="方正仿宋_GBK" w:cs="方正仿宋_GBK"/>
          <w:sz w:val="32"/>
          <w:szCs w:val="32"/>
          <w:shd w:val="clear" w:color="auto" w:fill="FFFFFF"/>
          <w:lang w:eastAsia="zh-CN"/>
        </w:rPr>
        <w:t>国有资本经营预算财政拨款</w:t>
      </w:r>
      <w:r>
        <w:rPr>
          <w:rFonts w:ascii="方正仿宋_GBK" w:hAnsi="方正仿宋_GBK" w:eastAsia="方正仿宋_GBK" w:cs="方正仿宋_GBK"/>
          <w:sz w:val="32"/>
          <w:szCs w:val="32"/>
          <w:shd w:val="clear" w:color="auto" w:fill="FFFFFF"/>
        </w:rPr>
        <w:t>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800" w:firstLineChars="25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万元，较年初预算数减少0.91万元，下降91.00%，主要原因是</w:t>
      </w:r>
      <w:r>
        <w:rPr>
          <w:rFonts w:ascii="方正仿宋_GBK" w:hAnsi="Times New Roman" w:eastAsia="方正仿宋_GBK"/>
          <w:sz w:val="32"/>
          <w:szCs w:val="32"/>
        </w:rPr>
        <w:t>认真贯彻落实中央八项规定精神和厉行节约要求，强化公务接待支出管理。</w:t>
      </w:r>
      <w:r>
        <w:rPr>
          <w:rFonts w:ascii="方正仿宋_GBK" w:hAnsi="方正仿宋_GBK" w:eastAsia="方正仿宋_GBK" w:cs="方正仿宋_GBK"/>
          <w:sz w:val="32"/>
          <w:szCs w:val="32"/>
          <w:shd w:val="clear" w:color="auto" w:fill="FFFFFF"/>
        </w:rPr>
        <w:t>较上年支出数减少0.06万元，下降40.00%，主要原因是</w:t>
      </w:r>
      <w:r>
        <w:rPr>
          <w:rFonts w:ascii="方正仿宋_GBK" w:hAnsi="Times New Roman" w:eastAsia="方正仿宋_GBK"/>
          <w:sz w:val="32"/>
          <w:szCs w:val="32"/>
        </w:rPr>
        <w:t>认真贯彻落实中央八项规定精神和厉行节约要求，强化公务接待支出管理。</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ascii="楷体" w:hAnsi="楷体" w:eastAsia="楷体" w:cs="楷体"/>
          <w:b/>
          <w:bCs/>
          <w:sz w:val="32"/>
          <w:szCs w:val="32"/>
          <w:shd w:val="clear" w:color="auto" w:fill="FFFFFF"/>
        </w:rPr>
        <w:t>经费分项支出情况</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万元，主要用于接待</w:t>
      </w:r>
      <w:r>
        <w:rPr>
          <w:rFonts w:ascii="方正仿宋_GBK" w:eastAsia="方正仿宋_GBK"/>
          <w:sz w:val="32"/>
          <w:szCs w:val="32"/>
        </w:rPr>
        <w:t>重庆中鼎会计事务所来垫江进行财务专项检查和名师工作室来垫江考察。</w:t>
      </w:r>
      <w:r>
        <w:rPr>
          <w:rFonts w:ascii="方正仿宋_GBK" w:hAnsi="方正仿宋_GBK" w:eastAsia="方正仿宋_GBK" w:cs="方正仿宋_GBK"/>
          <w:sz w:val="32"/>
          <w:szCs w:val="32"/>
          <w:shd w:val="clear" w:color="auto" w:fill="FFFFFF"/>
        </w:rPr>
        <w:t>费用支出较年初预算数减少0.91万元，下降91.00%，主要原因是</w:t>
      </w:r>
      <w:r>
        <w:rPr>
          <w:rFonts w:ascii="方正仿宋_GBK" w:hAnsi="Times New Roman" w:eastAsia="方正仿宋_GBK"/>
          <w:sz w:val="32"/>
          <w:szCs w:val="32"/>
        </w:rPr>
        <w:t>认真贯彻落实中央八项规定精神和厉行节约要求，强化公务接待支出管理。</w:t>
      </w:r>
      <w:r>
        <w:rPr>
          <w:rFonts w:ascii="方正仿宋_GBK" w:hAnsi="方正仿宋_GBK" w:eastAsia="方正仿宋_GBK" w:cs="方正仿宋_GBK"/>
          <w:sz w:val="32"/>
          <w:szCs w:val="32"/>
          <w:shd w:val="clear" w:color="auto" w:fill="FFFFFF"/>
        </w:rPr>
        <w:t>较上年支出数减少0.06万元，下降40.00%，主要原因是</w:t>
      </w:r>
      <w:r>
        <w:rPr>
          <w:rFonts w:ascii="方正仿宋_GBK" w:hAnsi="Times New Roman" w:eastAsia="方正仿宋_GBK"/>
          <w:sz w:val="32"/>
          <w:szCs w:val="32"/>
        </w:rPr>
        <w:t>认真贯彻落实中央八项规定精神和厉行节约要求，强化公务接待支出管理。</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74.83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万元，与2023年度相比，增加0.03万元，增长33.33%，主要原因是印制会议材料费用增加。本年度培训费支出</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万元，与2023年度相比，增加0.01万元，增长3.45%，主要原因是本年度安排的岗前培训和中层干部参加专题培训费用增加。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800" w:firstLineChars="25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根据预算绩效管理要求，我单位对1个二级项目开展了绩效自评，涉及财政拨款项目支出资金36.9万元。</w:t>
      </w:r>
    </w:p>
    <w:p>
      <w:pPr>
        <w:pStyle w:val="12"/>
        <w:autoSpaceDE w:val="0"/>
        <w:spacing w:before="0" w:beforeAutospacing="0" w:after="0" w:afterAutospacing="0" w:line="600" w:lineRule="exact"/>
        <w:ind w:firstLine="800" w:firstLineChars="250"/>
        <w:rPr>
          <w:rFonts w:ascii="方正仿宋_GBK" w:hAnsi="方正仿宋_GBK" w:eastAsia="方正仿宋_GBK" w:cs="方正仿宋_GBK"/>
          <w:sz w:val="32"/>
          <w:szCs w:val="32"/>
          <w:highlight w:val="yellow"/>
          <w:shd w:val="clear" w:color="auto" w:fill="FFFFFF"/>
        </w:rPr>
      </w:pPr>
    </w:p>
    <w:p>
      <w:pPr>
        <w:pStyle w:val="12"/>
        <w:autoSpaceDE w:val="0"/>
        <w:spacing w:before="0" w:beforeAutospacing="0" w:after="0" w:afterAutospacing="0" w:line="600" w:lineRule="exact"/>
        <w:ind w:firstLine="800" w:firstLineChars="250"/>
        <w:rPr>
          <w:rFonts w:ascii="方正仿宋_GBK" w:hAnsi="方正仿宋_GBK" w:eastAsia="方正仿宋_GBK" w:cs="方正仿宋_GBK"/>
          <w:sz w:val="32"/>
          <w:szCs w:val="32"/>
          <w:highlight w:val="yellow"/>
          <w:shd w:val="clear" w:color="auto" w:fill="FFFFFF"/>
        </w:rPr>
      </w:pPr>
    </w:p>
    <w:p>
      <w:pPr>
        <w:pStyle w:val="12"/>
        <w:autoSpaceDE w:val="0"/>
        <w:spacing w:before="0" w:beforeAutospacing="0" w:after="0" w:afterAutospacing="0" w:line="600" w:lineRule="exact"/>
        <w:ind w:firstLine="800" w:firstLineChars="250"/>
        <w:rPr>
          <w:rFonts w:ascii="方正仿宋_GBK" w:hAnsi="方正仿宋_GBK" w:eastAsia="方正仿宋_GBK" w:cs="方正仿宋_GBK"/>
          <w:sz w:val="32"/>
          <w:szCs w:val="32"/>
          <w:highlight w:val="yellow"/>
          <w:shd w:val="clear" w:color="auto" w:fill="FFFFFF"/>
        </w:rPr>
      </w:pPr>
    </w:p>
    <w:p>
      <w:pPr>
        <w:pStyle w:val="12"/>
        <w:autoSpaceDE w:val="0"/>
        <w:spacing w:before="0" w:beforeAutospacing="0" w:after="0" w:afterAutospacing="0" w:line="600" w:lineRule="exact"/>
        <w:ind w:firstLine="800" w:firstLineChars="250"/>
        <w:rPr>
          <w:rFonts w:ascii="方正仿宋_GBK" w:hAnsi="方正仿宋_GBK" w:eastAsia="方正仿宋_GBK" w:cs="方正仿宋_GBK"/>
          <w:sz w:val="32"/>
          <w:szCs w:val="32"/>
          <w:highlight w:val="yellow"/>
          <w:shd w:val="clear" w:color="auto" w:fill="FFFFFF"/>
        </w:rPr>
      </w:pPr>
    </w:p>
    <w:p>
      <w:pPr>
        <w:pStyle w:val="12"/>
        <w:autoSpaceDE w:val="0"/>
        <w:spacing w:before="0" w:beforeAutospacing="0" w:after="0" w:after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33020</wp:posOffset>
            </wp:positionH>
            <wp:positionV relativeFrom="paragraph">
              <wp:posOffset>49530</wp:posOffset>
            </wp:positionV>
            <wp:extent cx="5281295" cy="4721860"/>
            <wp:effectExtent l="19050" t="0" r="0" b="0"/>
            <wp:wrapTopAndBottom/>
            <wp:docPr id="1" name="图片 0" descr="校外联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外联专项.png"/>
                    <pic:cNvPicPr>
                      <a:picLocks noChangeAspect="1"/>
                    </pic:cNvPicPr>
                  </pic:nvPicPr>
                  <pic:blipFill>
                    <a:blip r:embed="rId7"/>
                    <a:stretch>
                      <a:fillRect/>
                    </a:stretch>
                  </pic:blipFill>
                  <pic:spPr>
                    <a:xfrm>
                      <a:off x="0" y="0"/>
                      <a:ext cx="5281295" cy="4721860"/>
                    </a:xfrm>
                    <a:prstGeom prst="rect">
                      <a:avLst/>
                    </a:prstGeom>
                  </pic:spPr>
                </pic:pic>
              </a:graphicData>
            </a:graphic>
          </wp:anchor>
        </w:drawing>
      </w:r>
      <w:r>
        <w:rPr>
          <w:rFonts w:hint="eastAsia" w:ascii="楷体" w:hAnsi="楷体" w:eastAsia="楷体" w:cs="楷体"/>
          <w:b/>
          <w:bCs/>
          <w:sz w:val="32"/>
          <w:szCs w:val="32"/>
          <w:shd w:val="clear" w:color="auto" w:fill="FFFFFF"/>
        </w:rPr>
        <w:t>（二）单位绩效评价情况</w:t>
      </w:r>
    </w:p>
    <w:p>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spacing w:before="0" w:beforeAutospacing="0" w:after="0" w:afterAutospacing="0" w:line="594"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本年度县财政局未委托第三方对我单位开展绩效评价。</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803" w:firstLineChars="25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b/>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Times New Roman" w:eastAsia="方正仿宋_GBK"/>
          <w:sz w:val="32"/>
          <w:szCs w:val="32"/>
        </w:rPr>
        <w:t>皮老师  023-74522003</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垫江县少年宫</w:t>
            </w: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138.94</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w:t>
            </w:r>
            <w:r>
              <w:rPr>
                <w:rFonts w:hint="eastAsia" w:cs="宋体"/>
                <w:b/>
                <w:bCs/>
                <w:color w:val="000000"/>
                <w:sz w:val="20"/>
                <w:szCs w:val="20"/>
                <w:lang w:eastAsia="zh-CN"/>
              </w:rPr>
              <w:t>国有资本经营预算财政拨款</w:t>
            </w:r>
            <w:r>
              <w:rPr>
                <w:rFonts w:cs="宋体"/>
                <w:b/>
                <w:bCs/>
                <w:color w:val="000000"/>
                <w:sz w:val="20"/>
                <w:szCs w:val="20"/>
              </w:rPr>
              <w:t>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20.95</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243.01</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243.01</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243.01</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243.01</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3" w:type="dxa"/>
        <w:tblInd w:w="0" w:type="dxa"/>
        <w:tblLayout w:type="fixed"/>
        <w:tblCellMar>
          <w:top w:w="0" w:type="dxa"/>
          <w:left w:w="0" w:type="dxa"/>
          <w:bottom w:w="0" w:type="dxa"/>
          <w:right w:w="0" w:type="dxa"/>
        </w:tblCellMar>
      </w:tblPr>
      <w:tblGrid>
        <w:gridCol w:w="1636"/>
        <w:gridCol w:w="3230"/>
        <w:gridCol w:w="1315"/>
        <w:gridCol w:w="1376"/>
        <w:gridCol w:w="1195"/>
        <w:gridCol w:w="1195"/>
        <w:gridCol w:w="1330"/>
        <w:gridCol w:w="1266"/>
        <w:gridCol w:w="1401"/>
        <w:gridCol w:w="1379"/>
      </w:tblGrid>
      <w:tr>
        <w:tblPrEx>
          <w:tblCellMar>
            <w:top w:w="0" w:type="dxa"/>
            <w:left w:w="0" w:type="dxa"/>
            <w:bottom w:w="0" w:type="dxa"/>
            <w:right w:w="0" w:type="dxa"/>
          </w:tblCellMar>
        </w:tblPrEx>
        <w:trPr>
          <w:trHeight w:val="641" w:hRule="atLeast"/>
        </w:trPr>
        <w:tc>
          <w:tcPr>
            <w:tcW w:w="1532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8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垫江县少年宫</w:t>
            </w: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18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243.01</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175.84</w:t>
            </w:r>
          </w:p>
        </w:tc>
        <w:tc>
          <w:tcPr>
            <w:tcW w:w="1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67.16</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172.82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105.66</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172.82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105.66</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105.66</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2"/>
        <w:gridCol w:w="1652"/>
        <w:gridCol w:w="1701"/>
        <w:gridCol w:w="1633"/>
        <w:gridCol w:w="1565"/>
        <w:gridCol w:w="1701"/>
        <w:gridCol w:w="19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垫江县少年宫</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243.01</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206.11</w:t>
            </w:r>
          </w:p>
        </w:tc>
        <w:tc>
          <w:tcPr>
            <w:tcW w:w="1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172.82</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172.82</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172.82</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20.95</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5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垫江县少年宫</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hint="eastAsia" w:cs="宋体"/>
                <w:b/>
                <w:color w:val="000000"/>
                <w:sz w:val="18"/>
                <w:szCs w:val="18"/>
                <w:lang w:eastAsia="zh-CN"/>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138.94</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w:t>
            </w:r>
            <w:r>
              <w:rPr>
                <w:rFonts w:hint="eastAsia" w:cs="宋体"/>
                <w:b/>
                <w:bCs/>
                <w:color w:val="000000"/>
                <w:sz w:val="18"/>
                <w:szCs w:val="18"/>
                <w:lang w:eastAsia="zh-CN"/>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175.84</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138.94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w:t>
            </w:r>
            <w:r>
              <w:rPr>
                <w:rFonts w:hint="eastAsia" w:cs="宋体"/>
                <w:b/>
                <w:bCs/>
                <w:color w:val="000000"/>
                <w:sz w:val="18"/>
                <w:szCs w:val="18"/>
                <w:lang w:eastAsia="zh-CN"/>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175.84</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138.94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36.90</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w:t>
      </w:r>
      <w:r>
        <w:rPr>
          <w:rFonts w:hint="eastAsia" w:cs="宋体"/>
          <w:sz w:val="20"/>
          <w:szCs w:val="20"/>
          <w:lang w:eastAsia="zh-CN"/>
        </w:rPr>
        <w:t>国有资本经营预算财政拨款</w:t>
      </w:r>
      <w:r>
        <w:rPr>
          <w:rFonts w:cs="宋体"/>
          <w:sz w:val="20"/>
          <w:szCs w:val="20"/>
        </w:rPr>
        <w:t>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垫江县少年宫</w:t>
            </w:r>
          </w:p>
        </w:tc>
        <w:tc>
          <w:tcPr>
            <w:tcW w:w="331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138.94</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138.94</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105.66</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105.66</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105.66</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105.66</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105.66</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105.66</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20.95</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13.95</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垫江县少年宫</w:t>
            </w: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123.19</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22.31</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57.81</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123.19</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15.76</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垫江县少年宫</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hint="eastAsia" w:cs="宋体"/>
                <w:b/>
                <w:color w:val="000000"/>
                <w:sz w:val="32"/>
                <w:szCs w:val="32"/>
                <w:lang w:eastAsia="zh-CN"/>
              </w:rPr>
              <w:t>国有资本经营预算财政拨款</w:t>
            </w:r>
            <w:r>
              <w:rPr>
                <w:rFonts w:cs="宋体"/>
                <w:b/>
                <w:color w:val="000000"/>
                <w:sz w:val="32"/>
                <w:szCs w:val="32"/>
              </w:rPr>
              <w:t>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垫江县少年宫</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w:t>
      </w:r>
      <w:r>
        <w:rPr>
          <w:rFonts w:hint="eastAsia" w:cs="宋体"/>
          <w:sz w:val="20"/>
          <w:szCs w:val="20"/>
          <w:lang w:eastAsia="zh-CN"/>
        </w:rPr>
        <w:t>国有资本经营预算财政拨款</w:t>
      </w:r>
      <w:r>
        <w:rPr>
          <w:rFonts w:cs="宋体"/>
          <w:sz w:val="20"/>
          <w:szCs w:val="20"/>
        </w:rPr>
        <w:t>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垫江县少年宫</w:t>
            </w:r>
          </w:p>
        </w:tc>
        <w:tc>
          <w:tcPr>
            <w:tcW w:w="238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3.34</w:t>
            </w:r>
          </w:p>
        </w:tc>
        <w:tc>
          <w:tcPr>
            <w:tcW w:w="36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12 -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kNmIwODI1Y2QwNGQxZDFhYmRhZWMyNWM5ZTJhMjUifQ=="/>
  </w:docVars>
  <w:rsids>
    <w:rsidRoot w:val="00B03CCD"/>
    <w:rsid w:val="000239C6"/>
    <w:rsid w:val="00064B1D"/>
    <w:rsid w:val="0011420E"/>
    <w:rsid w:val="0016213E"/>
    <w:rsid w:val="001D3BB7"/>
    <w:rsid w:val="002730DE"/>
    <w:rsid w:val="002818DB"/>
    <w:rsid w:val="002B254B"/>
    <w:rsid w:val="002C4FC6"/>
    <w:rsid w:val="002E1584"/>
    <w:rsid w:val="00466C9B"/>
    <w:rsid w:val="0047228E"/>
    <w:rsid w:val="00550ABE"/>
    <w:rsid w:val="006A2E62"/>
    <w:rsid w:val="006B7980"/>
    <w:rsid w:val="00707C99"/>
    <w:rsid w:val="00770383"/>
    <w:rsid w:val="007819D4"/>
    <w:rsid w:val="007B419D"/>
    <w:rsid w:val="007B7C4B"/>
    <w:rsid w:val="007D3D39"/>
    <w:rsid w:val="007E13C0"/>
    <w:rsid w:val="00933F51"/>
    <w:rsid w:val="00994AF7"/>
    <w:rsid w:val="009B67B8"/>
    <w:rsid w:val="009D2B67"/>
    <w:rsid w:val="009D2D5C"/>
    <w:rsid w:val="009F47B0"/>
    <w:rsid w:val="00A566F9"/>
    <w:rsid w:val="00A632E9"/>
    <w:rsid w:val="00A70962"/>
    <w:rsid w:val="00AF2751"/>
    <w:rsid w:val="00B03CCD"/>
    <w:rsid w:val="00B31AB7"/>
    <w:rsid w:val="00B52311"/>
    <w:rsid w:val="00BD6619"/>
    <w:rsid w:val="00BE2B89"/>
    <w:rsid w:val="00BE448B"/>
    <w:rsid w:val="00C10E9E"/>
    <w:rsid w:val="00C20C3E"/>
    <w:rsid w:val="00CF2ACF"/>
    <w:rsid w:val="00D67C3D"/>
    <w:rsid w:val="00D963E6"/>
    <w:rsid w:val="00DA70E7"/>
    <w:rsid w:val="00DF6841"/>
    <w:rsid w:val="00E01657"/>
    <w:rsid w:val="00E255E3"/>
    <w:rsid w:val="00E96EE8"/>
    <w:rsid w:val="00EC4CD3"/>
    <w:rsid w:val="00F32A04"/>
    <w:rsid w:val="00F3667F"/>
    <w:rsid w:val="00F73F90"/>
    <w:rsid w:val="00F911FA"/>
    <w:rsid w:val="00FB4B3B"/>
    <w:rsid w:val="00FC04CA"/>
    <w:rsid w:val="00FF312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F624F4"/>
    <w:rsid w:val="68407834"/>
    <w:rsid w:val="6883293E"/>
    <w:rsid w:val="688412AD"/>
    <w:rsid w:val="68EB1B71"/>
    <w:rsid w:val="6A6C7940"/>
    <w:rsid w:val="6AAD2300"/>
    <w:rsid w:val="6B474EF5"/>
    <w:rsid w:val="6C0A5AC5"/>
    <w:rsid w:val="6C560CAE"/>
    <w:rsid w:val="6C576495"/>
    <w:rsid w:val="6D903FF5"/>
    <w:rsid w:val="6DA955B8"/>
    <w:rsid w:val="6DAC031C"/>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heme="minorHAnsi" w:hAnsiTheme="minorHAnsi" w:eastAsiaTheme="minorEastAsia" w:cstheme="minorBidi"/>
      <w:kern w:val="2"/>
      <w:sz w:val="21"/>
      <w:szCs w:val="22"/>
    </w:rPr>
  </w:style>
  <w:style w:type="character" w:customStyle="1" w:styleId="17">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8681</Words>
  <Characters>11288</Characters>
  <Lines>96</Lines>
  <Paragraphs>27</Paragraphs>
  <TotalTime>5</TotalTime>
  <ScaleCrop>false</ScaleCrop>
  <LinksUpToDate>false</LinksUpToDate>
  <CharactersWithSpaces>11720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2025-09-15T07:04:31Z</dcterms:modified>
  <dc:title>垫江县少年宫2024年度决算公开说明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