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b/>
          <w:bCs/>
          <w:sz w:val="44"/>
          <w:szCs w:val="44"/>
        </w:rPr>
      </w:pPr>
      <w:r>
        <w:rPr>
          <w:rFonts w:hint="default" w:ascii="Times New Roman" w:hAnsi="Times New Roman" w:eastAsia="方正小标宋_GBK"/>
          <w:b/>
          <w:bCs/>
          <w:sz w:val="44"/>
          <w:szCs w:val="44"/>
        </w:rPr>
        <w:t>中国共产党垫江县委员会组织部（本级）</w:t>
      </w:r>
    </w:p>
    <w:p>
      <w:pPr>
        <w:pStyle w:val="6"/>
        <w:spacing w:before="0" w:beforeAutospacing="0" w:after="0" w:afterAutospacing="0" w:line="594" w:lineRule="exact"/>
        <w:jc w:val="center"/>
        <w:rPr>
          <w:rFonts w:hint="default" w:ascii="Times New Roman" w:hAnsi="Times New Roman" w:eastAsia="方正小标宋_GBK"/>
          <w:b/>
          <w:bCs/>
          <w:sz w:val="44"/>
          <w:szCs w:val="44"/>
          <w:shd w:val="clear" w:color="auto" w:fill="FFFFFF"/>
        </w:rPr>
      </w:pPr>
      <w:r>
        <w:rPr>
          <w:rFonts w:hint="default" w:ascii="Times New Roman" w:hAnsi="Times New Roman" w:eastAsia="方正小标宋_GBK"/>
          <w:b/>
          <w:bCs/>
          <w:sz w:val="44"/>
          <w:szCs w:val="44"/>
          <w:shd w:val="clear" w:color="auto" w:fill="FFFFFF"/>
        </w:rPr>
        <w:t>2024年度决算公开说明</w:t>
      </w:r>
    </w:p>
    <w:p>
      <w:pPr>
        <w:pStyle w:val="6"/>
        <w:spacing w:before="0" w:beforeAutospacing="0" w:after="0" w:afterAutospacing="0" w:line="594" w:lineRule="exact"/>
        <w:jc w:val="center"/>
        <w:rPr>
          <w:rFonts w:hint="default" w:ascii="Times New Roman" w:hAnsi="Times New Roman" w:eastAsia="方正小标宋_GBK"/>
          <w:b/>
          <w:bCs/>
          <w:sz w:val="44"/>
          <w:szCs w:val="44"/>
          <w:shd w:val="clear" w:color="auto" w:fill="FFFFFF"/>
        </w:rPr>
      </w:pP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Cs/>
          <w:sz w:val="32"/>
          <w:szCs w:val="32"/>
          <w:shd w:val="clear" w:color="auto" w:fill="FFFFFF"/>
        </w:rPr>
        <w:t>一、</w:t>
      </w:r>
      <w:r>
        <w:rPr>
          <w:rStyle w:val="10"/>
          <w:rFonts w:ascii="Times New Roman" w:hAnsi="Times New Roman" w:eastAsia="方正黑体_GBK"/>
          <w:bCs/>
          <w:sz w:val="32"/>
          <w:szCs w:val="32"/>
          <w:shd w:val="clear" w:color="auto" w:fill="FFFFFF"/>
        </w:rPr>
        <w:t>单位</w:t>
      </w:r>
      <w:r>
        <w:rPr>
          <w:rStyle w:val="10"/>
          <w:rFonts w:hint="default" w:ascii="Times New Roman" w:hAnsi="Times New Roman" w:eastAsia="方正黑体_GBK"/>
          <w:bCs/>
          <w:sz w:val="32"/>
          <w:szCs w:val="32"/>
          <w:shd w:val="clear" w:color="auto" w:fill="FFFFFF"/>
        </w:rPr>
        <w:t>基本情况</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楷体_GBK"/>
          <w:sz w:val="32"/>
          <w:szCs w:val="32"/>
        </w:rPr>
      </w:pPr>
      <w:r>
        <w:rPr>
          <w:rStyle w:val="10"/>
          <w:rFonts w:hint="default" w:ascii="Times New Roman" w:hAnsi="Times New Roman" w:eastAsia="方正楷体_GBK"/>
          <w:sz w:val="32"/>
          <w:szCs w:val="32"/>
          <w:shd w:val="clear" w:color="auto" w:fill="FFFFFF"/>
        </w:rPr>
        <w:t>（一）职能职责</w:t>
      </w:r>
    </w:p>
    <w:p>
      <w:pPr>
        <w:autoSpaceDE w:val="0"/>
        <w:spacing w:line="594" w:lineRule="exact"/>
        <w:ind w:firstLine="643" w:firstLineChars="200"/>
        <w:jc w:val="both"/>
        <w:rPr>
          <w:rFonts w:hint="default" w:ascii="Times New Roman" w:hAnsi="Times New Roman" w:eastAsia="方正楷体_GBK"/>
          <w:sz w:val="32"/>
          <w:szCs w:val="32"/>
        </w:rPr>
      </w:pPr>
      <w:r>
        <w:rPr>
          <w:rFonts w:hint="default" w:ascii="Times New Roman" w:hAnsi="Times New Roman" w:eastAsia="方正仿宋_GBK"/>
          <w:b/>
          <w:bCs/>
          <w:sz w:val="32"/>
          <w:szCs w:val="32"/>
        </w:rPr>
        <w:t>1.中共垫江县委组织部职能职责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贯彻执行党的组织工作路线、方针、政策，按照市委组织部和县委的要求，拟定、实施垫江县党的组织建设工作意见，指导全县基层党组织建设；制定乡镇、农村和县级机关、企事业单位党组织的设置和活动方式；拟定全县党员队伍建设规划和有关政策，指导、协调、检查全县党员教育、管理和发展工作；指导、检查县委管理的领导班子民主生活会情况；负责各乡镇党委以及县委直接管理的党组织换届工作；负责全县党费的收缴、管理、使用工作；负责党的建设的调查研究。</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加强领导班子和领导干部队伍特别是优秀年轻干部队伍建设；提出各乡镇和县级各部门以及其他由县委管理的领导班子调整、配备和领导干部任免的意见和建议；按照干部管理权限考察干部，办理干部任免、享受待遇等手续；负责办理市管干部的任免、工资、待遇和退休的上报材料和手续；配合市级部门考察其驻垫单位的领导班子，并对领导班子调整和领导干部任免提出建议；承办有关干部的调配、交流工作；负责县党代会、县人代会、县政协会的有关组织工作和人事安排的准备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负责制定培养选拔中青年干部和妇女干部、党外干部工作的意见并组织实施；制定加强后备干部队伍建设规划，并组织实施；实施和指导干部人事制度改革，参与制定组织、干部、人事工作的重要政策和制度。</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负责县委管理干部的备案审查工作；研究或参与制定全县干部监督工作政策，并组织或协助实施；督促、检查全县各级党政领导班子贯彻执行《党政领导干部选拔任用工作条例》及相关政策落实的情况；负责领导任期经济责任审计的牵头协调工作；负责审理</w:t>
      </w:r>
      <w:r>
        <w:rPr>
          <w:rFonts w:hint="eastAsia" w:ascii="Times New Roman" w:hAnsi="Times New Roman" w:eastAsia="方正仿宋_GBK"/>
          <w:sz w:val="32"/>
          <w:szCs w:val="32"/>
          <w:lang w:eastAsia="zh-CN"/>
        </w:rPr>
        <w:t>中华人民共和国成立</w:t>
      </w:r>
      <w:r>
        <w:rPr>
          <w:rFonts w:hint="default" w:ascii="Times New Roman" w:hAnsi="Times New Roman" w:eastAsia="方正仿宋_GBK"/>
          <w:sz w:val="32"/>
          <w:szCs w:val="32"/>
        </w:rPr>
        <w:t>前入伍的干部参加工作时间、入党时间以及其他历史遗留问题；负责领导干部公费出国（境）和党员因公因私出国（境）的审查工作。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主管全县干部教育培训工作；拟定全县干部教育培训规划和有关政策规定；指导县、乡两级党校建设和干部培训工作；负责领导干部到中央党校、市县委党校和其他各类干部培训班的学习、进修工作；指导、协调、检查全县各镇（街）、各部门的干部教育培训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负责对全县人才工作的领导、协调和宏观管理；参与制定人才工作的重要政策、规定，负责对全县贯彻执行人才政策情况进行调查研究，并提出指导意见；参与全县优秀专家和科技拔尖人才的选拔管理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（7）指导、协调、检查全县组工干部队伍的教育和管理；负责全县组织系统信息、信访工作的管理指导、督查督办。</w:t>
      </w:r>
    </w:p>
    <w:p>
      <w:pPr>
        <w:widowControl w:val="0"/>
        <w:spacing w:line="594" w:lineRule="exact"/>
        <w:ind w:firstLine="640" w:firstLineChars="200"/>
        <w:jc w:val="both"/>
        <w:outlineLvl w:val="2"/>
        <w:rPr>
          <w:rFonts w:hint="default" w:ascii="Times New Roman" w:hAnsi="Times New Roman" w:eastAsia="方正仿宋_GBK"/>
          <w:sz w:val="32"/>
          <w:szCs w:val="32"/>
        </w:rPr>
      </w:pPr>
      <w:r>
        <w:rPr>
          <w:rFonts w:hint="default" w:ascii="Times New Roman" w:hAnsi="Times New Roman" w:eastAsia="方正仿宋_GBK"/>
          <w:sz w:val="32"/>
          <w:szCs w:val="32"/>
        </w:rPr>
        <w:t>（8）负责全县干部档案工作的日常管理和检查督促。</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统一管理公务员工作，负责全县公务员录用调配、考核奖惩、培训和协调开展工资福利等事务，贯彻落实公务员管理政策和法律法规，指导全县公务员队伍建设和绩效管理，承办法定、委托或授权管理的人事任免事项。</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（10）统一管理老干部工作，负责对全县老干部工作的宏观管理，组织拟订老干部工作的规范性文件，牵头落实老干部待遇，引导老干部发挥作用。</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11）统一管理县直机关党建工作，负责制定县直机关党的建设规划，指导县直机关基层党组织加强党员的政治理论学习，负责县直机关基层党组织的建立、换届选举、任职、发展党员等工作，督促县直机关严格党内组织生活，负责县直机关先进基层党组织、优秀共产党员和优秀党务工作者的评审、表彰。</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（12）负责县委组织部机关、所属单位党的建设工作。</w:t>
      </w:r>
    </w:p>
    <w:p>
      <w:pPr>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（13）完成县委和市委组织部交办的其他任务。</w:t>
      </w:r>
    </w:p>
    <w:p>
      <w:pPr>
        <w:autoSpaceDE w:val="0"/>
        <w:spacing w:line="594" w:lineRule="exact"/>
        <w:ind w:firstLine="643" w:firstLineChars="200"/>
        <w:jc w:val="both"/>
        <w:rPr>
          <w:rFonts w:hint="default" w:ascii="Times New Roman" w:hAnsi="Times New Roman" w:eastAsia="方正仿宋_GBK"/>
          <w:b/>
          <w:bCs/>
          <w:sz w:val="32"/>
          <w:szCs w:val="32"/>
        </w:rPr>
      </w:pPr>
      <w:r>
        <w:rPr>
          <w:rFonts w:hint="default" w:ascii="Times New Roman" w:hAnsi="Times New Roman" w:eastAsia="方正仿宋_GBK"/>
          <w:b/>
          <w:bCs/>
          <w:sz w:val="32"/>
          <w:szCs w:val="32"/>
        </w:rPr>
        <w:t>2.垫江县党员教育中心职能职责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党员教育规划、协调、检查；党员电教音像教材的制作、引进、复制和发行；党建电视栏目策划、管理、指导、督促；党员电教业务管理和技术指导培训；党员远程教育队伍建设、基础设施建设，各远程教育站点管理、维护、使用。</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（二）机构设置</w:t>
      </w:r>
    </w:p>
    <w:p>
      <w:pPr>
        <w:pStyle w:val="6"/>
        <w:widowControl w:val="0"/>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中共垫江县委组织部为党委工作部门，内设12个机构：办公室、调研科、组织一科、组织二科、干部一科、干部二科、公务员科、人才科、干部教育科、干部监督科、干部考核科、老干部工作科。</w:t>
      </w:r>
    </w:p>
    <w:p>
      <w:pPr>
        <w:snapToGrid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行政编制22名，参公编制6名，工勤编制1名，实有职工24人。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（一）收入支出决算总体情况说明</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2024年度收入总计1095.14万元，支出总计</w:t>
      </w:r>
      <w:r>
        <w:rPr>
          <w:rFonts w:hint="default" w:ascii="Times New Roman" w:hAnsi="Times New Roman" w:eastAsia="方正仿宋_GBK"/>
          <w:sz w:val="32"/>
          <w:szCs w:val="32"/>
        </w:rPr>
        <w:t>1095.14</w:t>
      </w:r>
      <w:r>
        <w:rPr>
          <w:rFonts w:hint="default" w:ascii="Times New Roman" w:hAnsi="Times New Roman" w:eastAsia="方正仿宋_GBK"/>
          <w:sz w:val="32"/>
          <w:szCs w:val="32"/>
          <w:shd w:val="clear" w:color="auto" w:fill="FFFFFF"/>
        </w:rPr>
        <w:t>万元。收、支与2023年度相比，减少171.75万元，下降13.56%，主要原因是项目</w:t>
      </w:r>
      <w:r>
        <w:rPr>
          <w:rFonts w:ascii="Times New Roman" w:hAnsi="Times New Roman" w:eastAsia="方正仿宋_GBK"/>
          <w:sz w:val="32"/>
          <w:szCs w:val="32"/>
          <w:shd w:val="clear" w:color="auto" w:fill="FFFFFF"/>
        </w:rPr>
        <w:t>经费减少</w:t>
      </w:r>
      <w:r>
        <w:rPr>
          <w:rFonts w:hint="default" w:ascii="Times New Roman" w:hAnsi="Times New Roman" w:eastAsia="方正仿宋_GBK"/>
          <w:sz w:val="32"/>
          <w:szCs w:val="32"/>
          <w:shd w:val="clear" w:color="auto" w:fill="FFFFFF"/>
        </w:rPr>
        <w:t>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shd w:val="clear" w:color="auto" w:fill="FFFFFF"/>
        </w:rPr>
        <w:t>减少19.4</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2024年度收入合计1095.14万元，与2023年度相比，减少169.92万元，下降13.43%，主要原因是</w:t>
      </w:r>
      <w:r>
        <w:rPr>
          <w:rFonts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shd w:val="clear" w:color="auto" w:fill="FFFFFF"/>
        </w:rPr>
        <w:t>及项目经费减少。其中：财政拨款收入</w:t>
      </w:r>
      <w:r>
        <w:rPr>
          <w:rFonts w:hint="default" w:ascii="Times New Roman" w:hAnsi="Times New Roman" w:eastAsia="方正仿宋_GBK"/>
          <w:sz w:val="32"/>
          <w:szCs w:val="32"/>
        </w:rPr>
        <w:t>1095.14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1095.14</w:t>
      </w:r>
      <w:r>
        <w:rPr>
          <w:rFonts w:hint="default" w:ascii="Times New Roman" w:hAnsi="Times New Roman" w:eastAsia="方正仿宋_GBK"/>
          <w:sz w:val="32"/>
          <w:szCs w:val="32"/>
          <w:shd w:val="clear" w:color="auto" w:fill="FFFFFF"/>
        </w:rPr>
        <w:t>万元，与2023年度相比，减少171.75万元，下降13.56%，主要原因是项目</w:t>
      </w:r>
      <w:r>
        <w:rPr>
          <w:rFonts w:ascii="Times New Roman" w:hAnsi="Times New Roman" w:eastAsia="方正仿宋_GBK"/>
          <w:sz w:val="32"/>
          <w:szCs w:val="32"/>
          <w:shd w:val="clear" w:color="auto" w:fill="FFFFFF"/>
        </w:rPr>
        <w:t>经费减少</w:t>
      </w:r>
      <w:r>
        <w:rPr>
          <w:rFonts w:hint="default" w:ascii="Times New Roman" w:hAnsi="Times New Roman" w:eastAsia="方正仿宋_GBK"/>
          <w:sz w:val="32"/>
          <w:szCs w:val="32"/>
          <w:shd w:val="clear" w:color="auto" w:fill="FFFFFF"/>
        </w:rPr>
        <w:t>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shd w:val="clear" w:color="auto" w:fill="FFFFFF"/>
        </w:rPr>
        <w:t>减少19.4</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万元。其中：基本支出</w:t>
      </w:r>
      <w:r>
        <w:rPr>
          <w:rFonts w:hint="default" w:ascii="Times New Roman" w:hAnsi="Times New Roman" w:eastAsia="方正仿宋_GBK"/>
          <w:sz w:val="32"/>
          <w:szCs w:val="32"/>
        </w:rPr>
        <w:t>638.39</w:t>
      </w:r>
      <w:r>
        <w:rPr>
          <w:rFonts w:hint="default" w:ascii="Times New Roman" w:hAnsi="Times New Roman" w:eastAsia="方正仿宋_GBK"/>
          <w:sz w:val="32"/>
          <w:szCs w:val="32"/>
          <w:shd w:val="clear" w:color="auto" w:fill="FFFFFF"/>
        </w:rPr>
        <w:t>万元，占58.29%；项目支出</w:t>
      </w:r>
      <w:r>
        <w:rPr>
          <w:rFonts w:hint="default" w:ascii="Times New Roman" w:hAnsi="Times New Roman" w:eastAsia="方正仿宋_GBK"/>
          <w:sz w:val="32"/>
          <w:szCs w:val="32"/>
        </w:rPr>
        <w:t>456.75</w:t>
      </w:r>
      <w:r>
        <w:rPr>
          <w:rFonts w:hint="default" w:ascii="Times New Roman" w:hAnsi="Times New Roman" w:eastAsia="方正仿宋_GBK"/>
          <w:sz w:val="32"/>
          <w:szCs w:val="32"/>
          <w:shd w:val="clear" w:color="auto" w:fill="FFFFFF"/>
        </w:rPr>
        <w:t>万元，占41.71%；经营支出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本年度收支</w:t>
      </w:r>
      <w:r>
        <w:rPr>
          <w:rFonts w:hint="default" w:ascii="Times New Roman" w:hAnsi="Times New Roman" w:eastAsia="方正仿宋_GBK"/>
          <w:sz w:val="32"/>
          <w:szCs w:val="32"/>
          <w:shd w:val="clear" w:color="auto" w:fill="FFFFFF"/>
        </w:rPr>
        <w:t>平衡</w:t>
      </w:r>
      <w:r>
        <w:rPr>
          <w:rFonts w:hint="eastAsia" w:ascii="Times New Roman" w:hAnsi="Times New Roman" w:eastAsia="方正仿宋_GBK"/>
          <w:sz w:val="32"/>
          <w:szCs w:val="32"/>
          <w:shd w:val="clear" w:color="auto" w:fill="FFFFFF"/>
          <w:lang w:eastAsia="zh-CN"/>
        </w:rPr>
        <w:t>，</w:t>
      </w:r>
      <w:bookmarkStart w:id="0" w:name="_GoBack"/>
      <w:bookmarkEnd w:id="0"/>
      <w:r>
        <w:rPr>
          <w:rFonts w:hint="default" w:ascii="Times New Roman" w:hAnsi="Times New Roman" w:eastAsia="方正仿宋_GBK"/>
          <w:sz w:val="32"/>
          <w:szCs w:val="32"/>
          <w:shd w:val="clear" w:color="auto" w:fill="FFFFFF"/>
        </w:rPr>
        <w:t>无结转结余。</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（二）财政拨款收入支出决算总体情况说明</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2024年度财政拨款收、支总计1095.14万元。与2023年相比，财政拨款收、支总计各减少171.75万元，下降13.56%。主要原因是项目</w:t>
      </w:r>
      <w:r>
        <w:rPr>
          <w:rFonts w:ascii="Times New Roman" w:hAnsi="Times New Roman" w:eastAsia="方正仿宋_GBK"/>
          <w:sz w:val="32"/>
          <w:szCs w:val="32"/>
          <w:shd w:val="clear" w:color="auto" w:fill="FFFFFF"/>
        </w:rPr>
        <w:t>经费减少</w:t>
      </w:r>
      <w:r>
        <w:rPr>
          <w:rFonts w:hint="default" w:ascii="Times New Roman" w:hAnsi="Times New Roman" w:eastAsia="方正仿宋_GBK"/>
          <w:sz w:val="32"/>
          <w:szCs w:val="32"/>
          <w:shd w:val="clear" w:color="auto" w:fill="FFFFFF"/>
        </w:rPr>
        <w:t>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shd w:val="clear" w:color="auto" w:fill="FFFFFF"/>
        </w:rPr>
        <w:t>减少19.4</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1095.14</w:t>
      </w:r>
      <w:r>
        <w:rPr>
          <w:rFonts w:hint="default" w:ascii="Times New Roman" w:hAnsi="Times New Roman" w:eastAsia="方正仿宋_GBK"/>
          <w:sz w:val="32"/>
          <w:szCs w:val="32"/>
          <w:shd w:val="clear" w:color="auto" w:fill="FFFFFF"/>
        </w:rPr>
        <w:t>万元，与2023年度相比，减少169.92万元，下降13.43%。主要原因是</w:t>
      </w:r>
      <w:r>
        <w:rPr>
          <w:rFonts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shd w:val="clear" w:color="auto" w:fill="FFFFFF"/>
        </w:rPr>
        <w:t>及项目经费减少。较年初预算数减少814.68万元，下降42.66%。主要原因是部分项目经费调剂给相关单位使用，</w:t>
      </w:r>
      <w:r>
        <w:rPr>
          <w:rFonts w:ascii="Times New Roman" w:hAnsi="Times New Roman" w:eastAsia="方正仿宋_GBK"/>
          <w:sz w:val="32"/>
          <w:szCs w:val="32"/>
          <w:shd w:val="clear" w:color="auto" w:fill="FFFFFF"/>
        </w:rPr>
        <w:t>2名职工调离，基本支出减少。</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1095.14</w:t>
      </w:r>
      <w:r>
        <w:rPr>
          <w:rFonts w:hint="default" w:ascii="Times New Roman" w:hAnsi="Times New Roman" w:eastAsia="方正仿宋_GBK"/>
          <w:sz w:val="32"/>
          <w:szCs w:val="32"/>
          <w:shd w:val="clear" w:color="auto" w:fill="FFFFFF"/>
        </w:rPr>
        <w:t>万元，与2023年度相比，减少171.75万元，下降13.56%。主要原因是项目</w:t>
      </w:r>
      <w:r>
        <w:rPr>
          <w:rFonts w:ascii="Times New Roman" w:hAnsi="Times New Roman" w:eastAsia="方正仿宋_GBK"/>
          <w:sz w:val="32"/>
          <w:szCs w:val="32"/>
          <w:shd w:val="clear" w:color="auto" w:fill="FFFFFF"/>
        </w:rPr>
        <w:t>经费减少</w:t>
      </w:r>
      <w:r>
        <w:rPr>
          <w:rFonts w:hint="default" w:ascii="Times New Roman" w:hAnsi="Times New Roman" w:eastAsia="方正仿宋_GBK"/>
          <w:sz w:val="32"/>
          <w:szCs w:val="32"/>
          <w:shd w:val="clear" w:color="auto" w:fill="FFFFFF"/>
        </w:rPr>
        <w:t>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shd w:val="clear" w:color="auto" w:fill="FFFFFF"/>
        </w:rPr>
        <w:t>减少19.4</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万元。较年初预算数减少814.68万元，下降42.66%。主要原因是部分项目经费调剂给相关单位使用，</w:t>
      </w:r>
      <w:r>
        <w:rPr>
          <w:rFonts w:ascii="Times New Roman" w:hAnsi="Times New Roman" w:eastAsia="方正仿宋_GBK"/>
          <w:sz w:val="32"/>
          <w:szCs w:val="32"/>
          <w:shd w:val="clear" w:color="auto" w:fill="FFFFFF"/>
        </w:rPr>
        <w:t>2名职工调离，基本支出减少。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本年度收支</w:t>
      </w:r>
      <w:r>
        <w:rPr>
          <w:rFonts w:hint="default" w:ascii="Times New Roman" w:hAnsi="Times New Roman" w:eastAsia="方正仿宋_GBK"/>
          <w:sz w:val="32"/>
          <w:szCs w:val="32"/>
          <w:shd w:val="clear" w:color="auto" w:fill="FFFFFF"/>
        </w:rPr>
        <w:t>平衡无结转结余。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highlight w:val="red"/>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906.48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82.77</w:t>
      </w:r>
      <w:r>
        <w:rPr>
          <w:rFonts w:hint="default" w:ascii="Times New Roman" w:hAnsi="Times New Roman" w:eastAsia="方正仿宋_GBK"/>
          <w:sz w:val="32"/>
          <w:szCs w:val="32"/>
          <w:shd w:val="clear" w:color="auto" w:fill="FFFFFF"/>
        </w:rPr>
        <w:t>%，较年初预算数减少808.04万元，下降47.13%，主要原因是部分项目经费调剂给相关单位使用，</w:t>
      </w:r>
      <w:r>
        <w:rPr>
          <w:rFonts w:ascii="Times New Roman" w:hAnsi="Times New Roman" w:eastAsia="方正仿宋_GBK"/>
          <w:sz w:val="32"/>
          <w:szCs w:val="32"/>
          <w:shd w:val="clear" w:color="auto" w:fill="FFFFFF"/>
        </w:rPr>
        <w:t>2名职工调离，基本支出减少。</w:t>
      </w:r>
    </w:p>
    <w:p>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1.13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0.10</w:t>
      </w:r>
      <w:r>
        <w:rPr>
          <w:rFonts w:hint="default" w:ascii="Times New Roman" w:hAnsi="Times New Roman" w:eastAsia="方正仿宋_GBK"/>
          <w:sz w:val="32"/>
          <w:szCs w:val="32"/>
          <w:shd w:val="clear" w:color="auto" w:fill="FFFFFF"/>
        </w:rPr>
        <w:t>%，较年初预算数减少0.35万元，下降23.65%，主要原因是</w:t>
      </w:r>
      <w:r>
        <w:rPr>
          <w:rFonts w:hint="default" w:ascii="Times New Roman" w:hAnsi="Times New Roman" w:eastAsia="方正仿宋_GBK"/>
          <w:sz w:val="32"/>
          <w:szCs w:val="32"/>
        </w:rPr>
        <w:t>严格执行《垫江县党政机关落实过“紧日子”二十条硬措施的通知》（垫江委办发〔2024〕1号），从严控制教育培训支出标准。</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138.18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12.62</w:t>
      </w:r>
      <w:r>
        <w:rPr>
          <w:rFonts w:hint="default" w:ascii="Times New Roman" w:hAnsi="Times New Roman" w:eastAsia="方正仿宋_GBK"/>
          <w:sz w:val="32"/>
          <w:szCs w:val="32"/>
          <w:shd w:val="clear" w:color="auto" w:fill="FFFFFF"/>
        </w:rPr>
        <w:t>%，较年初预算数增加12.14万元，增长9.63%，主要原因是职工工资调标，社保缴费基数调增，支出增加。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28.34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2.59</w:t>
      </w:r>
      <w:r>
        <w:rPr>
          <w:rFonts w:hint="default" w:ascii="Times New Roman" w:hAnsi="Times New Roman" w:eastAsia="方正仿宋_GBK"/>
          <w:sz w:val="32"/>
          <w:szCs w:val="32"/>
          <w:shd w:val="clear" w:color="auto" w:fill="FFFFFF"/>
        </w:rPr>
        <w:t>%，较年初预算数减少0.34万元，下降1.19%，主要原因是2名职工调离，支出减少。</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住房保障支出21.00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1.92</w:t>
      </w:r>
      <w:r>
        <w:rPr>
          <w:rFonts w:hint="default" w:ascii="Times New Roman" w:hAnsi="Times New Roman" w:eastAsia="方正仿宋_GBK"/>
          <w:sz w:val="32"/>
          <w:szCs w:val="32"/>
          <w:shd w:val="clear" w:color="auto" w:fill="FFFFFF"/>
        </w:rPr>
        <w:t>%，较年初预算数减少18.10万元，下降46.29%，主要原因是2名职工调离，支出减少。</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638.39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529.33</w:t>
      </w:r>
      <w:r>
        <w:rPr>
          <w:rFonts w:hint="default" w:ascii="Times New Roman" w:hAnsi="Times New Roman" w:eastAsia="方正仿宋_GBK"/>
          <w:sz w:val="32"/>
          <w:szCs w:val="32"/>
          <w:shd w:val="clear" w:color="auto" w:fill="FFFFFF"/>
        </w:rPr>
        <w:t>万元，与2023年度相比，减少21.88万元，下降3.97%，主要原因是2名职工调离，人员经费减少。人员经费用途主要包括基本工资、津贴补贴、奖金、公积金、社会保障缴费、伙食补助、其他工资福利支出等。公用经费</w:t>
      </w:r>
      <w:r>
        <w:rPr>
          <w:rFonts w:hint="default" w:ascii="Times New Roman" w:hAnsi="Times New Roman" w:eastAsia="方正仿宋_GBK"/>
          <w:sz w:val="32"/>
          <w:szCs w:val="32"/>
        </w:rPr>
        <w:t>109.06</w:t>
      </w:r>
      <w:r>
        <w:rPr>
          <w:rFonts w:hint="default" w:ascii="Times New Roman" w:hAnsi="Times New Roman" w:eastAsia="方正仿宋_GBK"/>
          <w:sz w:val="32"/>
          <w:szCs w:val="32"/>
          <w:shd w:val="clear" w:color="auto" w:fill="FFFFFF"/>
        </w:rPr>
        <w:t>万元，与2023年度相比，增加2.43万元，增长2.28%，主要原因是抽调人员开展主题教育收尾工作，公用经费增加。公用经费用途主要包括办公费、印刷费、差旅费、会议费，其他交通费和其他商品和服务支出等。</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color w:val="000000" w:themeColor="text1"/>
          <w:sz w:val="32"/>
          <w:szCs w:val="32"/>
          <w:shd w:val="clear" w:color="auto" w:fill="FFFFFF"/>
        </w:rPr>
        <w:t>是本年度无政府性基金预算财政拨款支出。本单位2024年度无政府性基金预算财政拨款收支。</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shd w:val="clear" w:color="auto" w:fill="FFFFFF"/>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（一）</w:t>
      </w:r>
      <w:r>
        <w:rPr>
          <w:rStyle w:val="10"/>
          <w:rFonts w:hint="eastAsia" w:ascii="Times New Roman" w:hAnsi="Times New Roman" w:eastAsia="方正楷体_GBK"/>
          <w:sz w:val="32"/>
          <w:szCs w:val="32"/>
          <w:shd w:val="clear" w:color="auto" w:fill="FFFFFF"/>
          <w:lang w:eastAsia="zh-CN"/>
        </w:rPr>
        <w:t>三公</w:t>
      </w:r>
      <w:r>
        <w:rPr>
          <w:rStyle w:val="10"/>
          <w:rFonts w:hint="default" w:ascii="Times New Roman" w:hAnsi="Times New Roman" w:eastAsia="方正楷体_GBK"/>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21.69</w:t>
      </w:r>
      <w:r>
        <w:rPr>
          <w:rFonts w:hint="default" w:ascii="Times New Roman" w:hAnsi="Times New Roman" w:eastAsia="方正仿宋_GBK"/>
          <w:sz w:val="32"/>
          <w:szCs w:val="32"/>
          <w:shd w:val="clear" w:color="auto" w:fill="FFFFFF"/>
        </w:rPr>
        <w:t>万元，较年初预算数减少0.16万元，下降0.73%，主要原因是</w:t>
      </w:r>
      <w:r>
        <w:rPr>
          <w:rFonts w:hint="default" w:ascii="Times New Roman" w:hAnsi="Times New Roman" w:eastAsia="方正仿宋_GBK"/>
          <w:sz w:val="32"/>
          <w:szCs w:val="32"/>
        </w:rPr>
        <w:t>贯彻落实《垫江县党政机关落实过“紧日子”二十条硬措施的通知》（垫江委办发〔2024〕1号）精神，严格执行各类支出标准。</w:t>
      </w:r>
      <w:r>
        <w:rPr>
          <w:rFonts w:hint="default" w:ascii="Times New Roman" w:hAnsi="Times New Roman" w:eastAsia="方正仿宋_GBK"/>
          <w:sz w:val="32"/>
          <w:szCs w:val="32"/>
          <w:shd w:val="clear" w:color="auto" w:fill="FFFFFF"/>
        </w:rPr>
        <w:t>较上年支出数减少1.23万元，下降5.37%，主要原因是贯彻落实有关文件要求，严格执行接待标准，严控用车频次和数量。</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（二）</w:t>
      </w:r>
      <w:r>
        <w:rPr>
          <w:rStyle w:val="10"/>
          <w:rFonts w:hint="eastAsia" w:ascii="Times New Roman" w:hAnsi="Times New Roman" w:eastAsia="方正楷体_GBK"/>
          <w:sz w:val="32"/>
          <w:szCs w:val="32"/>
          <w:shd w:val="clear" w:color="auto" w:fill="FFFFFF"/>
          <w:lang w:eastAsia="zh-CN"/>
        </w:rPr>
        <w:t>三公</w:t>
      </w:r>
      <w:r>
        <w:rPr>
          <w:rStyle w:val="10"/>
          <w:rFonts w:hint="default" w:ascii="Times New Roman" w:hAnsi="Times New Roman" w:eastAsia="方正楷体_GBK"/>
          <w:sz w:val="32"/>
          <w:szCs w:val="32"/>
          <w:shd w:val="clear" w:color="auto" w:fill="FFFFFF"/>
        </w:rPr>
        <w:t>经费分项支出情况</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pStyle w:val="12"/>
        <w:autoSpaceDE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公务车运行维护费</w:t>
      </w:r>
      <w:r>
        <w:rPr>
          <w:rFonts w:ascii="Times New Roman" w:hAnsi="Times New Roman" w:eastAsia="方正仿宋_GBK"/>
          <w:sz w:val="32"/>
          <w:szCs w:val="32"/>
        </w:rPr>
        <w:t>11.98</w:t>
      </w:r>
      <w:r>
        <w:rPr>
          <w:rFonts w:ascii="Times New Roman" w:hAnsi="Times New Roman" w:eastAsia="方正仿宋_GBK"/>
          <w:sz w:val="32"/>
          <w:szCs w:val="32"/>
          <w:shd w:val="clear" w:color="auto" w:fill="FFFFFF"/>
        </w:rPr>
        <w:t>万元，主要用于公务车燃油费、维修（护）费、路桥费、车辆保险费、停车费和其他相关支出。费用支出较年初预算数减少0.02万元，下降0.17%，主要原因是严</w:t>
      </w:r>
      <w:r>
        <w:rPr>
          <w:rFonts w:hint="eastAsia" w:ascii="Times New Roman" w:hAnsi="Times New Roman" w:eastAsia="方正仿宋_GBK"/>
          <w:sz w:val="32"/>
          <w:szCs w:val="32"/>
          <w:shd w:val="clear" w:color="auto" w:fill="FFFFFF"/>
        </w:rPr>
        <w:t>控</w:t>
      </w:r>
      <w:r>
        <w:rPr>
          <w:rFonts w:hint="eastAsia" w:ascii="Times New Roman" w:hAnsi="Times New Roman" w:eastAsia="方正仿宋_GBK"/>
          <w:sz w:val="32"/>
          <w:szCs w:val="32"/>
          <w:shd w:val="clear" w:color="auto" w:fill="FFFFFF"/>
          <w:lang w:eastAsia="zh-CN"/>
        </w:rPr>
        <w:t>三公</w:t>
      </w:r>
      <w:r>
        <w:rPr>
          <w:rFonts w:ascii="Times New Roman" w:hAnsi="Times New Roman" w:eastAsia="方正仿宋_GBK"/>
          <w:sz w:val="32"/>
          <w:szCs w:val="32"/>
          <w:shd w:val="clear" w:color="auto" w:fill="FFFFFF"/>
        </w:rPr>
        <w:t>经费执行</w:t>
      </w:r>
      <w:r>
        <w:rPr>
          <w:rFonts w:hint="eastAsia" w:ascii="Times New Roman" w:hAnsi="Times New Roman" w:eastAsia="方正仿宋_GBK"/>
          <w:sz w:val="32"/>
          <w:szCs w:val="32"/>
          <w:shd w:val="clear" w:color="auto" w:fill="FFFFFF"/>
        </w:rPr>
        <w:t>支出</w:t>
      </w:r>
      <w:r>
        <w:rPr>
          <w:rFonts w:ascii="Times New Roman" w:hAnsi="Times New Roman" w:eastAsia="方正仿宋_GBK"/>
          <w:sz w:val="32"/>
          <w:szCs w:val="32"/>
          <w:shd w:val="clear" w:color="auto" w:fill="FFFFFF"/>
        </w:rPr>
        <w:t>。较上年支出数减少1.23万元，下降9.31%，主要原因是加强公务车日常管理，在上年费用基础上进一步压减。</w:t>
      </w:r>
    </w:p>
    <w:p>
      <w:pPr>
        <w:pStyle w:val="12"/>
        <w:autoSpaceDE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公务接待费</w:t>
      </w:r>
      <w:r>
        <w:rPr>
          <w:rFonts w:ascii="Times New Roman" w:hAnsi="Times New Roman" w:eastAsia="方正仿宋_GBK"/>
          <w:sz w:val="32"/>
          <w:szCs w:val="32"/>
        </w:rPr>
        <w:t>9.71</w:t>
      </w:r>
      <w:r>
        <w:rPr>
          <w:rFonts w:ascii="Times New Roman" w:hAnsi="Times New Roman" w:eastAsia="方正仿宋_GBK"/>
          <w:sz w:val="32"/>
          <w:szCs w:val="32"/>
          <w:shd w:val="clear" w:color="auto" w:fill="FFFFFF"/>
        </w:rPr>
        <w:t>万元，主要用于接待有关组织工作、主题教育工作、党建、考核、老干部工作等。费用支出较年初预算数减少0.14万元，下降1.42%，主要原因是严</w:t>
      </w:r>
      <w:r>
        <w:rPr>
          <w:rFonts w:hint="eastAsia" w:ascii="Times New Roman" w:hAnsi="Times New Roman" w:eastAsia="方正仿宋_GBK"/>
          <w:sz w:val="32"/>
          <w:szCs w:val="32"/>
          <w:shd w:val="clear" w:color="auto" w:fill="FFFFFF"/>
        </w:rPr>
        <w:t>控</w:t>
      </w:r>
      <w:r>
        <w:rPr>
          <w:rFonts w:hint="eastAsia" w:ascii="Times New Roman" w:hAnsi="Times New Roman" w:eastAsia="方正仿宋_GBK"/>
          <w:sz w:val="32"/>
          <w:szCs w:val="32"/>
          <w:shd w:val="clear" w:color="auto" w:fill="FFFFFF"/>
          <w:lang w:eastAsia="zh-CN"/>
        </w:rPr>
        <w:t>三公</w:t>
      </w:r>
      <w:r>
        <w:rPr>
          <w:rFonts w:ascii="Times New Roman" w:hAnsi="Times New Roman" w:eastAsia="方正仿宋_GBK"/>
          <w:sz w:val="32"/>
          <w:szCs w:val="32"/>
          <w:shd w:val="clear" w:color="auto" w:fill="FFFFFF"/>
        </w:rPr>
        <w:t>经费执行</w:t>
      </w:r>
      <w:r>
        <w:rPr>
          <w:rFonts w:hint="eastAsia" w:ascii="Times New Roman" w:hAnsi="Times New Roman" w:eastAsia="方正仿宋_GBK"/>
          <w:sz w:val="32"/>
          <w:szCs w:val="32"/>
          <w:shd w:val="clear" w:color="auto" w:fill="FFFFFF"/>
        </w:rPr>
        <w:t>支出</w:t>
      </w:r>
      <w:r>
        <w:rPr>
          <w:rFonts w:ascii="Times New Roman" w:hAnsi="Times New Roman" w:eastAsia="方正仿宋_GBK"/>
          <w:sz w:val="32"/>
          <w:szCs w:val="32"/>
          <w:shd w:val="clear" w:color="auto" w:fill="FFFFFF"/>
        </w:rPr>
        <w:t>。较上年支出数无增减，主要原因是严格执行</w:t>
      </w:r>
      <w:r>
        <w:rPr>
          <w:rFonts w:ascii="Times New Roman" w:hAnsi="Times New Roman" w:eastAsia="方正仿宋_GBK"/>
          <w:sz w:val="32"/>
          <w:szCs w:val="32"/>
        </w:rPr>
        <w:t>《垫江县党政机关落实过“紧日子”二十条硬措施的通知》（垫江委办发〔2024〕1号）</w:t>
      </w:r>
      <w:r>
        <w:rPr>
          <w:rFonts w:ascii="Times New Roman" w:hAnsi="Times New Roman" w:eastAsia="方正仿宋_GBK"/>
          <w:sz w:val="32"/>
          <w:szCs w:val="32"/>
          <w:shd w:val="clear" w:color="auto" w:fill="FFFFFF"/>
        </w:rPr>
        <w:t>，严控接待规模和标准。</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（三）</w:t>
      </w:r>
      <w:r>
        <w:rPr>
          <w:rStyle w:val="10"/>
          <w:rFonts w:hint="eastAsia" w:ascii="Times New Roman" w:hAnsi="Times New Roman" w:eastAsia="方正楷体_GBK"/>
          <w:sz w:val="32"/>
          <w:szCs w:val="32"/>
          <w:shd w:val="clear" w:color="auto" w:fill="FFFFFF"/>
          <w:lang w:eastAsia="zh-CN"/>
        </w:rPr>
        <w:t>三公</w:t>
      </w:r>
      <w:r>
        <w:rPr>
          <w:rStyle w:val="10"/>
          <w:rFonts w:hint="default" w:ascii="Times New Roman" w:hAnsi="Times New Roman" w:eastAsia="方正楷体_GBK"/>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142</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986</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98.44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5.99</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Cs/>
          <w:sz w:val="32"/>
          <w:szCs w:val="32"/>
          <w:shd w:val="clear" w:color="auto" w:fill="FFFFFF"/>
        </w:rPr>
        <w:t>四、其他需要说明的事项</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（一）财政拨款会议费和培训费情况说明</w:t>
      </w:r>
    </w:p>
    <w:p>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0.63</w:t>
      </w:r>
      <w:r>
        <w:rPr>
          <w:rFonts w:hint="default" w:ascii="Times New Roman" w:hAnsi="Times New Roman" w:eastAsia="方正仿宋_GBK"/>
          <w:sz w:val="32"/>
          <w:szCs w:val="32"/>
          <w:shd w:val="clear" w:color="auto" w:fill="FFFFFF"/>
        </w:rPr>
        <w:t>万元，与2023年度相比，减少13.98万元，下降95.69%，主要原因是贯彻落实</w:t>
      </w:r>
      <w:r>
        <w:rPr>
          <w:rFonts w:hint="default" w:ascii="Times New Roman" w:hAnsi="Times New Roman" w:eastAsia="方正仿宋_GBK"/>
          <w:sz w:val="32"/>
          <w:szCs w:val="32"/>
        </w:rPr>
        <w:t>《垫江县党政机关落实过“紧日子”二十条硬措施的通知》精神，</w:t>
      </w:r>
      <w:r>
        <w:rPr>
          <w:rFonts w:ascii="Times New Roman" w:hAnsi="Times New Roman" w:eastAsia="方正仿宋_GBK"/>
          <w:sz w:val="32"/>
          <w:szCs w:val="32"/>
        </w:rPr>
        <w:t>压减</w:t>
      </w:r>
      <w:r>
        <w:rPr>
          <w:rFonts w:hint="default" w:ascii="Times New Roman" w:hAnsi="Times New Roman" w:eastAsia="方正仿宋_GBK"/>
          <w:sz w:val="32"/>
          <w:szCs w:val="32"/>
        </w:rPr>
        <w:t>会议费支出</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37.23</w:t>
      </w:r>
      <w:r>
        <w:rPr>
          <w:rFonts w:hint="default" w:ascii="Times New Roman" w:hAnsi="Times New Roman" w:eastAsia="方正仿宋_GBK"/>
          <w:sz w:val="32"/>
          <w:szCs w:val="32"/>
          <w:shd w:val="clear" w:color="auto" w:fill="FFFFFF"/>
        </w:rPr>
        <w:t>万元，与2023年度相比，增加11.09万元，增长42.43%，主要原因是</w:t>
      </w:r>
      <w:r>
        <w:rPr>
          <w:rFonts w:hint="default" w:ascii="Times New Roman" w:hAnsi="Times New Roman" w:eastAsia="方正仿宋_GBK"/>
          <w:sz w:val="32"/>
          <w:szCs w:val="32"/>
        </w:rPr>
        <w:t>2名职工参加县委党校2024年秋季学期主体班培训（为期1个月），</w:t>
      </w:r>
      <w:r>
        <w:rPr>
          <w:rFonts w:hint="eastAsia" w:ascii="Times New Roman" w:hAnsi="Times New Roman" w:eastAsia="方正仿宋_GBK"/>
          <w:sz w:val="32"/>
          <w:szCs w:val="32"/>
          <w:lang w:val="en-US" w:eastAsia="zh-CN"/>
        </w:rPr>
        <w:t>增加2个市外培训班</w:t>
      </w:r>
      <w:r>
        <w:rPr>
          <w:rFonts w:hint="default" w:ascii="Times New Roman" w:hAnsi="Times New Roman" w:eastAsia="方正仿宋_GBK"/>
          <w:sz w:val="32"/>
          <w:szCs w:val="32"/>
        </w:rPr>
        <w:t>。</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109.06</w:t>
      </w:r>
      <w:r>
        <w:rPr>
          <w:rFonts w:hint="default" w:ascii="Times New Roman" w:hAnsi="Times New Roman" w:eastAsia="方正仿宋_GBK"/>
          <w:sz w:val="32"/>
          <w:szCs w:val="32"/>
          <w:shd w:val="clear" w:color="auto" w:fill="FFFFFF"/>
        </w:rPr>
        <w:t>万元，机关运行经费主要用于开支办公费、印刷费、差旅费、会议费、培训费、公务接待费、工会经费以及其他商品和服务支出。机关运行经费较上年支出数增加2.43万元，增长2.28%，主要原因是抽调人员开展主题教育收尾工作，公用经费增加。</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.0%。2024年度我单位未发生政府采购事项，无相关经费支出。</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黑体_GBK"/>
          <w:b w:val="0"/>
          <w:bCs/>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（一）单位自评情况</w:t>
      </w:r>
    </w:p>
    <w:p>
      <w:pPr>
        <w:pStyle w:val="11"/>
        <w:autoSpaceDE w:val="0"/>
        <w:spacing w:line="594" w:lineRule="exac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根据预算绩效管理要求，我单位对1</w:t>
      </w:r>
      <w:r>
        <w:rPr>
          <w:rFonts w:hint="eastAsia" w:ascii="Times New Roman" w:hAnsi="Times New Roman" w:eastAsia="方正仿宋_GBK"/>
          <w:sz w:val="32"/>
          <w:szCs w:val="32"/>
          <w:shd w:val="clear" w:color="auto" w:fill="FFFFFF"/>
          <w:lang w:bidi="ar"/>
        </w:rPr>
        <w:t>6</w:t>
      </w:r>
      <w:r>
        <w:rPr>
          <w:rFonts w:ascii="Times New Roman" w:hAnsi="Times New Roman" w:eastAsia="方正仿宋_GBK"/>
          <w:sz w:val="32"/>
          <w:szCs w:val="32"/>
          <w:shd w:val="clear" w:color="auto" w:fill="FFFFFF"/>
          <w:lang w:bidi="ar"/>
        </w:rPr>
        <w:t>个二级项目开展了绩效自评，涉及财政拨款项目支出资金456.75万元。</w:t>
      </w:r>
    </w:p>
    <w:p>
      <w:pPr>
        <w:pStyle w:val="11"/>
        <w:autoSpaceDE w:val="0"/>
        <w:ind w:firstLine="0" w:firstLineChars="0"/>
        <w:rPr>
          <w:rFonts w:ascii="Times New Roman" w:hAnsi="Times New Roman"/>
        </w:rPr>
      </w:pPr>
      <w:r>
        <w:rPr>
          <w:rFonts w:ascii="Times New Roman" w:hAnsi="Times New Roman"/>
        </w:rPr>
        <w:drawing>
          <wp:inline distT="0" distB="0" distL="114300" distR="114300">
            <wp:extent cx="5725795" cy="6854825"/>
            <wp:effectExtent l="0" t="0" r="8255"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725795" cy="6854825"/>
                    </a:xfrm>
                    <a:prstGeom prst="rect">
                      <a:avLst/>
                    </a:prstGeom>
                    <a:noFill/>
                    <a:ln>
                      <a:noFill/>
                    </a:ln>
                  </pic:spPr>
                </pic:pic>
              </a:graphicData>
            </a:graphic>
          </wp:inline>
        </w:drawing>
      </w:r>
    </w:p>
    <w:p>
      <w:pPr>
        <w:pStyle w:val="11"/>
        <w:autoSpaceDE w:val="0"/>
        <w:ind w:firstLine="0" w:firstLineChars="0"/>
        <w:rPr>
          <w:rFonts w:ascii="Times New Roman" w:hAnsi="Times New Roman"/>
        </w:rPr>
      </w:pPr>
      <w:r>
        <w:rPr>
          <w:rFonts w:ascii="Times New Roman" w:hAnsi="Times New Roman"/>
        </w:rPr>
        <w:drawing>
          <wp:inline distT="0" distB="0" distL="114300" distR="114300">
            <wp:extent cx="5526405" cy="5191760"/>
            <wp:effectExtent l="0" t="0" r="17145"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526405" cy="5191760"/>
                    </a:xfrm>
                    <a:prstGeom prst="rect">
                      <a:avLst/>
                    </a:prstGeom>
                    <a:noFill/>
                    <a:ln>
                      <a:noFill/>
                    </a:ln>
                  </pic:spPr>
                </pic:pic>
              </a:graphicData>
            </a:graphic>
          </wp:inline>
        </w:drawing>
      </w:r>
    </w:p>
    <w:p>
      <w:pPr>
        <w:pStyle w:val="11"/>
        <w:autoSpaceDE w:val="0"/>
        <w:ind w:firstLine="480"/>
        <w:rPr>
          <w:rFonts w:ascii="Times New Roman" w:hAnsi="Times New Roman" w:eastAsia="方正楷体_GBK"/>
        </w:rPr>
      </w:pPr>
    </w:p>
    <w:p>
      <w:pPr>
        <w:pStyle w:val="11"/>
        <w:autoSpaceDE w:val="0"/>
        <w:spacing w:line="594" w:lineRule="exact"/>
        <w:ind w:firstLine="643"/>
        <w:rPr>
          <w:rFonts w:ascii="Times New Roman" w:hAnsi="Times New Roman" w:eastAsia="方正楷体_GBK"/>
          <w:b/>
          <w:bCs/>
          <w:sz w:val="32"/>
          <w:szCs w:val="32"/>
          <w:shd w:val="clear" w:color="auto" w:fill="FFFFFF"/>
        </w:rPr>
      </w:pPr>
      <w:r>
        <w:rPr>
          <w:rFonts w:ascii="Times New Roman" w:hAnsi="Times New Roman" w:eastAsia="方正楷体_GBK"/>
          <w:b/>
          <w:bCs/>
          <w:sz w:val="32"/>
          <w:szCs w:val="32"/>
          <w:shd w:val="clear" w:color="auto" w:fill="FFFFFF"/>
        </w:rPr>
        <w:t>（二）单位绩效评价情况</w:t>
      </w:r>
    </w:p>
    <w:p>
      <w:pPr>
        <w:pStyle w:val="14"/>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本单位未组织开展绩效评价。</w:t>
      </w:r>
    </w:p>
    <w:p>
      <w:pPr>
        <w:pStyle w:val="11"/>
        <w:autoSpaceDE w:val="0"/>
        <w:spacing w:line="594" w:lineRule="exact"/>
        <w:ind w:firstLine="643"/>
        <w:rPr>
          <w:rFonts w:ascii="Times New Roman" w:hAnsi="Times New Roman" w:eastAsia="方正楷体_GBK"/>
          <w:b/>
          <w:bCs/>
          <w:sz w:val="32"/>
          <w:szCs w:val="32"/>
          <w:shd w:val="clear" w:color="auto" w:fill="FFFFFF"/>
        </w:rPr>
      </w:pPr>
      <w:r>
        <w:rPr>
          <w:rFonts w:ascii="Times New Roman" w:hAnsi="Times New Roman" w:eastAsia="方正楷体_GBK"/>
          <w:b/>
          <w:bCs/>
          <w:sz w:val="32"/>
          <w:szCs w:val="32"/>
          <w:shd w:val="clear" w:color="auto" w:fill="FFFFFF"/>
        </w:rPr>
        <w:t>（三）财政绩效评价情况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县财政局未委托第三方对本单位开展绩效评价。</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Cs/>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（十二）</w:t>
      </w:r>
      <w:r>
        <w:rPr>
          <w:rFonts w:hint="eastAsia" w:ascii="Times New Roman" w:hAnsi="Times New Roman" w:eastAsia="方正楷体_GBK"/>
          <w:b/>
          <w:bCs/>
          <w:sz w:val="32"/>
          <w:szCs w:val="32"/>
          <w:shd w:val="clear" w:color="auto" w:fill="FFFFFF"/>
          <w:lang w:eastAsia="zh-CN"/>
        </w:rPr>
        <w:t>三公</w:t>
      </w:r>
      <w:r>
        <w:rPr>
          <w:rFonts w:hint="default" w:ascii="Times New Roman" w:hAnsi="Times New Roman" w:eastAsia="方正楷体_GBK"/>
          <w:b/>
          <w:bCs/>
          <w:sz w:val="32"/>
          <w:szCs w:val="32"/>
          <w:shd w:val="clear" w:color="auto" w:fill="FFFFFF"/>
        </w:rPr>
        <w:t>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楷体_GBK"/>
          <w:b/>
          <w:bCs/>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Cs/>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本单位决算公开信息反馈和联系方式：程老师023-74603987</w:t>
      </w:r>
    </w:p>
    <w:tbl>
      <w:tblPr>
        <w:tblStyle w:val="7"/>
        <w:tblpPr w:leftFromText="180" w:rightFromText="180" w:vertAnchor="text" w:horzAnchor="page" w:tblpXSpec="center" w:tblpY="22"/>
        <w:tblOverlap w:val="never"/>
        <w:tblW w:w="15905" w:type="dxa"/>
        <w:jc w:val="center"/>
        <w:tblLayout w:type="fixed"/>
        <w:tblCellMar>
          <w:top w:w="0" w:type="dxa"/>
          <w:left w:w="0" w:type="dxa"/>
          <w:bottom w:w="0" w:type="dxa"/>
          <w:right w:w="0" w:type="dxa"/>
        </w:tblCellMar>
      </w:tblPr>
      <w:tblGrid>
        <w:gridCol w:w="4634"/>
        <w:gridCol w:w="3840"/>
        <w:gridCol w:w="4365"/>
        <w:gridCol w:w="3066"/>
      </w:tblGrid>
      <w:tr>
        <w:tblPrEx>
          <w:tblCellMar>
            <w:top w:w="0" w:type="dxa"/>
            <w:left w:w="0" w:type="dxa"/>
            <w:bottom w:w="0" w:type="dxa"/>
            <w:right w:w="0" w:type="dxa"/>
          </w:tblCellMar>
        </w:tblPrEx>
        <w:trPr>
          <w:trHeight w:val="232" w:hRule="atLeast"/>
          <w:jc w:val="center"/>
        </w:trPr>
        <w:tc>
          <w:tcPr>
            <w:tcW w:w="15905"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463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84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36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0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jc w:val="center"/>
        </w:trPr>
        <w:tc>
          <w:tcPr>
            <w:tcW w:w="8474"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中国共产党垫江县委员会组织部（本级）</w:t>
            </w:r>
          </w:p>
        </w:tc>
        <w:tc>
          <w:tcPr>
            <w:tcW w:w="436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0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8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3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1,095.14</w:t>
            </w: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840"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1,095.14</w:t>
            </w: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6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1,095.14</w:t>
            </w:r>
            <w:r>
              <w:rPr>
                <w:rFonts w:ascii="Times New Roman" w:hAnsi="Times New Roman"/>
                <w:color w:val="000000"/>
                <w:sz w:val="20"/>
              </w:rPr>
              <w:t xml:space="preserve"> </w:t>
            </w:r>
          </w:p>
        </w:tc>
        <w:tc>
          <w:tcPr>
            <w:tcW w:w="436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1,095.14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jc w:val="center"/>
        <w:tblLayout w:type="fixed"/>
        <w:tblCellMar>
          <w:top w:w="0" w:type="dxa"/>
          <w:left w:w="0" w:type="dxa"/>
          <w:bottom w:w="0" w:type="dxa"/>
          <w:right w:w="0" w:type="dxa"/>
        </w:tblCellMar>
      </w:tblPr>
      <w:tblGrid>
        <w:gridCol w:w="1645"/>
        <w:gridCol w:w="3024"/>
        <w:gridCol w:w="1455"/>
        <w:gridCol w:w="1485"/>
        <w:gridCol w:w="1425"/>
        <w:gridCol w:w="916"/>
        <w:gridCol w:w="1"/>
        <w:gridCol w:w="1442"/>
        <w:gridCol w:w="1278"/>
        <w:gridCol w:w="1334"/>
        <w:gridCol w:w="1317"/>
      </w:tblGrid>
      <w:tr>
        <w:tblPrEx>
          <w:tblCellMar>
            <w:top w:w="0" w:type="dxa"/>
            <w:left w:w="0" w:type="dxa"/>
            <w:bottom w:w="0" w:type="dxa"/>
            <w:right w:w="0" w:type="dxa"/>
          </w:tblCellMar>
        </w:tblPrEx>
        <w:trPr>
          <w:trHeight w:val="442" w:hRule="atLeast"/>
          <w:jc w:val="center"/>
        </w:trPr>
        <w:tc>
          <w:tcPr>
            <w:tcW w:w="15322" w:type="dxa"/>
            <w:gridSpan w:val="11"/>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612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中国共产党垫江县委员会组织部（本级）</w:t>
            </w:r>
          </w:p>
        </w:tc>
        <w:tc>
          <w:tcPr>
            <w:tcW w:w="14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118" w:hRule="atLeast"/>
          <w:jc w:val="center"/>
        </w:trPr>
        <w:tc>
          <w:tcPr>
            <w:tcW w:w="6124" w:type="dxa"/>
            <w:gridSpan w:val="3"/>
            <w:vMerge w:val="continue"/>
            <w:tcBorders>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48" w:hRule="atLeast"/>
          <w:jc w:val="center"/>
        </w:trPr>
        <w:tc>
          <w:tcPr>
            <w:tcW w:w="4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455"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本年收入合计</w:t>
            </w:r>
          </w:p>
        </w:tc>
        <w:tc>
          <w:tcPr>
            <w:tcW w:w="1485"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财政拨款收入</w:t>
            </w:r>
          </w:p>
        </w:tc>
        <w:tc>
          <w:tcPr>
            <w:tcW w:w="142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上级补助收入</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事业收入</w:t>
            </w:r>
          </w:p>
        </w:tc>
        <w:tc>
          <w:tcPr>
            <w:tcW w:w="127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经营收入</w:t>
            </w:r>
          </w:p>
        </w:tc>
        <w:tc>
          <w:tcPr>
            <w:tcW w:w="133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附属单位上缴收入</w:t>
            </w:r>
          </w:p>
        </w:tc>
        <w:tc>
          <w:tcPr>
            <w:tcW w:w="13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48" w:hRule="atLeast"/>
          <w:jc w:val="center"/>
        </w:trPr>
        <w:tc>
          <w:tcPr>
            <w:tcW w:w="164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2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455"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p>
        </w:tc>
        <w:tc>
          <w:tcPr>
            <w:tcW w:w="1485"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p>
        </w:tc>
        <w:tc>
          <w:tcPr>
            <w:tcW w:w="142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小计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其中：教育收费</w:t>
            </w:r>
          </w:p>
        </w:tc>
        <w:tc>
          <w:tcPr>
            <w:tcW w:w="127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p>
        </w:tc>
        <w:tc>
          <w:tcPr>
            <w:tcW w:w="133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p>
        </w:tc>
        <w:tc>
          <w:tcPr>
            <w:tcW w:w="131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b/>
                <w:color w:val="000000"/>
                <w:sz w:val="20"/>
                <w:szCs w:val="20"/>
              </w:rPr>
            </w:pP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b/>
                <w:color w:val="000000"/>
                <w:sz w:val="20"/>
                <w:szCs w:val="20"/>
              </w:rPr>
            </w:pPr>
            <w:r>
              <w:rPr>
                <w:rFonts w:cs="宋体"/>
                <w:b/>
                <w:color w:val="000000"/>
                <w:sz w:val="20"/>
                <w:szCs w:val="20"/>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1,095.14</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1,095.14</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138.18</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138.18</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18"/>
                <w:szCs w:val="18"/>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54.87</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54.87</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799" w:leftChars="83"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7"/>
        <w:tblW w:w="15322" w:type="dxa"/>
        <w:jc w:val="center"/>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中国共产党垫江县委员会组织部（本级）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jc w:val="center"/>
        </w:trPr>
        <w:tc>
          <w:tcPr>
            <w:tcW w:w="6732" w:type="dxa"/>
            <w:gridSpan w:val="3"/>
            <w:vMerge w:val="continue"/>
            <w:tcBorders>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489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本年支出合计</w:t>
            </w:r>
          </w:p>
        </w:tc>
        <w:tc>
          <w:tcPr>
            <w:tcW w:w="17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基本支出</w:t>
            </w:r>
          </w:p>
        </w:tc>
        <w:tc>
          <w:tcPr>
            <w:tcW w:w="162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项目支出</w:t>
            </w:r>
          </w:p>
        </w:tc>
        <w:tc>
          <w:tcPr>
            <w:tcW w:w="155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上缴上级支出</w:t>
            </w:r>
          </w:p>
        </w:tc>
        <w:tc>
          <w:tcPr>
            <w:tcW w:w="169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经营支出</w:t>
            </w:r>
          </w:p>
        </w:tc>
        <w:tc>
          <w:tcPr>
            <w:tcW w:w="195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82"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cs="宋体"/>
                <w:b/>
                <w:color w:val="000000"/>
                <w:sz w:val="20"/>
                <w:szCs w:val="20"/>
              </w:rPr>
            </w:pPr>
            <w:r>
              <w:rPr>
                <w:rFonts w:cs="宋体"/>
                <w:b/>
                <w:color w:val="000000"/>
                <w:sz w:val="20"/>
                <w:szCs w:val="20"/>
              </w:rPr>
              <w:t>功能分类科目编码</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cs="宋体"/>
                <w:b/>
                <w:color w:val="000000"/>
                <w:sz w:val="20"/>
                <w:szCs w:val="20"/>
              </w:rPr>
            </w:pPr>
            <w:r>
              <w:rPr>
                <w:rFonts w:cs="宋体"/>
                <w:b/>
                <w:color w:val="000000"/>
                <w:sz w:val="20"/>
                <w:szCs w:val="20"/>
              </w:rPr>
              <w:t>项目（按“项”级功能分类科目）</w:t>
            </w:r>
          </w:p>
        </w:tc>
        <w:tc>
          <w:tcPr>
            <w:tcW w:w="1839"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p>
        </w:tc>
        <w:tc>
          <w:tcPr>
            <w:tcW w:w="1762"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p>
        </w:tc>
        <w:tc>
          <w:tcPr>
            <w:tcW w:w="1621"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p>
        </w:tc>
        <w:tc>
          <w:tcPr>
            <w:tcW w:w="1557"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p>
        </w:tc>
        <w:tc>
          <w:tcPr>
            <w:tcW w:w="1692"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p>
        </w:tc>
        <w:tc>
          <w:tcPr>
            <w:tcW w:w="1958"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82" w:hRule="atLeast"/>
          <w:jc w:val="center"/>
        </w:trPr>
        <w:tc>
          <w:tcPr>
            <w:tcW w:w="489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1,095.14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638.39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456.75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0" w:hRule="atLeast"/>
          <w:jc w:val="center"/>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firstLine="200" w:firstLineChars="1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jc w:val="center"/>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中国共产党垫江县委员会组织部（本级）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ind w:firstLine="600" w:firstLineChars="3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中国共产党垫江县委员会组织部（本级）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4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bCs/>
                <w:color w:val="000000"/>
                <w:sz w:val="20"/>
                <w:szCs w:val="20"/>
              </w:rPr>
            </w:pPr>
            <w:r>
              <w:rPr>
                <w:rFonts w:cs="宋体"/>
                <w:b/>
                <w:color w:val="000000"/>
                <w:sz w:val="20"/>
                <w:szCs w:val="20"/>
              </w:rPr>
              <w:t>合计</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bCs/>
                <w:color w:val="000000"/>
                <w:sz w:val="20"/>
                <w:szCs w:val="20"/>
              </w:rPr>
            </w:pPr>
            <w:r>
              <w:rPr>
                <w:rFonts w:cs="宋体"/>
                <w:b/>
                <w:color w:val="000000"/>
                <w:sz w:val="20"/>
                <w:szCs w:val="20"/>
              </w:rPr>
              <w:t>基本支出</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bCs/>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08" w:hRule="atLeast"/>
          <w:jc w:val="center"/>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1,095.14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638.39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p>
    <w:p>
      <w:pPr>
        <w:ind w:firstLine="630" w:firstLineChars="300"/>
        <w:rPr>
          <w:rFonts w:hint="default" w:cs="宋体"/>
          <w:sz w:val="21"/>
          <w:szCs w:val="21"/>
        </w:rPr>
      </w:pPr>
      <w:r>
        <w:rPr>
          <w:rFonts w:cs="宋体"/>
          <w:sz w:val="21"/>
          <w:szCs w:val="21"/>
        </w:rPr>
        <w:br w:type="page"/>
      </w:r>
    </w:p>
    <w:tbl>
      <w:tblPr>
        <w:tblStyle w:val="7"/>
        <w:tblW w:w="15304" w:type="dxa"/>
        <w:jc w:val="center"/>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jc w:val="center"/>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中国共产党垫江县委员会组织部（本级）</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jc w:val="center"/>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529.33</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109.06</w:t>
            </w:r>
            <w:r>
              <w:rPr>
                <w:rFonts w:ascii="Times New Roman" w:hAnsi="Times New Roman"/>
                <w:color w:val="000000"/>
                <w:sz w:val="18"/>
              </w:rPr>
              <w:t xml:space="preserve"> </w:t>
            </w:r>
          </w:p>
        </w:tc>
      </w:tr>
    </w:tbl>
    <w:p>
      <w:pPr>
        <w:spacing w:line="280"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中国共产党垫江县委员会组织部（本级）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中国共产党垫江县委员会组织部（本级）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jc w:val="center"/>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jc w:val="center"/>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ind w:firstLine="200" w:firstLineChars="1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905" w:type="dxa"/>
        <w:jc w:val="center"/>
        <w:tblLayout w:type="fixed"/>
        <w:tblCellMar>
          <w:top w:w="0" w:type="dxa"/>
          <w:left w:w="170" w:type="dxa"/>
          <w:bottom w:w="0" w:type="dxa"/>
          <w:right w:w="170" w:type="dxa"/>
        </w:tblCellMar>
      </w:tblPr>
      <w:tblGrid>
        <w:gridCol w:w="3575"/>
        <w:gridCol w:w="2719"/>
        <w:gridCol w:w="2673"/>
        <w:gridCol w:w="4132"/>
        <w:gridCol w:w="2806"/>
      </w:tblGrid>
      <w:tr>
        <w:tblPrEx>
          <w:tblCellMar>
            <w:top w:w="0" w:type="dxa"/>
            <w:left w:w="170" w:type="dxa"/>
            <w:bottom w:w="0" w:type="dxa"/>
            <w:right w:w="170" w:type="dxa"/>
          </w:tblCellMar>
        </w:tblPrEx>
        <w:trPr>
          <w:trHeight w:val="343" w:hRule="atLeast"/>
          <w:jc w:val="center"/>
        </w:trPr>
        <w:tc>
          <w:tcPr>
            <w:tcW w:w="15905"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3575"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719"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67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13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80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629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中国共产党垫江县委员会组织部（本级）</w:t>
            </w:r>
          </w:p>
        </w:tc>
        <w:tc>
          <w:tcPr>
            <w:tcW w:w="267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13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80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109.06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21.69</w:t>
            </w: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21.69</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109.06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9.71</w:t>
            </w: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9.71</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9.71</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142</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986</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0.63</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37.23</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21.65</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45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0926F5"/>
    <w:rsid w:val="001348CB"/>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B7DDF"/>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C12DAB"/>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22463B"/>
    <w:rsid w:val="0969353F"/>
    <w:rsid w:val="098305D0"/>
    <w:rsid w:val="09B1218B"/>
    <w:rsid w:val="0A2A19F9"/>
    <w:rsid w:val="0A3317EA"/>
    <w:rsid w:val="0A41782C"/>
    <w:rsid w:val="0A5C4B69"/>
    <w:rsid w:val="0A86124A"/>
    <w:rsid w:val="0AB54CC0"/>
    <w:rsid w:val="0B9335CE"/>
    <w:rsid w:val="0BF2311A"/>
    <w:rsid w:val="0C7927C4"/>
    <w:rsid w:val="0C9B098C"/>
    <w:rsid w:val="0D673E11"/>
    <w:rsid w:val="0DDA54E4"/>
    <w:rsid w:val="0E3A5F83"/>
    <w:rsid w:val="0EC75A69"/>
    <w:rsid w:val="0F836721"/>
    <w:rsid w:val="0FA25D96"/>
    <w:rsid w:val="107B59E5"/>
    <w:rsid w:val="10EC0126"/>
    <w:rsid w:val="10F70B9A"/>
    <w:rsid w:val="111445C7"/>
    <w:rsid w:val="114278C6"/>
    <w:rsid w:val="1158083A"/>
    <w:rsid w:val="11643A4B"/>
    <w:rsid w:val="11C32885"/>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C595D"/>
    <w:rsid w:val="1F2C5189"/>
    <w:rsid w:val="1F4B0B02"/>
    <w:rsid w:val="1FBB35CD"/>
    <w:rsid w:val="1FCD26AF"/>
    <w:rsid w:val="20642787"/>
    <w:rsid w:val="21556F04"/>
    <w:rsid w:val="22403BD3"/>
    <w:rsid w:val="22AD3177"/>
    <w:rsid w:val="23502079"/>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372028"/>
    <w:rsid w:val="2C636760"/>
    <w:rsid w:val="2C6762A3"/>
    <w:rsid w:val="2E3541A5"/>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B08FF"/>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DED6B72"/>
    <w:rsid w:val="3E1D0952"/>
    <w:rsid w:val="3E42660A"/>
    <w:rsid w:val="3E7555B1"/>
    <w:rsid w:val="3E787ED9"/>
    <w:rsid w:val="3F032E93"/>
    <w:rsid w:val="3F0527E5"/>
    <w:rsid w:val="3F4C52C6"/>
    <w:rsid w:val="3F694D83"/>
    <w:rsid w:val="3F885DCC"/>
    <w:rsid w:val="3FCD675E"/>
    <w:rsid w:val="4004000C"/>
    <w:rsid w:val="4011332F"/>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1812EF"/>
    <w:rsid w:val="4CA010CC"/>
    <w:rsid w:val="4D1F53CA"/>
    <w:rsid w:val="4D937DCE"/>
    <w:rsid w:val="4DAC4ACA"/>
    <w:rsid w:val="4DBE01D2"/>
    <w:rsid w:val="4EFD467F"/>
    <w:rsid w:val="4F0C6BA3"/>
    <w:rsid w:val="4F186D58"/>
    <w:rsid w:val="4FFA3D35"/>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9A87812"/>
    <w:rsid w:val="5A3B59D6"/>
    <w:rsid w:val="5AD134D8"/>
    <w:rsid w:val="5BB05DA2"/>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9C6DAF"/>
    <w:rsid w:val="6BC938E5"/>
    <w:rsid w:val="6C0A5AC5"/>
    <w:rsid w:val="6C270A6A"/>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840E1C"/>
    <w:rsid w:val="75BC0475"/>
    <w:rsid w:val="764F62AB"/>
    <w:rsid w:val="765C45EC"/>
    <w:rsid w:val="768A7619"/>
    <w:rsid w:val="76BD23AB"/>
    <w:rsid w:val="772E1EBA"/>
    <w:rsid w:val="781926BC"/>
    <w:rsid w:val="79312F28"/>
    <w:rsid w:val="796D60A4"/>
    <w:rsid w:val="79A031D5"/>
    <w:rsid w:val="79B47FDF"/>
    <w:rsid w:val="79E569A9"/>
    <w:rsid w:val="7A1525F7"/>
    <w:rsid w:val="7B420052"/>
    <w:rsid w:val="7BD06A28"/>
    <w:rsid w:val="7C3A7C0B"/>
    <w:rsid w:val="7C5248E4"/>
    <w:rsid w:val="7C566698"/>
    <w:rsid w:val="7C5866A3"/>
    <w:rsid w:val="7D6C09D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10422</Words>
  <Characters>13304</Characters>
  <Lines>116</Lines>
  <Paragraphs>32</Paragraphs>
  <TotalTime>6</TotalTime>
  <ScaleCrop>false</ScaleCrop>
  <LinksUpToDate>false</LinksUpToDate>
  <CharactersWithSpaces>14407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cp:lastPrinted>2025-09-12T08:36:00Z</cp:lastPrinted>
  <dcterms:modified xsi:type="dcterms:W3CDTF">2025-09-18T11:17:06Z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eyJoZGlkIjoiMGMxYzUwMmJmYzg0ODI5OTBlNWQzM2EzM2RiMDI2MWMiLCJ1c2VySWQiOiIxNDk4NzQ0NDQ0In0=</vt:lpwstr>
  </property>
</Properties>
</file>