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594" w:lineRule="exact"/>
        <w:jc w:val="center"/>
        <w:rPr>
          <w:rFonts w:hint="default" w:ascii="Times New Roman" w:hAnsi="Times New Roman" w:eastAsia="方正小标宋_GBK"/>
          <w:b/>
          <w:bCs/>
          <w:sz w:val="44"/>
          <w:szCs w:val="44"/>
          <w:shd w:val="clear" w:color="auto" w:fill="FFFFFF"/>
        </w:rPr>
      </w:pPr>
      <w:r>
        <w:rPr>
          <w:rFonts w:hint="default" w:ascii="Times New Roman" w:hAnsi="Times New Roman" w:eastAsia="方正小标宋_GBK"/>
          <w:b/>
          <w:bCs/>
          <w:sz w:val="44"/>
          <w:szCs w:val="44"/>
        </w:rPr>
        <w:t>垫江县干部档案管理中心</w:t>
      </w:r>
      <w:r>
        <w:rPr>
          <w:rFonts w:hint="default" w:ascii="Times New Roman" w:hAnsi="Times New Roman" w:eastAsia="方正小标宋_GBK"/>
          <w:b/>
          <w:bCs/>
          <w:sz w:val="44"/>
          <w:szCs w:val="44"/>
          <w:shd w:val="clear" w:color="auto" w:fill="FFFFFF"/>
        </w:rPr>
        <w:t>2024年度</w:t>
      </w:r>
    </w:p>
    <w:p>
      <w:pPr>
        <w:pStyle w:val="6"/>
        <w:widowControl w:val="0"/>
        <w:spacing w:before="0" w:beforeAutospacing="0" w:after="0" w:afterAutospacing="0" w:line="594" w:lineRule="exact"/>
        <w:jc w:val="center"/>
        <w:rPr>
          <w:rFonts w:hint="default" w:ascii="Times New Roman" w:hAnsi="Times New Roman" w:eastAsia="方正小标宋_GBK"/>
          <w:b/>
          <w:bCs/>
          <w:sz w:val="44"/>
          <w:szCs w:val="44"/>
          <w:shd w:val="clear" w:color="auto" w:fill="FFFFFF"/>
        </w:rPr>
      </w:pPr>
      <w:r>
        <w:rPr>
          <w:rFonts w:hint="default" w:ascii="Times New Roman" w:hAnsi="Times New Roman" w:eastAsia="方正小标宋_GBK"/>
          <w:b/>
          <w:bCs/>
          <w:sz w:val="44"/>
          <w:szCs w:val="44"/>
          <w:shd w:val="clear" w:color="auto" w:fill="FFFFFF"/>
        </w:rPr>
        <w:t>决算公开说明</w:t>
      </w:r>
    </w:p>
    <w:p>
      <w:pPr>
        <w:pStyle w:val="6"/>
        <w:widowControl w:val="0"/>
        <w:spacing w:before="0" w:beforeAutospacing="0" w:after="0" w:afterAutospacing="0" w:line="594" w:lineRule="exact"/>
        <w:jc w:val="center"/>
        <w:rPr>
          <w:rFonts w:hint="default" w:ascii="Times New Roman" w:hAnsi="Times New Roman" w:eastAsia="方正小标宋_GBK"/>
          <w:b/>
          <w:bCs/>
          <w:sz w:val="44"/>
          <w:szCs w:val="44"/>
          <w:shd w:val="clear" w:color="auto" w:fill="FFFFFF"/>
        </w:rPr>
      </w:pPr>
    </w:p>
    <w:p>
      <w:pPr>
        <w:pStyle w:val="6"/>
        <w:widowControl w:val="0"/>
        <w:shd w:val="clear" w:color="auto" w:fill="FFFFFF"/>
        <w:spacing w:before="0" w:beforeAutospacing="0" w:after="0" w:afterAutospacing="0" w:line="594" w:lineRule="exact"/>
        <w:ind w:firstLine="640" w:firstLineChars="200"/>
        <w:rPr>
          <w:rFonts w:hint="default" w:ascii="Times New Roman" w:hAnsi="Times New Roman" w:eastAsia="方正黑体_GBK"/>
          <w:bCs/>
          <w:sz w:val="32"/>
          <w:szCs w:val="32"/>
        </w:rPr>
      </w:pPr>
      <w:r>
        <w:rPr>
          <w:rStyle w:val="10"/>
          <w:rFonts w:hint="default" w:ascii="Times New Roman" w:hAnsi="Times New Roman" w:eastAsia="方正黑体_GBK"/>
          <w:b w:val="0"/>
          <w:bCs/>
          <w:sz w:val="32"/>
          <w:szCs w:val="32"/>
          <w:shd w:val="clear" w:color="auto" w:fill="FFFFFF"/>
        </w:rPr>
        <w:t>一、</w:t>
      </w:r>
      <w:r>
        <w:rPr>
          <w:rStyle w:val="10"/>
          <w:rFonts w:ascii="Times New Roman" w:hAnsi="Times New Roman" w:eastAsia="方正黑体_GBK"/>
          <w:b w:val="0"/>
          <w:bCs/>
          <w:sz w:val="32"/>
          <w:szCs w:val="32"/>
          <w:shd w:val="clear" w:color="auto" w:fill="FFFFFF"/>
        </w:rPr>
        <w:t>单位</w:t>
      </w:r>
      <w:r>
        <w:rPr>
          <w:rStyle w:val="10"/>
          <w:rFonts w:hint="default" w:ascii="Times New Roman" w:hAnsi="Times New Roman" w:eastAsia="方正黑体_GBK"/>
          <w:b w:val="0"/>
          <w:bCs/>
          <w:sz w:val="32"/>
          <w:szCs w:val="32"/>
          <w:shd w:val="clear" w:color="auto" w:fill="FFFFFF"/>
        </w:rPr>
        <w:t>基本情况</w:t>
      </w:r>
    </w:p>
    <w:p>
      <w:pPr>
        <w:pStyle w:val="6"/>
        <w:widowControl w:val="0"/>
        <w:shd w:val="clear" w:color="auto" w:fill="FFFFFF"/>
        <w:spacing w:before="0" w:beforeAutospacing="0" w:after="0" w:afterAutospacing="0" w:line="594" w:lineRule="exact"/>
        <w:ind w:firstLine="643" w:firstLineChars="200"/>
        <w:rPr>
          <w:rFonts w:hint="default" w:ascii="Times New Roman" w:hAnsi="Times New Roman" w:eastAsia="方正楷体_GBK"/>
          <w:sz w:val="32"/>
          <w:szCs w:val="32"/>
        </w:rPr>
      </w:pPr>
      <w:r>
        <w:rPr>
          <w:rStyle w:val="10"/>
          <w:rFonts w:hint="default" w:ascii="Times New Roman" w:hAnsi="Times New Roman" w:eastAsia="方正楷体_GBK"/>
          <w:sz w:val="32"/>
          <w:szCs w:val="32"/>
          <w:shd w:val="clear" w:color="auto" w:fill="FFFFFF"/>
        </w:rPr>
        <w:t>（一）职能职责</w:t>
      </w:r>
    </w:p>
    <w:p>
      <w:pPr>
        <w:pStyle w:val="12"/>
        <w:widowControl w:val="0"/>
        <w:autoSpaceDE w:val="0"/>
        <w:spacing w:before="0" w:beforeAutospacing="0" w:after="0" w:afterAutospacing="0" w:line="594"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1.</w:t>
      </w:r>
      <w:r>
        <w:rPr>
          <w:rFonts w:ascii="Times New Roman" w:hAnsi="Times New Roman" w:eastAsia="方正仿宋_GBK"/>
          <w:b/>
          <w:bCs/>
          <w:sz w:val="32"/>
          <w:szCs w:val="32"/>
          <w:shd w:val="clear" w:color="auto" w:fill="FFFFFF"/>
        </w:rPr>
        <w:t>垫江县干部档案管理中心</w:t>
      </w:r>
      <w:r>
        <w:rPr>
          <w:rFonts w:ascii="Times New Roman" w:hAnsi="Times New Roman" w:eastAsia="方正仿宋_GBK"/>
          <w:b/>
          <w:bCs/>
          <w:sz w:val="32"/>
          <w:szCs w:val="32"/>
        </w:rPr>
        <w:t>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县管领导干部人事档案管理和应用；指导和督促其</w:t>
      </w:r>
      <w:r>
        <w:rPr>
          <w:rFonts w:hint="eastAsia" w:ascii="Times New Roman" w:hAnsi="Times New Roman" w:eastAsia="方正仿宋_GBK"/>
          <w:sz w:val="32"/>
          <w:szCs w:val="32"/>
          <w:lang w:eastAsia="zh-CN"/>
        </w:rPr>
        <w:t>他</w:t>
      </w:r>
      <w:r>
        <w:rPr>
          <w:rFonts w:hint="default" w:ascii="Times New Roman" w:hAnsi="Times New Roman" w:eastAsia="方正仿宋_GBK"/>
          <w:sz w:val="32"/>
          <w:szCs w:val="32"/>
        </w:rPr>
        <w:t>管档单位做好干部人事档案工作。</w:t>
      </w:r>
    </w:p>
    <w:p>
      <w:pPr>
        <w:widowControl w:val="0"/>
        <w:autoSpaceDE w:val="0"/>
        <w:spacing w:line="594" w:lineRule="exact"/>
        <w:ind w:firstLine="643" w:firstLineChars="200"/>
        <w:jc w:val="both"/>
        <w:rPr>
          <w:rFonts w:hint="default" w:ascii="Times New Roman" w:hAnsi="Times New Roman" w:eastAsia="方正仿宋_GBK"/>
          <w:b/>
          <w:bCs/>
          <w:sz w:val="32"/>
          <w:szCs w:val="32"/>
          <w:shd w:val="clear" w:color="auto" w:fill="FFFFFF"/>
        </w:rPr>
      </w:pPr>
      <w:r>
        <w:rPr>
          <w:rFonts w:hint="default" w:ascii="Times New Roman" w:hAnsi="Times New Roman" w:eastAsia="方正仿宋_GBK"/>
          <w:b/>
          <w:bCs/>
          <w:sz w:val="32"/>
          <w:szCs w:val="32"/>
          <w:shd w:val="clear" w:color="auto" w:fill="FFFFFF"/>
        </w:rPr>
        <w:t>2.垫江县老干部服务中心</w:t>
      </w:r>
      <w:r>
        <w:rPr>
          <w:rFonts w:hint="default" w:ascii="Times New Roman" w:hAnsi="Times New Roman" w:eastAsia="方正仿宋_GBK"/>
          <w:b/>
          <w:bCs/>
          <w:sz w:val="32"/>
          <w:szCs w:val="32"/>
        </w:rPr>
        <w:t>职能职责</w:t>
      </w:r>
    </w:p>
    <w:p>
      <w:pPr>
        <w:widowControl w:val="0"/>
        <w:spacing w:line="594"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rPr>
        <w:t>宣传和贯彻执行老干部工作方针政策；组织老干部政治学习、开展文体健身活动；指导、协调涉老组织开展活动；做好老干部日常管理服务。</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（二）机构设置</w:t>
      </w:r>
    </w:p>
    <w:p>
      <w:pPr>
        <w:pStyle w:val="6"/>
        <w:widowControl w:val="0"/>
        <w:shd w:val="clear" w:color="auto" w:fill="FFFFFF"/>
        <w:spacing w:before="0" w:beforeAutospacing="0" w:after="0" w:afterAutospacing="0" w:line="594" w:lineRule="exact"/>
        <w:ind w:firstLine="640" w:firstLineChars="200"/>
        <w:rPr>
          <w:rStyle w:val="10"/>
          <w:rFonts w:hint="default" w:ascii="Times New Roman" w:hAnsi="Times New Roman" w:eastAsia="楷体"/>
          <w:sz w:val="32"/>
          <w:szCs w:val="32"/>
          <w:shd w:val="clear" w:color="auto" w:fill="FFFFFF"/>
        </w:rPr>
      </w:pPr>
      <w:r>
        <w:rPr>
          <w:rFonts w:hint="default" w:ascii="Times New Roman" w:hAnsi="Times New Roman" w:eastAsia="方正仿宋_GBK"/>
          <w:sz w:val="32"/>
          <w:szCs w:val="32"/>
        </w:rPr>
        <w:t>垫江县干部档案管理中心内设2个机构：</w:t>
      </w:r>
      <w:r>
        <w:rPr>
          <w:rFonts w:hint="default" w:ascii="Times New Roman" w:hAnsi="Times New Roman" w:eastAsia="方正仿宋_GBK"/>
          <w:sz w:val="32"/>
          <w:szCs w:val="32"/>
          <w:shd w:val="clear" w:color="auto" w:fill="FFFFFF"/>
        </w:rPr>
        <w:t>档案管理科、业务指导科，垫江县老干部服务中心</w:t>
      </w:r>
      <w:r>
        <w:rPr>
          <w:rFonts w:hint="default" w:ascii="Times New Roman" w:hAnsi="Times New Roman" w:eastAsia="方正仿宋_GBK"/>
          <w:sz w:val="32"/>
          <w:szCs w:val="32"/>
        </w:rPr>
        <w:t>内设2个机构：</w:t>
      </w:r>
      <w:r>
        <w:rPr>
          <w:rFonts w:hint="default" w:ascii="Times New Roman" w:hAnsi="Times New Roman" w:eastAsia="方正仿宋_GBK"/>
          <w:sz w:val="32"/>
          <w:szCs w:val="32"/>
          <w:shd w:val="clear" w:color="auto" w:fill="FFFFFF"/>
        </w:rPr>
        <w:t>宣教科、活动科。事业编制14名，实有工作人员11人。</w:t>
      </w:r>
    </w:p>
    <w:p>
      <w:pPr>
        <w:pStyle w:val="6"/>
        <w:widowControl w:val="0"/>
        <w:shd w:val="clear" w:color="auto" w:fill="FFFFFF"/>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hint="default" w:ascii="黑体" w:hAnsi="黑体" w:eastAsia="黑体" w:cs="黑体"/>
          <w:sz w:val="32"/>
          <w:szCs w:val="32"/>
          <w:shd w:val="clear" w:color="auto" w:fill="FFFFFF"/>
        </w:rPr>
        <w:t>二、</w:t>
      </w:r>
      <w:r>
        <w:rPr>
          <w:rStyle w:val="10"/>
          <w:rFonts w:ascii="黑体" w:hAnsi="黑体" w:eastAsia="黑体" w:cs="黑体"/>
          <w:sz w:val="32"/>
          <w:szCs w:val="32"/>
          <w:shd w:val="clear" w:color="auto" w:fill="FFFFFF"/>
        </w:rPr>
        <w:t>单位决算收支情况说明</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（一）收入支出决算总体情况说明</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2024年度收入总计251.07万元，支出总计</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万元。收、支与2023年度相比，增加6.91万元，增长2.83%，主要原因是职工工资调标，医保社保缴费基数调增，支出增加。</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2024年度收入合计251.07万元，与2023年度相比，增加6.91万元，增长2.83%，主要原因是职工工资调标，医保社保缴费基数调增，支出增加。其中：财政拨款收入</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万元，与2023年度相比，增加6.91万元，增长2.83%，主要原因是职工工资调标，医保社保缴费基数调增，支出增加。其中：基本支出</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本年度收支平衡</w:t>
      </w:r>
      <w:r>
        <w:rPr>
          <w:rFonts w:hint="default" w:ascii="Times New Roman" w:hAnsi="Times New Roman" w:eastAsia="方正仿宋_GBK"/>
          <w:sz w:val="32"/>
          <w:szCs w:val="32"/>
          <w:shd w:val="clear" w:color="auto" w:fill="FFFFFF"/>
        </w:rPr>
        <w:t>，无结转结余。</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（二）财政拨款收入支出决算总体情况说明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2024年度财政拨款收、支总计251.07万元。与2023年相比，财政拨款收、支总计各增加6.91万元，增长2.83%。主要原因是职工工资调标，医保社保缴费基数调增，支出增加。</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（三）一般公共预算财政拨款收入支出决算情况说明</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与2023年度相比，增加6.91万元，增长2.83%。主要原因是职工工资调标，医保社保缴费基数调增，支出增加。较年初预算数增加39.85万元，增长18.87%。主要原因是职工工资调标，医保、社保、公积金缴费基数调增，支出增加。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251.07</w:t>
      </w:r>
      <w:r>
        <w:rPr>
          <w:rFonts w:hint="default" w:ascii="Times New Roman" w:hAnsi="Times New Roman" w:eastAsia="方正仿宋_GBK"/>
          <w:sz w:val="32"/>
          <w:szCs w:val="32"/>
          <w:shd w:val="clear" w:color="auto" w:fill="FFFFFF"/>
        </w:rPr>
        <w:t>万元，与2023年度相比，增加6.91万元，增长2.83%。主要原因是职工工资调标，医保社保缴费基数调增，支出增加。较年初预算数增加39.85万元，增长18.87%。主要原因是职工工资调标，医保、社保、公积金缴费基数调增，支出增加。</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本年度收支平衡</w:t>
      </w:r>
      <w:r>
        <w:rPr>
          <w:rFonts w:hint="default" w:ascii="Times New Roman" w:hAnsi="Times New Roman" w:eastAsia="方正仿宋_GBK"/>
          <w:sz w:val="32"/>
          <w:szCs w:val="32"/>
          <w:shd w:val="clear" w:color="auto" w:fill="FFFFFF"/>
        </w:rPr>
        <w:t>，无结转结余。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173.66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69.17</w:t>
      </w:r>
      <w:r>
        <w:rPr>
          <w:rFonts w:hint="default" w:ascii="Times New Roman" w:hAnsi="Times New Roman" w:eastAsia="方正仿宋_GBK"/>
          <w:sz w:val="32"/>
          <w:szCs w:val="32"/>
          <w:shd w:val="clear" w:color="auto" w:fill="FFFFFF"/>
        </w:rPr>
        <w:t>%，较年初预算数增加1.28万元，增长0.74%，主要原因是职工工资调标。</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0.04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%，较年初预算数减少0.60万元，下降93.75%，主要原因是职工学习培训减少。</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45.26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18.03</w:t>
      </w:r>
      <w:r>
        <w:rPr>
          <w:rFonts w:hint="default" w:ascii="Times New Roman" w:hAnsi="Times New Roman" w:eastAsia="方正仿宋_GBK"/>
          <w:sz w:val="32"/>
          <w:szCs w:val="32"/>
          <w:shd w:val="clear" w:color="auto" w:fill="FFFFFF"/>
        </w:rPr>
        <w:t>%，较年初预算数增加25.33万元，增长127.09%，主要原因是职工工资调标，社保缴费基数调增，支出增加。</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8.59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3.42</w:t>
      </w:r>
      <w:r>
        <w:rPr>
          <w:rFonts w:hint="default" w:ascii="Times New Roman" w:hAnsi="Times New Roman" w:eastAsia="方正仿宋_GBK"/>
          <w:sz w:val="32"/>
          <w:szCs w:val="32"/>
          <w:shd w:val="clear" w:color="auto" w:fill="FFFFFF"/>
        </w:rPr>
        <w:t>%，较年初预算数增加0.28万元，增长3.37%，主要原因是职工工资调标，医保缴费基数调增，支出增加。</w:t>
      </w:r>
    </w:p>
    <w:p>
      <w:pPr>
        <w:widowControl w:val="0"/>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住房保障支出23.52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9.37</w:t>
      </w:r>
      <w:r>
        <w:rPr>
          <w:rFonts w:hint="default" w:ascii="Times New Roman" w:hAnsi="Times New Roman" w:eastAsia="方正仿宋_GBK"/>
          <w:sz w:val="32"/>
          <w:szCs w:val="32"/>
          <w:shd w:val="clear" w:color="auto" w:fill="FFFFFF"/>
        </w:rPr>
        <w:t>%，较年初预算数增加13.55万元，增长135.91%，主要原因是职工工资调标，公积金缴费基数调增，支出增加。</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hint="default" w:ascii="Times New Roman" w:hAnsi="Times New Roman" w:eastAsia="方正楷体_GBK"/>
          <w:sz w:val="32"/>
          <w:szCs w:val="32"/>
          <w:shd w:val="clear" w:color="auto" w:fill="FFFFFF"/>
        </w:rPr>
        <w:t>（四）一般公共预算财政拨款基本支出决算情况说明</w:t>
      </w:r>
    </w:p>
    <w:p>
      <w:pPr>
        <w:pStyle w:val="12"/>
        <w:widowControl w:val="0"/>
        <w:autoSpaceDE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auto" w:fill="FFFFFF"/>
        </w:rPr>
        <w:t>2024年度一般公共财政拨款基本支出</w:t>
      </w:r>
      <w:r>
        <w:rPr>
          <w:rFonts w:ascii="Times New Roman" w:hAnsi="Times New Roman" w:eastAsia="方正仿宋_GBK"/>
          <w:sz w:val="32"/>
          <w:szCs w:val="32"/>
        </w:rPr>
        <w:t>251.07</w:t>
      </w:r>
      <w:r>
        <w:rPr>
          <w:rFonts w:ascii="Times New Roman" w:hAnsi="Times New Roman" w:eastAsia="方正仿宋_GBK"/>
          <w:sz w:val="32"/>
          <w:szCs w:val="32"/>
          <w:shd w:val="clear" w:color="auto" w:fill="FFFFFF"/>
        </w:rPr>
        <w:t>万元。其中：人员经费</w:t>
      </w:r>
      <w:r>
        <w:rPr>
          <w:rFonts w:ascii="Times New Roman" w:hAnsi="Times New Roman" w:eastAsia="方正仿宋_GBK"/>
          <w:sz w:val="32"/>
          <w:szCs w:val="32"/>
        </w:rPr>
        <w:t>233.73</w:t>
      </w:r>
      <w:r>
        <w:rPr>
          <w:rFonts w:ascii="Times New Roman" w:hAnsi="Times New Roman" w:eastAsia="方正仿宋_GBK"/>
          <w:sz w:val="32"/>
          <w:szCs w:val="32"/>
          <w:shd w:val="clear" w:color="auto" w:fill="FFFFFF"/>
        </w:rPr>
        <w:t>万元，与2023年度相比，增加16.46万元，增长7.58%，主要原因是职工工资调标。人员经费用途主要包括基本工资、绩效工资、津贴补贴、社会保障缴费、伙食补助、其他工资福利支出等。公用经费</w:t>
      </w:r>
      <w:r>
        <w:rPr>
          <w:rFonts w:ascii="Times New Roman" w:hAnsi="Times New Roman" w:eastAsia="方正仿宋_GBK"/>
          <w:sz w:val="32"/>
          <w:szCs w:val="32"/>
        </w:rPr>
        <w:t>17.35</w:t>
      </w:r>
      <w:r>
        <w:rPr>
          <w:rFonts w:ascii="Times New Roman" w:hAnsi="Times New Roman" w:eastAsia="方正仿宋_GBK"/>
          <w:sz w:val="32"/>
          <w:szCs w:val="32"/>
          <w:shd w:val="clear" w:color="auto" w:fill="FFFFFF"/>
        </w:rPr>
        <w:t>万元，与2023年度相比，减少9.54万元，下降35.48%，主要原因是部分经费在部机关列支，差旅费减少。公用经费用途主要包括办公费、印刷费、邮电费、差旅费、培训费、会议费以及其他商品和服务支出等。</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（五）政府性基金预算收支决算情况说明</w:t>
      </w:r>
    </w:p>
    <w:p>
      <w:pPr>
        <w:pStyle w:val="12"/>
        <w:widowControl w:val="0"/>
        <w:autoSpaceDE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bookmarkStart w:id="0" w:name="_GoBack"/>
      <w:bookmarkEnd w:id="0"/>
      <w:r>
        <w:rPr>
          <w:rFonts w:hint="default" w:ascii="Times New Roman" w:hAnsi="Times New Roman" w:eastAsia="方正仿宋_GBK" w:cs="Times New Roman"/>
          <w:color w:val="000000" w:themeColor="text1"/>
          <w:sz w:val="32"/>
          <w:szCs w:val="32"/>
          <w:shd w:val="clear" w:color="auto" w:fill="FFFFFF"/>
        </w:rPr>
        <w:t>是本年度无政府性基金预算财政拨款支出。本单位2024年度无政府性基金预算财政拨款收支。</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（六）国有资本经营预算财政拨款支出决算情况说明</w:t>
      </w:r>
    </w:p>
    <w:p>
      <w:pPr>
        <w:pStyle w:val="11"/>
        <w:widowControl w:val="0"/>
        <w:autoSpaceDE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楷体_GBK"/>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（一）</w:t>
      </w:r>
      <w:r>
        <w:rPr>
          <w:rStyle w:val="10"/>
          <w:rFonts w:hint="eastAsia" w:ascii="Times New Roman" w:hAnsi="Times New Roman" w:eastAsia="方正楷体_GBK"/>
          <w:sz w:val="32"/>
          <w:szCs w:val="32"/>
          <w:shd w:val="clear" w:color="auto" w:fill="FFFFFF"/>
          <w:lang w:eastAsia="zh-CN"/>
        </w:rPr>
        <w:t>三公</w:t>
      </w:r>
      <w:r>
        <w:rPr>
          <w:rStyle w:val="10"/>
          <w:rFonts w:ascii="Times New Roman" w:hAnsi="Times New Roman" w:eastAsia="方正楷体_GBK"/>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经费支出共计0.00万元，较年初预算数无增减，主要原因是我单位2024年未发生</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经费支出。较上年支出数无增减，主要原因是我单位本年及上年均未发生</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（二）</w:t>
      </w:r>
      <w:r>
        <w:rPr>
          <w:rStyle w:val="10"/>
          <w:rFonts w:hint="eastAsia" w:ascii="Times New Roman" w:hAnsi="Times New Roman" w:eastAsia="方正楷体_GBK"/>
          <w:sz w:val="32"/>
          <w:szCs w:val="32"/>
          <w:shd w:val="clear" w:color="auto" w:fill="FFFFFF"/>
          <w:lang w:eastAsia="zh-CN"/>
        </w:rPr>
        <w:t>三公</w:t>
      </w:r>
      <w:r>
        <w:rPr>
          <w:rStyle w:val="10"/>
          <w:rFonts w:ascii="Times New Roman" w:hAnsi="Times New Roman" w:eastAsia="方正楷体_GBK"/>
          <w:sz w:val="32"/>
          <w:szCs w:val="32"/>
          <w:shd w:val="clear" w:color="auto" w:fill="FFFFFF"/>
        </w:rPr>
        <w:t>经费分项支出情况</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（三）</w:t>
      </w:r>
      <w:r>
        <w:rPr>
          <w:rStyle w:val="10"/>
          <w:rFonts w:hint="eastAsia" w:ascii="Times New Roman" w:hAnsi="Times New Roman" w:eastAsia="方正楷体_GBK"/>
          <w:sz w:val="32"/>
          <w:szCs w:val="32"/>
          <w:shd w:val="clear" w:color="auto" w:fill="FFFFFF"/>
          <w:lang w:eastAsia="zh-CN"/>
        </w:rPr>
        <w:t>三公</w:t>
      </w:r>
      <w:r>
        <w:rPr>
          <w:rStyle w:val="10"/>
          <w:rFonts w:ascii="Times New Roman" w:hAnsi="Times New Roman" w:eastAsia="方正楷体_GBK"/>
          <w:sz w:val="32"/>
          <w:szCs w:val="32"/>
          <w:shd w:val="clear" w:color="auto" w:fill="FFFFFF"/>
        </w:rPr>
        <w:t>经费实物量情况</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widowControl w:val="0"/>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四、其他需要说明的事项</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（一）财政拨款会议费和培训费情况说明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万元，与2023年度相比，无增减，主要原因是本单位本年度未产生会议费。本年度培训费支出</w:t>
      </w:r>
      <w:r>
        <w:rPr>
          <w:rFonts w:hint="default" w:ascii="Times New Roman" w:hAnsi="Times New Roman" w:eastAsia="方正仿宋_GBK"/>
          <w:sz w:val="32"/>
          <w:szCs w:val="32"/>
        </w:rPr>
        <w:t>0.04</w:t>
      </w:r>
      <w:r>
        <w:rPr>
          <w:rFonts w:hint="default" w:ascii="Times New Roman" w:hAnsi="Times New Roman" w:eastAsia="方正仿宋_GBK"/>
          <w:sz w:val="32"/>
          <w:szCs w:val="32"/>
          <w:shd w:val="clear" w:color="auto" w:fill="FFFFFF"/>
        </w:rPr>
        <w:t>万元，与2023年度相比，增加0.01万元，增长33.33%，主要原因是与上年度相比，有1名职工新增转岗培训。</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（二）机关运行经费情况说明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w:t>
      </w:r>
      <w:r>
        <w:rPr>
          <w:rFonts w:hint="default" w:ascii="Times New Roman" w:hAnsi="Times New Roman" w:eastAsia="方正仿宋_GBK"/>
          <w:bCs/>
          <w:sz w:val="32"/>
          <w:szCs w:val="32"/>
        </w:rPr>
        <w:t>主要原因是按照部门决算列报口径，我单位不在机关运行经费统计范围之内。</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（三）国有资产占用情况说明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（四）政府采购支出情况说明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.0%。2024年度我单位未发生政府采购事项，无相关经费支出。</w:t>
      </w:r>
    </w:p>
    <w:p>
      <w:pPr>
        <w:pStyle w:val="6"/>
        <w:widowControl w:val="0"/>
        <w:shd w:val="clear" w:color="auto" w:fill="FFFFFF"/>
        <w:spacing w:before="0" w:beforeAutospacing="0" w:after="0" w:afterAutospacing="0" w:line="594" w:lineRule="exact"/>
        <w:ind w:firstLine="643" w:firstLineChars="200"/>
        <w:rPr>
          <w:rStyle w:val="10"/>
          <w:rFonts w:hint="default" w:ascii="Times New Roman" w:hAnsi="Times New Roman" w:eastAsia="方正黑体_GBK"/>
          <w:b w:val="0"/>
          <w:bCs/>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（一）</w:t>
      </w:r>
      <w:r>
        <w:rPr>
          <w:rStyle w:val="10"/>
          <w:rFonts w:hint="eastAsia" w:ascii="Times New Roman" w:hAnsi="Times New Roman" w:eastAsia="方正楷体_GBK"/>
          <w:sz w:val="32"/>
          <w:szCs w:val="32"/>
          <w:shd w:val="clear" w:color="auto" w:fill="FFFFFF"/>
        </w:rPr>
        <w:t>单位</w:t>
      </w:r>
      <w:r>
        <w:rPr>
          <w:rStyle w:val="10"/>
          <w:rFonts w:ascii="Times New Roman" w:hAnsi="Times New Roman" w:eastAsia="方正楷体_GBK"/>
          <w:sz w:val="32"/>
          <w:szCs w:val="32"/>
          <w:shd w:val="clear" w:color="auto" w:fill="FFFFFF"/>
        </w:rPr>
        <w:t>自评情况</w:t>
      </w:r>
    </w:p>
    <w:p>
      <w:pPr>
        <w:pStyle w:val="12"/>
        <w:widowControl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本年度本单位无项目支出，故无绩效自评。</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（二）部门绩效评价情况</w:t>
      </w:r>
    </w:p>
    <w:p>
      <w:pPr>
        <w:pStyle w:val="11"/>
        <w:widowControl w:val="0"/>
        <w:autoSpaceDE w:val="0"/>
        <w:spacing w:line="594" w:lineRule="exac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本单位未组织开展绩效评价。</w:t>
      </w:r>
    </w:p>
    <w:p>
      <w:pPr>
        <w:pStyle w:val="11"/>
        <w:widowControl w:val="0"/>
        <w:autoSpaceDE w:val="0"/>
        <w:spacing w:line="594" w:lineRule="exact"/>
        <w:ind w:firstLine="643"/>
        <w:rPr>
          <w:rStyle w:val="10"/>
          <w:rFonts w:ascii="Times New Roman" w:hAnsi="Times New Roman" w:eastAsia="方正楷体_GBK"/>
          <w:sz w:val="32"/>
          <w:szCs w:val="32"/>
          <w:shd w:val="clear" w:color="auto" w:fill="FFFFFF"/>
        </w:rPr>
      </w:pPr>
      <w:r>
        <w:rPr>
          <w:rStyle w:val="10"/>
          <w:rFonts w:ascii="Times New Roman" w:hAnsi="Times New Roman" w:eastAsia="方正楷体_GBK"/>
          <w:sz w:val="32"/>
          <w:szCs w:val="32"/>
          <w:shd w:val="clear" w:color="auto" w:fill="FFFFFF"/>
        </w:rPr>
        <w:t>（三）财政绩效评价情况</w:t>
      </w:r>
    </w:p>
    <w:p>
      <w:pPr>
        <w:pStyle w:val="11"/>
        <w:widowControl w:val="0"/>
        <w:autoSpaceDE w:val="0"/>
        <w:spacing w:line="594" w:lineRule="exac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县财政局未委托第三方对本单位开展绩效评价。</w:t>
      </w:r>
    </w:p>
    <w:p>
      <w:pPr>
        <w:pStyle w:val="6"/>
        <w:widowControl w:val="0"/>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六、专业名词解释</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（十二）</w:t>
      </w:r>
      <w:r>
        <w:rPr>
          <w:rStyle w:val="10"/>
          <w:rFonts w:hint="eastAsia" w:ascii="Times New Roman" w:hAnsi="Times New Roman" w:eastAsia="方正楷体_GBK"/>
          <w:sz w:val="32"/>
          <w:szCs w:val="32"/>
          <w:shd w:val="clear" w:color="auto" w:fill="FFFFFF"/>
          <w:lang w:eastAsia="zh-CN"/>
        </w:rPr>
        <w:t>三公</w:t>
      </w:r>
      <w:r>
        <w:rPr>
          <w:rStyle w:val="10"/>
          <w:rFonts w:hint="default" w:ascii="Times New Roman" w:hAnsi="Times New Roman" w:eastAsia="方正楷体_GBK"/>
          <w:sz w:val="32"/>
          <w:szCs w:val="32"/>
          <w:shd w:val="clear" w:color="auto" w:fill="FFFFFF"/>
        </w:rPr>
        <w:t>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楷体_GBK"/>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spacing w:before="0" w:beforeAutospacing="0" w:after="0" w:afterAutospacing="0" w:line="594"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七、决算公开联系方式及信息反馈渠道</w:t>
      </w:r>
    </w:p>
    <w:p>
      <w:pPr>
        <w:pStyle w:val="11"/>
        <w:autoSpaceDE w:val="0"/>
        <w:spacing w:line="596" w:lineRule="exact"/>
        <w:ind w:firstLine="640"/>
        <w:jc w:val="both"/>
        <w:rPr>
          <w:rFonts w:ascii="Times New Roman" w:hAnsi="Times New Roman" w:eastAsia="方正仿宋_GBK"/>
          <w:sz w:val="32"/>
          <w:szCs w:val="32"/>
          <w:shd w:val="clear" w:color="auto" w:fill="FFFFFF"/>
        </w:rPr>
        <w:sectPr>
          <w:footerReference r:id="rId3" w:type="default"/>
          <w:pgSz w:w="11915" w:h="16840"/>
          <w:pgMar w:top="2211"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本单位决算公开信息反馈和联系方式：程老师023-74603987</w:t>
      </w:r>
    </w:p>
    <w:tbl>
      <w:tblPr>
        <w:tblStyle w:val="7"/>
        <w:tblpPr w:leftFromText="180" w:rightFromText="180" w:vertAnchor="text" w:horzAnchor="page" w:tblpXSpec="center" w:tblpY="22"/>
        <w:tblOverlap w:val="never"/>
        <w:tblW w:w="15905" w:type="dxa"/>
        <w:jc w:val="center"/>
        <w:tblLayout w:type="fixed"/>
        <w:tblCellMar>
          <w:top w:w="0" w:type="dxa"/>
          <w:left w:w="0" w:type="dxa"/>
          <w:bottom w:w="0" w:type="dxa"/>
          <w:right w:w="0" w:type="dxa"/>
        </w:tblCellMar>
      </w:tblPr>
      <w:tblGrid>
        <w:gridCol w:w="4634"/>
        <w:gridCol w:w="3841"/>
        <w:gridCol w:w="4364"/>
        <w:gridCol w:w="1"/>
        <w:gridCol w:w="3065"/>
      </w:tblGrid>
      <w:tr>
        <w:tblPrEx>
          <w:tblCellMar>
            <w:top w:w="0" w:type="dxa"/>
            <w:left w:w="0" w:type="dxa"/>
            <w:bottom w:w="0" w:type="dxa"/>
            <w:right w:w="0" w:type="dxa"/>
          </w:tblCellMar>
        </w:tblPrEx>
        <w:trPr>
          <w:trHeight w:val="232" w:hRule="atLeast"/>
          <w:jc w:val="center"/>
        </w:trPr>
        <w:tc>
          <w:tcPr>
            <w:tcW w:w="15905"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463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84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3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66"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jc w:val="center"/>
        </w:trPr>
        <w:tc>
          <w:tcPr>
            <w:tcW w:w="8475"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垫江县干部档案管理中心</w:t>
            </w:r>
          </w:p>
        </w:tc>
        <w:tc>
          <w:tcPr>
            <w:tcW w:w="436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66"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84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3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251.07</w:t>
            </w: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84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251.07</w:t>
            </w: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jc w:val="center"/>
        </w:trPr>
        <w:tc>
          <w:tcPr>
            <w:tcW w:w="4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251.07</w:t>
            </w:r>
            <w:r>
              <w:rPr>
                <w:rFonts w:ascii="Times New Roman" w:hAnsi="Times New Roman"/>
                <w:color w:val="000000"/>
                <w:sz w:val="20"/>
              </w:rPr>
              <w:t xml:space="preserve"> </w:t>
            </w:r>
          </w:p>
        </w:tc>
        <w:tc>
          <w:tcPr>
            <w:tcW w:w="4365" w:type="dxa"/>
            <w:gridSpan w:val="2"/>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251.07</w:t>
            </w:r>
            <w:r>
              <w:rPr>
                <w:rFonts w:ascii="Times New Roman" w:hAnsi="Times New Roman"/>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spacing w:line="240" w:lineRule="exact"/>
        <w:rPr>
          <w:rFonts w:hint="default" w:cs="宋体"/>
          <w:sz w:val="20"/>
          <w:szCs w:val="20"/>
        </w:rPr>
      </w:pPr>
    </w:p>
    <w:tbl>
      <w:tblPr>
        <w:tblStyle w:val="7"/>
        <w:tblW w:w="15905" w:type="dxa"/>
        <w:jc w:val="center"/>
        <w:tblLayout w:type="fixed"/>
        <w:tblCellMar>
          <w:top w:w="0" w:type="dxa"/>
          <w:left w:w="0" w:type="dxa"/>
          <w:bottom w:w="0" w:type="dxa"/>
          <w:right w:w="0" w:type="dxa"/>
        </w:tblCellMar>
      </w:tblPr>
      <w:tblGrid>
        <w:gridCol w:w="1466"/>
        <w:gridCol w:w="3240"/>
        <w:gridCol w:w="1608"/>
        <w:gridCol w:w="1521"/>
        <w:gridCol w:w="1414"/>
        <w:gridCol w:w="1080"/>
        <w:gridCol w:w="1498"/>
        <w:gridCol w:w="1326"/>
        <w:gridCol w:w="1384"/>
        <w:gridCol w:w="1368"/>
      </w:tblGrid>
      <w:tr>
        <w:tblPrEx>
          <w:tblCellMar>
            <w:top w:w="0" w:type="dxa"/>
            <w:left w:w="0" w:type="dxa"/>
            <w:bottom w:w="0" w:type="dxa"/>
            <w:right w:w="0" w:type="dxa"/>
          </w:tblCellMar>
        </w:tblPrEx>
        <w:trPr>
          <w:trHeight w:val="641" w:hRule="atLeast"/>
          <w:jc w:val="center"/>
        </w:trPr>
        <w:tc>
          <w:tcPr>
            <w:tcW w:w="1590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631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垫江县干部档案管理中心</w:t>
            </w:r>
          </w:p>
        </w:tc>
        <w:tc>
          <w:tcPr>
            <w:tcW w:w="15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631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470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46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4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6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146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jc w:val="center"/>
        </w:trPr>
        <w:tc>
          <w:tcPr>
            <w:tcW w:w="146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4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47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15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22"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146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15905" w:type="dxa"/>
        <w:jc w:val="center"/>
        <w:tblLayout w:type="fixed"/>
        <w:tblCellMar>
          <w:top w:w="0" w:type="dxa"/>
          <w:left w:w="0" w:type="dxa"/>
          <w:bottom w:w="0" w:type="dxa"/>
          <w:right w:w="0" w:type="dxa"/>
        </w:tblCellMar>
      </w:tblPr>
      <w:tblGrid>
        <w:gridCol w:w="1338"/>
        <w:gridCol w:w="3741"/>
        <w:gridCol w:w="1909"/>
        <w:gridCol w:w="1829"/>
        <w:gridCol w:w="1683"/>
        <w:gridCol w:w="1616"/>
        <w:gridCol w:w="1756"/>
        <w:gridCol w:w="2033"/>
      </w:tblGrid>
      <w:tr>
        <w:tblPrEx>
          <w:tblCellMar>
            <w:top w:w="0" w:type="dxa"/>
            <w:left w:w="0" w:type="dxa"/>
            <w:bottom w:w="0" w:type="dxa"/>
            <w:right w:w="0" w:type="dxa"/>
          </w:tblCellMar>
        </w:tblPrEx>
        <w:trPr>
          <w:trHeight w:val="549" w:hRule="atLeast"/>
          <w:jc w:val="center"/>
        </w:trPr>
        <w:tc>
          <w:tcPr>
            <w:tcW w:w="1590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69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垫江县干部档案管理中心 </w:t>
            </w:r>
          </w:p>
        </w:tc>
        <w:tc>
          <w:tcPr>
            <w:tcW w:w="18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jc w:val="center"/>
        </w:trPr>
        <w:tc>
          <w:tcPr>
            <w:tcW w:w="69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5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9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本年支出合计</w:t>
            </w:r>
          </w:p>
        </w:tc>
        <w:tc>
          <w:tcPr>
            <w:tcW w:w="18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基本支出</w:t>
            </w:r>
          </w:p>
        </w:tc>
        <w:tc>
          <w:tcPr>
            <w:tcW w:w="16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项目支出</w:t>
            </w:r>
          </w:p>
        </w:tc>
        <w:tc>
          <w:tcPr>
            <w:tcW w:w="16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上缴上级支出</w:t>
            </w:r>
          </w:p>
        </w:tc>
        <w:tc>
          <w:tcPr>
            <w:tcW w:w="1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经营支出</w:t>
            </w:r>
          </w:p>
        </w:tc>
        <w:tc>
          <w:tcPr>
            <w:tcW w:w="20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62" w:hRule="atLeast"/>
          <w:jc w:val="center"/>
        </w:trPr>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jc w:val="center"/>
              <w:textAlignment w:val="center"/>
              <w:rPr>
                <w:rFonts w:cs="宋体"/>
                <w:b/>
                <w:color w:val="000000"/>
                <w:sz w:val="20"/>
                <w:szCs w:val="20"/>
              </w:rPr>
            </w:pPr>
            <w:r>
              <w:rPr>
                <w:rFonts w:cs="宋体"/>
                <w:b/>
                <w:color w:val="000000"/>
                <w:sz w:val="20"/>
                <w:szCs w:val="20"/>
              </w:rPr>
              <w:t>功能分类科目编码</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jc w:val="center"/>
              <w:textAlignment w:val="center"/>
              <w:rPr>
                <w:rFonts w:cs="宋体"/>
                <w:b/>
                <w:color w:val="000000"/>
                <w:sz w:val="20"/>
                <w:szCs w:val="20"/>
              </w:rPr>
            </w:pPr>
            <w:r>
              <w:rPr>
                <w:rFonts w:cs="宋体"/>
                <w:b/>
                <w:color w:val="000000"/>
                <w:sz w:val="20"/>
                <w:szCs w:val="20"/>
              </w:rPr>
              <w:t>项目（按“项”级功能分类科目）</w:t>
            </w:r>
          </w:p>
        </w:tc>
        <w:tc>
          <w:tcPr>
            <w:tcW w:w="190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c>
          <w:tcPr>
            <w:tcW w:w="182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c>
          <w:tcPr>
            <w:tcW w:w="168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c>
          <w:tcPr>
            <w:tcW w:w="161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c>
          <w:tcPr>
            <w:tcW w:w="175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c>
          <w:tcPr>
            <w:tcW w:w="203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bCs/>
                <w:color w:val="000000"/>
                <w:sz w:val="20"/>
                <w:szCs w:val="20"/>
              </w:rPr>
            </w:pPr>
          </w:p>
        </w:tc>
      </w:tr>
      <w:tr>
        <w:tblPrEx>
          <w:tblCellMar>
            <w:top w:w="0" w:type="dxa"/>
            <w:left w:w="0" w:type="dxa"/>
            <w:bottom w:w="0" w:type="dxa"/>
            <w:right w:w="0" w:type="dxa"/>
          </w:tblCellMar>
        </w:tblPrEx>
        <w:trPr>
          <w:trHeight w:val="362" w:hRule="atLeast"/>
          <w:jc w:val="center"/>
        </w:trPr>
        <w:tc>
          <w:tcPr>
            <w:tcW w:w="5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jc w:val="center"/>
              <w:textAlignment w:val="center"/>
              <w:rPr>
                <w:rFonts w:hint="default" w:cs="宋体"/>
                <w:b/>
                <w:color w:val="000000"/>
                <w:sz w:val="20"/>
                <w:szCs w:val="20"/>
              </w:rPr>
            </w:pPr>
            <w:r>
              <w:rPr>
                <w:rFonts w:cs="宋体"/>
                <w:b/>
                <w:color w:val="000000"/>
                <w:sz w:val="20"/>
                <w:szCs w:val="20"/>
              </w:rPr>
              <w:t>合计</w:t>
            </w:r>
          </w:p>
        </w:tc>
        <w:tc>
          <w:tcPr>
            <w:tcW w:w="1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1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2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201</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一般公共服务支出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20132</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组织事务</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2013250</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事业运行</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205</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教育支出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20508</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进修及培训</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2050803</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培训支出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208</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社会保障和就业支出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20805</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行政事业单位养老支出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2080505</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2080506</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机关事业单位职业年金缴费支出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210</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卫生健康支出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21011</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行政事业单位医疗</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2101102</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事业单位医疗</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221</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住房保障支出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22102</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b/>
                <w:color w:val="000000"/>
                <w:sz w:val="20"/>
                <w:szCs w:val="20"/>
              </w:rPr>
              <w:t>住房改革支出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jc w:val="center"/>
        </w:trPr>
        <w:tc>
          <w:tcPr>
            <w:tcW w:w="13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2210201</w:t>
            </w:r>
          </w:p>
        </w:tc>
        <w:tc>
          <w:tcPr>
            <w:tcW w:w="3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20" w:lineRule="exact"/>
              <w:textAlignment w:val="center"/>
              <w:rPr>
                <w:rFonts w:hint="default" w:cs="宋体"/>
                <w:color w:val="000000"/>
                <w:sz w:val="20"/>
                <w:szCs w:val="20"/>
              </w:rPr>
            </w:pPr>
            <w:r>
              <w:rPr>
                <w:rFonts w:cs="宋体"/>
                <w:color w:val="000000"/>
                <w:sz w:val="20"/>
                <w:szCs w:val="20"/>
              </w:rPr>
              <w:t>住房公积金</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5905" w:type="dxa"/>
        <w:jc w:val="center"/>
        <w:tblLayout w:type="fixed"/>
        <w:tblCellMar>
          <w:top w:w="0" w:type="dxa"/>
          <w:left w:w="0" w:type="dxa"/>
          <w:bottom w:w="0" w:type="dxa"/>
          <w:right w:w="0" w:type="dxa"/>
        </w:tblCellMar>
      </w:tblPr>
      <w:tblGrid>
        <w:gridCol w:w="3215"/>
        <w:gridCol w:w="1648"/>
        <w:gridCol w:w="3445"/>
        <w:gridCol w:w="1836"/>
        <w:gridCol w:w="1835"/>
        <w:gridCol w:w="1836"/>
        <w:gridCol w:w="2090"/>
      </w:tblGrid>
      <w:tr>
        <w:tblPrEx>
          <w:tblCellMar>
            <w:top w:w="0" w:type="dxa"/>
            <w:left w:w="0" w:type="dxa"/>
            <w:bottom w:w="0" w:type="dxa"/>
            <w:right w:w="0" w:type="dxa"/>
          </w:tblCellMar>
        </w:tblPrEx>
        <w:trPr>
          <w:trHeight w:val="90" w:hRule="atLeast"/>
          <w:jc w:val="center"/>
        </w:trPr>
        <w:tc>
          <w:tcPr>
            <w:tcW w:w="15905"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830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垫江县干部档案管理中心</w:t>
            </w:r>
          </w:p>
        </w:tc>
        <w:tc>
          <w:tcPr>
            <w:tcW w:w="1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090"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8308"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090"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10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3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4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59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3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4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173.66</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173.66</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45.26</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45.26</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23.52</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23.52</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251.07</w:t>
            </w:r>
            <w:r>
              <w:rPr>
                <w:rFonts w:ascii="Times New Roman" w:hAnsi="Times New Roman"/>
                <w:color w:val="000000"/>
                <w:sz w:val="18"/>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905" w:type="dxa"/>
        <w:jc w:val="center"/>
        <w:tblLayout w:type="fixed"/>
        <w:tblCellMar>
          <w:top w:w="0" w:type="dxa"/>
          <w:left w:w="0" w:type="dxa"/>
          <w:bottom w:w="0" w:type="dxa"/>
          <w:right w:w="0" w:type="dxa"/>
        </w:tblCellMar>
      </w:tblPr>
      <w:tblGrid>
        <w:gridCol w:w="1356"/>
        <w:gridCol w:w="4228"/>
        <w:gridCol w:w="3431"/>
        <w:gridCol w:w="3423"/>
        <w:gridCol w:w="3467"/>
      </w:tblGrid>
      <w:tr>
        <w:tblPrEx>
          <w:tblCellMar>
            <w:top w:w="0" w:type="dxa"/>
            <w:left w:w="0" w:type="dxa"/>
            <w:bottom w:w="0" w:type="dxa"/>
            <w:right w:w="0" w:type="dxa"/>
          </w:tblCellMar>
        </w:tblPrEx>
        <w:trPr>
          <w:trHeight w:val="510" w:hRule="atLeast"/>
          <w:jc w:val="center"/>
        </w:trPr>
        <w:tc>
          <w:tcPr>
            <w:tcW w:w="15905"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90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垫江县干部档案管理中心</w:t>
            </w:r>
          </w:p>
        </w:tc>
        <w:tc>
          <w:tcPr>
            <w:tcW w:w="34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90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2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032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135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2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4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558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251.07</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173.66</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0.04</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0.04</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45.26</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30.14</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8.59</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23.52</w:t>
            </w:r>
            <w:r>
              <w:rPr>
                <w:rFonts w:ascii="Times New Roman" w:hAnsi="Times New Roman"/>
                <w:b/>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3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4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3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23.52</w:t>
            </w:r>
            <w:r>
              <w:rPr>
                <w:rFonts w:ascii="Times New Roman" w:hAnsi="Times New Roman"/>
                <w:color w:val="000000"/>
                <w:sz w:val="20"/>
              </w:rPr>
              <w:t xml:space="preserve"> </w:t>
            </w:r>
          </w:p>
        </w:tc>
        <w:tc>
          <w:tcPr>
            <w:tcW w:w="3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905" w:type="dxa"/>
        <w:jc w:val="center"/>
        <w:tblLayout w:type="fixed"/>
        <w:tblCellMar>
          <w:top w:w="0" w:type="dxa"/>
          <w:left w:w="0" w:type="dxa"/>
          <w:bottom w:w="0" w:type="dxa"/>
          <w:right w:w="0" w:type="dxa"/>
        </w:tblCellMar>
      </w:tblPr>
      <w:tblGrid>
        <w:gridCol w:w="833"/>
        <w:gridCol w:w="2921"/>
        <w:gridCol w:w="1600"/>
        <w:gridCol w:w="906"/>
        <w:gridCol w:w="2112"/>
        <w:gridCol w:w="1473"/>
        <w:gridCol w:w="906"/>
        <w:gridCol w:w="3598"/>
        <w:gridCol w:w="1556"/>
      </w:tblGrid>
      <w:tr>
        <w:tblPrEx>
          <w:tblCellMar>
            <w:top w:w="0" w:type="dxa"/>
            <w:left w:w="0" w:type="dxa"/>
            <w:bottom w:w="0" w:type="dxa"/>
            <w:right w:w="0" w:type="dxa"/>
          </w:tblCellMar>
        </w:tblPrEx>
        <w:trPr>
          <w:trHeight w:val="90" w:hRule="atLeast"/>
          <w:jc w:val="center"/>
        </w:trPr>
        <w:tc>
          <w:tcPr>
            <w:tcW w:w="15905"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jc w:val="center"/>
        </w:trPr>
        <w:tc>
          <w:tcPr>
            <w:tcW w:w="8372"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垫江县干部档案管理中心</w:t>
            </w:r>
          </w:p>
        </w:tc>
        <w:tc>
          <w:tcPr>
            <w:tcW w:w="14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9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jc w:val="center"/>
        </w:trPr>
        <w:tc>
          <w:tcPr>
            <w:tcW w:w="8372"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9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5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53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5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9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1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9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9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5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233.73</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43.93</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107.36</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30.14</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15.13</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23.52</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w:t>
            </w: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75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6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233.73</w:t>
            </w:r>
            <w:r>
              <w:rPr>
                <w:rFonts w:ascii="Times New Roman" w:hAnsi="Times New Roman"/>
                <w:color w:val="000000"/>
                <w:sz w:val="18"/>
              </w:rPr>
              <w:t xml:space="preserve"> </w:t>
            </w:r>
          </w:p>
        </w:tc>
        <w:tc>
          <w:tcPr>
            <w:tcW w:w="899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905" w:type="dxa"/>
        <w:jc w:val="center"/>
        <w:tblLayout w:type="fixed"/>
        <w:tblCellMar>
          <w:top w:w="0" w:type="dxa"/>
          <w:left w:w="0" w:type="dxa"/>
          <w:bottom w:w="0" w:type="dxa"/>
          <w:right w:w="0" w:type="dxa"/>
        </w:tblCellMar>
      </w:tblPr>
      <w:tblGrid>
        <w:gridCol w:w="1370"/>
        <w:gridCol w:w="3731"/>
        <w:gridCol w:w="1766"/>
        <w:gridCol w:w="1765"/>
        <w:gridCol w:w="1766"/>
        <w:gridCol w:w="1766"/>
        <w:gridCol w:w="1832"/>
        <w:gridCol w:w="1909"/>
      </w:tblGrid>
      <w:tr>
        <w:tblPrEx>
          <w:tblCellMar>
            <w:top w:w="0" w:type="dxa"/>
            <w:left w:w="0" w:type="dxa"/>
            <w:bottom w:w="0" w:type="dxa"/>
            <w:right w:w="0" w:type="dxa"/>
          </w:tblCellMar>
        </w:tblPrEx>
        <w:trPr>
          <w:trHeight w:val="644" w:hRule="atLeast"/>
          <w:jc w:val="center"/>
        </w:trPr>
        <w:tc>
          <w:tcPr>
            <w:tcW w:w="15905"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8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垫江县干部档案管理中心</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0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686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0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51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36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8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51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jc w:val="center"/>
        </w:trPr>
        <w:tc>
          <w:tcPr>
            <w:tcW w:w="13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905" w:type="dxa"/>
        <w:jc w:val="center"/>
        <w:tblLayout w:type="fixed"/>
        <w:tblCellMar>
          <w:top w:w="0" w:type="dxa"/>
          <w:left w:w="0" w:type="dxa"/>
          <w:bottom w:w="0" w:type="dxa"/>
          <w:right w:w="0" w:type="dxa"/>
        </w:tblCellMar>
      </w:tblPr>
      <w:tblGrid>
        <w:gridCol w:w="1342"/>
        <w:gridCol w:w="3754"/>
        <w:gridCol w:w="3397"/>
        <w:gridCol w:w="198"/>
        <w:gridCol w:w="3595"/>
        <w:gridCol w:w="89"/>
        <w:gridCol w:w="3530"/>
      </w:tblGrid>
      <w:tr>
        <w:tblPrEx>
          <w:tblCellMar>
            <w:top w:w="0" w:type="dxa"/>
            <w:left w:w="0" w:type="dxa"/>
            <w:bottom w:w="0" w:type="dxa"/>
            <w:right w:w="0" w:type="dxa"/>
          </w:tblCellMar>
        </w:tblPrEx>
        <w:trPr>
          <w:trHeight w:val="650" w:hRule="atLeast"/>
          <w:jc w:val="center"/>
        </w:trPr>
        <w:tc>
          <w:tcPr>
            <w:tcW w:w="15905"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49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垫江县干部档案管理中心</w:t>
            </w:r>
          </w:p>
        </w:tc>
        <w:tc>
          <w:tcPr>
            <w:tcW w:w="388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5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849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8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53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8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134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59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5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6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13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3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13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5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6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jc w:val="center"/>
        </w:trPr>
        <w:tc>
          <w:tcPr>
            <w:tcW w:w="13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7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59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6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905" w:type="dxa"/>
        <w:jc w:val="center"/>
        <w:tblLayout w:type="fixed"/>
        <w:tblCellMar>
          <w:top w:w="0" w:type="dxa"/>
          <w:left w:w="170" w:type="dxa"/>
          <w:bottom w:w="0" w:type="dxa"/>
          <w:right w:w="170" w:type="dxa"/>
        </w:tblCellMar>
      </w:tblPr>
      <w:tblGrid>
        <w:gridCol w:w="3575"/>
        <w:gridCol w:w="2719"/>
        <w:gridCol w:w="2673"/>
        <w:gridCol w:w="4132"/>
        <w:gridCol w:w="2806"/>
      </w:tblGrid>
      <w:tr>
        <w:tblPrEx>
          <w:tblCellMar>
            <w:top w:w="0" w:type="dxa"/>
            <w:left w:w="170" w:type="dxa"/>
            <w:bottom w:w="0" w:type="dxa"/>
            <w:right w:w="170" w:type="dxa"/>
          </w:tblCellMar>
        </w:tblPrEx>
        <w:trPr>
          <w:trHeight w:val="343" w:hRule="atLeast"/>
          <w:jc w:val="center"/>
        </w:trPr>
        <w:tc>
          <w:tcPr>
            <w:tcW w:w="15905"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3575"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719"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67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3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80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629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垫江县干部档案管理中心</w:t>
            </w:r>
          </w:p>
        </w:tc>
        <w:tc>
          <w:tcPr>
            <w:tcW w:w="267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3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80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7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3.65</w:t>
            </w:r>
            <w:r>
              <w:rPr>
                <w:rFonts w:ascii="Times New Roman" w:hAnsi="Times New Roman"/>
                <w:color w:val="000000"/>
                <w:sz w:val="18"/>
              </w:rPr>
              <w:t xml:space="preserve"> </w:t>
            </w:r>
          </w:p>
        </w:tc>
        <w:tc>
          <w:tcPr>
            <w:tcW w:w="41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8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454"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0D1EF5"/>
    <w:rsid w:val="001D3BB7"/>
    <w:rsid w:val="002B254B"/>
    <w:rsid w:val="0034050A"/>
    <w:rsid w:val="0044504F"/>
    <w:rsid w:val="00466C9B"/>
    <w:rsid w:val="00486CFC"/>
    <w:rsid w:val="00491DDD"/>
    <w:rsid w:val="00550ABE"/>
    <w:rsid w:val="00575418"/>
    <w:rsid w:val="00623A85"/>
    <w:rsid w:val="00770383"/>
    <w:rsid w:val="007819D4"/>
    <w:rsid w:val="007B419D"/>
    <w:rsid w:val="007B7C4B"/>
    <w:rsid w:val="007D3D39"/>
    <w:rsid w:val="00984C6A"/>
    <w:rsid w:val="00994AF7"/>
    <w:rsid w:val="009A2AB6"/>
    <w:rsid w:val="009B67B8"/>
    <w:rsid w:val="009C14C9"/>
    <w:rsid w:val="009D2B67"/>
    <w:rsid w:val="009E1452"/>
    <w:rsid w:val="00A566F9"/>
    <w:rsid w:val="00AF2751"/>
    <w:rsid w:val="00B03CCD"/>
    <w:rsid w:val="00BE2B89"/>
    <w:rsid w:val="00BF0D89"/>
    <w:rsid w:val="00C10E9E"/>
    <w:rsid w:val="00C20C3E"/>
    <w:rsid w:val="00C5163E"/>
    <w:rsid w:val="00CB1EB4"/>
    <w:rsid w:val="00CF2ACF"/>
    <w:rsid w:val="00D03AAF"/>
    <w:rsid w:val="00D856EA"/>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7F2F38"/>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E75E6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EA0703"/>
    <w:rsid w:val="163A6CEE"/>
    <w:rsid w:val="173708E3"/>
    <w:rsid w:val="17C374FC"/>
    <w:rsid w:val="17E7717C"/>
    <w:rsid w:val="182E4AB6"/>
    <w:rsid w:val="189079DC"/>
    <w:rsid w:val="189B0D0B"/>
    <w:rsid w:val="18B43F7C"/>
    <w:rsid w:val="191C433B"/>
    <w:rsid w:val="194A1770"/>
    <w:rsid w:val="19B906A4"/>
    <w:rsid w:val="1B35645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73DBD"/>
    <w:rsid w:val="22403BD3"/>
    <w:rsid w:val="22AD3177"/>
    <w:rsid w:val="235417B6"/>
    <w:rsid w:val="246A53BC"/>
    <w:rsid w:val="24B92327"/>
    <w:rsid w:val="24C14514"/>
    <w:rsid w:val="24E37FCC"/>
    <w:rsid w:val="252D4D73"/>
    <w:rsid w:val="2533755C"/>
    <w:rsid w:val="25791755"/>
    <w:rsid w:val="26396DF4"/>
    <w:rsid w:val="26802C75"/>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CC3212"/>
    <w:rsid w:val="31D84415"/>
    <w:rsid w:val="32285F6F"/>
    <w:rsid w:val="32770556"/>
    <w:rsid w:val="329C0913"/>
    <w:rsid w:val="32AA0460"/>
    <w:rsid w:val="3337290D"/>
    <w:rsid w:val="33E31118"/>
    <w:rsid w:val="33EC7B9C"/>
    <w:rsid w:val="33EF7674"/>
    <w:rsid w:val="342D7BC6"/>
    <w:rsid w:val="352930DB"/>
    <w:rsid w:val="35573069"/>
    <w:rsid w:val="355F6038"/>
    <w:rsid w:val="358C217E"/>
    <w:rsid w:val="36C9128A"/>
    <w:rsid w:val="36FB1EA4"/>
    <w:rsid w:val="37841E99"/>
    <w:rsid w:val="37BF1123"/>
    <w:rsid w:val="383C3F15"/>
    <w:rsid w:val="38BE4696"/>
    <w:rsid w:val="3939115E"/>
    <w:rsid w:val="39AA4C0F"/>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6B9004B"/>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DC0984"/>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945546"/>
    <w:rsid w:val="55BE2E85"/>
    <w:rsid w:val="56530F5D"/>
    <w:rsid w:val="567700D3"/>
    <w:rsid w:val="56FF7E9E"/>
    <w:rsid w:val="57776ECD"/>
    <w:rsid w:val="578867FC"/>
    <w:rsid w:val="582632A6"/>
    <w:rsid w:val="5842572D"/>
    <w:rsid w:val="5A3B59D6"/>
    <w:rsid w:val="5AD134D8"/>
    <w:rsid w:val="5BF41F67"/>
    <w:rsid w:val="5C263CE4"/>
    <w:rsid w:val="5C5D2777"/>
    <w:rsid w:val="5C645C72"/>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7C4ACE"/>
    <w:rsid w:val="6A9F1565"/>
    <w:rsid w:val="6AAD2300"/>
    <w:rsid w:val="6B474EF5"/>
    <w:rsid w:val="6BC938E5"/>
    <w:rsid w:val="6C0A5AC5"/>
    <w:rsid w:val="6C560CAE"/>
    <w:rsid w:val="6C576495"/>
    <w:rsid w:val="6D8A5754"/>
    <w:rsid w:val="6D903FF5"/>
    <w:rsid w:val="6DA955B8"/>
    <w:rsid w:val="6DE346AB"/>
    <w:rsid w:val="6DE5391A"/>
    <w:rsid w:val="6EFD1324"/>
    <w:rsid w:val="6F5A53AC"/>
    <w:rsid w:val="6FAC003D"/>
    <w:rsid w:val="6FD926BF"/>
    <w:rsid w:val="6FE55E12"/>
    <w:rsid w:val="6FFB2E76"/>
    <w:rsid w:val="708F6F7F"/>
    <w:rsid w:val="70D94BD3"/>
    <w:rsid w:val="71574775"/>
    <w:rsid w:val="71C34D91"/>
    <w:rsid w:val="726522EC"/>
    <w:rsid w:val="72DB435C"/>
    <w:rsid w:val="72E2613A"/>
    <w:rsid w:val="72F771F4"/>
    <w:rsid w:val="73934AD2"/>
    <w:rsid w:val="750837F0"/>
    <w:rsid w:val="754758CF"/>
    <w:rsid w:val="75595ECD"/>
    <w:rsid w:val="75630D65"/>
    <w:rsid w:val="758325F8"/>
    <w:rsid w:val="75D67879"/>
    <w:rsid w:val="764F62AB"/>
    <w:rsid w:val="765C45EC"/>
    <w:rsid w:val="768A7619"/>
    <w:rsid w:val="76BD23AB"/>
    <w:rsid w:val="772E1EBA"/>
    <w:rsid w:val="781926BC"/>
    <w:rsid w:val="796D60A4"/>
    <w:rsid w:val="79A031D5"/>
    <w:rsid w:val="79B47FDF"/>
    <w:rsid w:val="79E569A9"/>
    <w:rsid w:val="7A1525F7"/>
    <w:rsid w:val="7B420052"/>
    <w:rsid w:val="7BD06A28"/>
    <w:rsid w:val="7C3074C7"/>
    <w:rsid w:val="7C3A7C0B"/>
    <w:rsid w:val="7C5248E4"/>
    <w:rsid w:val="7C566698"/>
    <w:rsid w:val="7C5866A3"/>
    <w:rsid w:val="7D7406BB"/>
    <w:rsid w:val="7DE94331"/>
    <w:rsid w:val="7F264BB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8411</Words>
  <Characters>10686</Characters>
  <Lines>96</Lines>
  <Paragraphs>27</Paragraphs>
  <TotalTime>4</TotalTime>
  <ScaleCrop>false</ScaleCrop>
  <LinksUpToDate>false</LinksUpToDate>
  <CharactersWithSpaces>11707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2025-09-18T11:20:17Z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eyJoZGlkIjoiMGMxYzUwMmJmYzg0ODI5OTBlNWQzM2EzM2RiMDI2MWMiLCJ1c2VySWQiOiIxNDk4NzQ0NDQ0In0=</vt:lpwstr>
  </property>
</Properties>
</file>