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NewRoman" w:hAnsi="TimesNewRoman" w:eastAsia="方正小标宋_GBK" w:cs="TimesNewRoman"/>
          <w:sz w:val="44"/>
          <w:szCs w:val="44"/>
          <w:shd w:val="clear" w:color="auto" w:fill="FFFFFF"/>
        </w:rPr>
      </w:pPr>
      <w:r>
        <w:rPr>
          <w:rFonts w:hint="default" w:ascii="TimesNewRoman" w:hAnsi="TimesNewRoman" w:eastAsia="方正小标宋_GBK" w:cs="TimesNewRoman"/>
          <w:sz w:val="44"/>
          <w:szCs w:val="44"/>
        </w:rPr>
        <w:t>垫江县归侨侨眷联合会</w:t>
      </w:r>
      <w:r>
        <w:rPr>
          <w:rFonts w:hint="eastAsia" w:ascii="TimesNewRoman" w:hAnsi="TimesNewRoman" w:eastAsia="方正小标宋_GBK" w:cs="TimesNewRoman"/>
          <w:sz w:val="44"/>
          <w:szCs w:val="44"/>
          <w:lang w:eastAsia="zh-CN"/>
        </w:rPr>
        <w:t>（本级）</w:t>
      </w:r>
      <w:r>
        <w:rPr>
          <w:rFonts w:hint="default" w:ascii="TimesNewRoman" w:hAnsi="TimesNewRoman" w:eastAsia="方正小标宋_GBK" w:cs="TimesNewRoman"/>
          <w:sz w:val="44"/>
          <w:szCs w:val="44"/>
          <w:shd w:val="clear" w:color="auto" w:fill="FFFFFF"/>
          <w:lang w:eastAsia="zh-CN"/>
        </w:rPr>
        <w:t>2024</w:t>
      </w:r>
      <w:r>
        <w:rPr>
          <w:rFonts w:hint="default" w:ascii="TimesNewRoman" w:hAnsi="TimesNewRoman" w:eastAsia="方正小标宋_GBK" w:cs="TimesNewRoman"/>
          <w:sz w:val="44"/>
          <w:szCs w:val="44"/>
          <w:shd w:val="clear" w:color="auto" w:fill="FFFFFF"/>
        </w:rPr>
        <w:t>年度</w:t>
      </w:r>
    </w:p>
    <w:p>
      <w:pPr>
        <w:pStyle w:val="6"/>
        <w:keepNext w:val="0"/>
        <w:keepLines w:val="0"/>
        <w:pageBreakBefore w:val="0"/>
        <w:widowControl/>
        <w:kinsoku/>
        <w:wordWrap/>
        <w:overflowPunct/>
        <w:topLinePunct w:val="0"/>
        <w:autoSpaceDN/>
        <w:bidi w:val="0"/>
        <w:spacing w:before="0" w:beforeAutospacing="0" w:line="594" w:lineRule="exact"/>
        <w:jc w:val="center"/>
        <w:textAlignment w:val="auto"/>
        <w:rPr>
          <w:rFonts w:hint="default" w:ascii="TimesNewRoman" w:hAnsi="TimesNewRoman" w:eastAsia="方正小标宋_GBK" w:cs="TimesNewRoman"/>
          <w:sz w:val="44"/>
          <w:szCs w:val="44"/>
          <w:shd w:val="clear" w:color="auto" w:fill="FFFFFF"/>
        </w:rPr>
      </w:pPr>
      <w:r>
        <w:rPr>
          <w:rFonts w:hint="default" w:ascii="TimesNewRoman" w:hAnsi="TimesNewRoman" w:eastAsia="方正小标宋_GBK" w:cs="TimesNewRoman"/>
          <w:sz w:val="44"/>
          <w:szCs w:val="44"/>
          <w:shd w:val="clear" w:color="auto" w:fill="FFFFFF"/>
        </w:rPr>
        <w:t>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w:t>
      </w:r>
      <w:r>
        <w:rPr>
          <w:rFonts w:hint="eastAsia" w:ascii="TimesNewRoman" w:hAnsi="TimesNewRoman" w:eastAsia="方正黑体_GBK" w:cs="TimesNewRoman"/>
          <w:sz w:val="32"/>
          <w:szCs w:val="32"/>
          <w:lang w:eastAsia="zh-CN"/>
        </w:rPr>
        <w:t>单位</w:t>
      </w:r>
      <w:r>
        <w:rPr>
          <w:rFonts w:hint="default" w:ascii="TimesNewRoman" w:hAnsi="TimesNewRoman" w:eastAsia="方正黑体_GBK" w:cs="TimesNewRoman"/>
          <w:sz w:val="32"/>
          <w:szCs w:val="32"/>
        </w:rPr>
        <w:t>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垫江县归侨侨眷联合会，为垫江县委领导下的群众团体，主要职能是：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1.积极引导归侨侨眷按照《中华全国归国华侨联合会章程》独立负责地完成各项工作任务，把广大归侨侨眷和海外侨胞的智慧和力量凝聚到振兴中华的战略上来。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2.发挥归侨侨眷海外关系广泛、信息资源丰富的优势，协助有关</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做好引进技术和人才的工作，为全县经济建设服务。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3.积极开展海内外联谊工作。定期搞好侨情普查，开展对新一代华侨华人及其亲属情况的调研，把党和政府的关怀送到归侨侨眷心中，充分发挥民间交流的优势，促进交流合作。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依法保护归侨侨眷的合法权益、积极参政议政。学习、宣传贯彻《中华人民共和国归侨侨眷权益保护法》及其实施办法，切实保护归侨侨眷的合法权益；参与人大、政协中归侨侨眷代表、委员的推荐、协商工作，做好民主监督、参政议政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弘扬中华文化。广大归侨侨眷和海外侨胞是中华文化走向世界的重要使者。顺应海外侨胞的文化情结，依照有关规定开展民俗文化交流、祖地文化交流、寻根之旅、重大历史事件纪念等活动，增进对中华文化的了解和认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6.保障和改善侨界民生、参与社会建设。深入了解归侨侨眷工作生活状况，推动各项保障和改善民生政策的具体落实，为困难归侨侨眷排忧解难，关心帮助侨界留守儿童、空巢老人。协调有关</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为海外华人华侨回来探亲访友、就业创业搞好服务。加强法治宣传，引导归侨侨眷学法守法用法，通过合法渠道理性表达诉求。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7.在县委的领导下，搞好侨联组织建设。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8.完成重庆市侨联，县委、</w:t>
      </w:r>
      <w:r>
        <w:rPr>
          <w:rFonts w:hint="eastAsia" w:ascii="TimesNewRoman" w:hAnsi="TimesNewRoman" w:eastAsia="方正仿宋_GBK" w:cs="TimesNewRoman"/>
          <w:sz w:val="32"/>
          <w:szCs w:val="32"/>
          <w:lang w:eastAsia="zh-CN"/>
        </w:rPr>
        <w:t>县</w:t>
      </w:r>
      <w:bookmarkStart w:id="0" w:name="_GoBack"/>
      <w:bookmarkEnd w:id="0"/>
      <w:r>
        <w:rPr>
          <w:rFonts w:hint="default" w:ascii="TimesNewRoman" w:hAnsi="TimesNewRoman" w:eastAsia="方正仿宋_GBK" w:cs="TimesNewRoman"/>
          <w:sz w:val="32"/>
          <w:szCs w:val="32"/>
        </w:rPr>
        <w:t>政府交办的其他事项。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县侨联设办公室1个内设机构。</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年末，机关实有在职人数3人。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二、</w:t>
      </w:r>
      <w:r>
        <w:rPr>
          <w:rFonts w:hint="eastAsia" w:ascii="TimesNewRoman" w:hAnsi="TimesNewRoman" w:eastAsia="方正黑体_GBK" w:cs="TimesNewRoman"/>
          <w:sz w:val="32"/>
          <w:szCs w:val="32"/>
          <w:lang w:eastAsia="zh-CN"/>
        </w:rPr>
        <w:t>单位</w:t>
      </w:r>
      <w:r>
        <w:rPr>
          <w:rFonts w:hint="default" w:ascii="TimesNewRoman" w:hAnsi="TimesNewRoman" w:eastAsia="方正黑体_GBK" w:cs="TimesNewRoman"/>
          <w:sz w:val="32"/>
          <w:szCs w:val="32"/>
        </w:rPr>
        <w:t>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1.总体情况。</w:t>
      </w:r>
      <w:r>
        <w:rPr>
          <w:rFonts w:hint="default" w:ascii="TimesNewRoman" w:hAnsi="TimesNewRoman" w:eastAsia="方正仿宋_GBK" w:cs="TimesNewRoman"/>
          <w:sz w:val="32"/>
          <w:szCs w:val="32"/>
          <w:lang w:eastAsia="zh-CN"/>
        </w:rPr>
        <w:t>2024年</w:t>
      </w:r>
      <w:r>
        <w:rPr>
          <w:rFonts w:hint="default" w:ascii="TimesNewRoman" w:hAnsi="TimesNewRoman" w:eastAsia="方正仿宋_GBK" w:cs="TimesNewRoman"/>
          <w:sz w:val="32"/>
          <w:szCs w:val="32"/>
        </w:rPr>
        <w:t>度收入总计93.51万元，支出总计93.51万元。收、支与2023年度相比，增加3.67万元，增长4.1%，主要原因是本年度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2.收入情况。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年度收入合计93.51万元，与2023年度相比，增加4.67万元，增长5.3%，主要原因是本年度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幅度增长。其中：财政拨款收入93.51万元，占100.00%；事业收入0.00万元，占0.00%；经营收入0.00万元，占0.00%；其他收入0.00万元，占0.00%。此外，使用非财政拨款结余和专用结余0.00万元，年初结转和结余</w:t>
      </w:r>
      <w:r>
        <w:rPr>
          <w:rFonts w:hint="default" w:ascii="TimesNewRoman" w:hAnsi="TimesNewRoman" w:eastAsia="方正仿宋_GBK" w:cs="TimesNewRoman"/>
          <w:sz w:val="32"/>
          <w:szCs w:val="32"/>
          <w:lang w:val="en-US" w:eastAsia="zh-CN"/>
        </w:rPr>
        <w:t>0</w:t>
      </w:r>
      <w:r>
        <w:rPr>
          <w:rFonts w:hint="default" w:ascii="TimesNewRoman" w:hAnsi="TimesNewRoman" w:eastAsia="方正仿宋_GBK" w:cs="TimesNewRoman"/>
          <w:sz w:val="32"/>
          <w:szCs w:val="32"/>
        </w:rPr>
        <w:t>.00万元。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3.支出情况。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年度支出合计93.51万元，与2023年度相比，增加3.67万元，增长4.1%，主要原因是本年度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幅度增长。其中：基本支出77.71万元，占83.11%；项目支出15.80万元，占16.89%；经营支出0.00万元，占0.00%。此外，结余分配0.00万元。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4.结转结余情况。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年度年末结转和结余0.00万元，较上年决算数无增减，主要原因是本年收支平衡，无财政资金外的收支，故年末无结余。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年度财政拨款收、支总计93.51万元。与202</w:t>
      </w: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rPr>
        <w:t>年相比，财政拨款收、支总计各增加3.67万元，增长4.1%。主要原因是本年度从本年度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1.收入情况。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年度一般公共预算财政拨款收入93.51万元，与2023年度相比，增加4.67万元，增长5.3%。主要原因是本年度从本年度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幅度增长。较年初预算数增加2.25万元，增长2.5%。主要原因是本年度实际人员、公用经费、项目经费的增长，年初无法完全预料。此外，年初财政拨款结转和结余0.00万元。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2.支出情况。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年度一般公共预算财政拨款支出93.51万元，与2023年度相比，增加3.67万元，增长4.1%。主要原因是本年度从本年度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幅度增长。较年初预算数增加2.25万元，增长2.5%。主要原因是本年度实际人员、公用经费、项目经费的增长，年初无法完全预料。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3.结转结余情况。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年度年末一般公共预算财政拨款结转和结余0.00万元，较上年决算数无增减，主要原因是本年收支平衡，无财政资金外的收支，故年末无结余。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4.比较情况。本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（1）一般公共服务支出74.93万元，占80.14%，较年初预算数增加1.33万元，增长1.8%，主要原因是本年度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（2）教育支出0.20万元，占0.22%，较年初预算数无增减，主要原因本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严格按年初预算执行。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（3）社会保障与就业支出9.58万元，占10.25%，较年初预算数增加0.75万元，增长8.5%，主要原因是</w:t>
      </w:r>
      <w:r>
        <w:rPr>
          <w:rFonts w:hint="default" w:ascii="TimesNewRoman" w:hAnsi="TimesNewRoman" w:eastAsia="方正仿宋_GBK" w:cs="TimesNewRoman"/>
          <w:sz w:val="32"/>
          <w:szCs w:val="32"/>
          <w:lang w:eastAsia="zh-CN"/>
        </w:rPr>
        <w:t>政策性调资，社保缴费对应有所增长</w:t>
      </w:r>
      <w:r>
        <w:rPr>
          <w:rFonts w:hint="default" w:ascii="TimesNewRoman" w:hAnsi="TimesNewRoman" w:eastAsia="方正仿宋_GBK" w:cs="TimesNew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（4）卫生健康支出3.68万元，占3.94%，较年初预算数无增减，主要原因是</w:t>
      </w:r>
      <w:r>
        <w:rPr>
          <w:rFonts w:hint="default" w:ascii="TimesNewRoman" w:hAnsi="TimesNewRoman" w:eastAsia="方正仿宋_GBK" w:cs="TimesNewRoman"/>
          <w:sz w:val="32"/>
          <w:szCs w:val="32"/>
          <w:lang w:eastAsia="zh-CN"/>
        </w:rPr>
        <w:t>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lang w:eastAsia="zh-CN"/>
        </w:rPr>
        <w:t>严格按年初预算执行本年度医保缴费</w:t>
      </w:r>
      <w:r>
        <w:rPr>
          <w:rFonts w:hint="default" w:ascii="TimesNewRoman" w:hAnsi="TimesNewRoman" w:eastAsia="方正仿宋_GBK" w:cs="TimesNewRoman"/>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（5）住房保障支出5.11万元，占5.46%，较年初预算数增加0.15万元，增长3.0%，主要原因是本年度政策性的调资因素，本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按全口径缴纳公积金，相应支出</w:t>
      </w:r>
      <w:r>
        <w:rPr>
          <w:rFonts w:hint="default" w:ascii="TimesNewRoman" w:hAnsi="TimesNewRoman" w:eastAsia="方正仿宋_GBK" w:cs="TimesNewRoman"/>
          <w:sz w:val="32"/>
          <w:szCs w:val="32"/>
          <w:lang w:eastAsia="zh-CN"/>
        </w:rPr>
        <w:t>有一定</w:t>
      </w:r>
      <w:r>
        <w:rPr>
          <w:rFonts w:hint="default" w:ascii="TimesNewRoman" w:hAnsi="TimesNewRoman" w:eastAsia="方正仿宋_GBK" w:cs="TimesNewRoman"/>
          <w:sz w:val="32"/>
          <w:szCs w:val="32"/>
        </w:rPr>
        <w:t>增幅。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一般公共财政拨款基本支出77.71万元。其中：人员经费62.67万元，与2023年度相比，增加4.71万元，增长8.1%，主要原因是本年度政策性的调资因素，人员经费较上年有所增长。人员经费用途主要包括工资、津贴、奖金、社会保险、公积金、医疗、体检等方面的费用。公用经费15.04万元，与2023年度相比，增加1.44万元，增长10.6%，主要原因是</w:t>
      </w:r>
      <w:r>
        <w:rPr>
          <w:rFonts w:hint="default" w:ascii="TimesNewRoman" w:hAnsi="TimesNewRoman" w:eastAsia="方正仿宋_GBK" w:cs="TimesNewRoman"/>
          <w:sz w:val="32"/>
          <w:szCs w:val="32"/>
          <w:lang w:eastAsia="zh-CN"/>
        </w:rPr>
        <w:t>正常公务活动较上年有所调增</w:t>
      </w:r>
      <w:r>
        <w:rPr>
          <w:rFonts w:hint="default" w:ascii="TimesNewRoman" w:hAnsi="TimesNewRoman" w:eastAsia="方正仿宋_GBK" w:cs="TimesNewRoman"/>
          <w:sz w:val="32"/>
          <w:szCs w:val="32"/>
        </w:rPr>
        <w:t>，对应的办公费，差旅费等公用开支会有所增加。公用经费用途主要包括办公费、差旅费、办公资产购置、福利费、工会经费、公务接待、租车、劳务费等费用开支。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本</w:t>
      </w:r>
      <w:r>
        <w:rPr>
          <w:rFonts w:hint="eastAsia" w:ascii="TimesNewRoman" w:hAnsi="TimesNewRoman" w:eastAsia="方正仿宋_GBK" w:cs="TimesNewRoman"/>
          <w:color w:val="auto"/>
          <w:sz w:val="32"/>
          <w:szCs w:val="32"/>
          <w:lang w:eastAsia="zh-CN"/>
        </w:rPr>
        <w:t>单位</w:t>
      </w:r>
      <w:r>
        <w:rPr>
          <w:rFonts w:hint="default" w:ascii="TimesNewRoman" w:hAnsi="TimesNewRoman" w:eastAsia="方正仿宋_GBK" w:cs="TimesNewRoman"/>
          <w:color w:val="auto"/>
          <w:sz w:val="32"/>
          <w:szCs w:val="32"/>
          <w:lang w:eastAsia="zh-CN"/>
        </w:rPr>
        <w:t>2024</w:t>
      </w:r>
      <w:r>
        <w:rPr>
          <w:rFonts w:hint="default" w:ascii="TimesNewRoman" w:hAnsi="TimesNewRoman" w:eastAsia="方正仿宋_GBK" w:cs="TimesNewRoman"/>
          <w:color w:val="auto"/>
          <w:sz w:val="32"/>
          <w:szCs w:val="32"/>
        </w:rPr>
        <w:t>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lang w:eastAsia="zh-CN"/>
        </w:rPr>
        <w:t>2024年</w:t>
      </w:r>
      <w:r>
        <w:rPr>
          <w:rFonts w:hint="default" w:ascii="TimesNewRoman" w:hAnsi="TimesNewRoman" w:eastAsia="方正仿宋_GBK" w:cs="TimesNewRoman"/>
          <w:sz w:val="32"/>
          <w:szCs w:val="32"/>
        </w:rPr>
        <w:t>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w:t>
      </w:r>
      <w:r>
        <w:rPr>
          <w:rFonts w:hint="eastAsia" w:ascii="TimesNewRoman" w:hAnsi="TimesNewRoman" w:eastAsia="方正黑体_GBK" w:cs="TimesNewRoman"/>
          <w:sz w:val="32"/>
          <w:szCs w:val="32"/>
          <w:lang w:eastAsia="zh-CN"/>
        </w:rPr>
        <w:t>三公</w:t>
      </w:r>
      <w:r>
        <w:rPr>
          <w:rFonts w:hint="default" w:ascii="TimesNewRoman" w:hAnsi="TimesNewRoman" w:eastAsia="方正黑体_GBK" w:cs="TimesNewRoman"/>
          <w:sz w:val="32"/>
          <w:szCs w:val="32"/>
        </w:rPr>
        <w:t>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 xml:space="preserve"> （一）</w:t>
      </w:r>
      <w:r>
        <w:rPr>
          <w:rFonts w:hint="eastAsia" w:ascii="TimesNewRoman" w:hAnsi="TimesNewRoman" w:eastAsia="方正楷体_GBK" w:cs="TimesNewRoman"/>
          <w:sz w:val="32"/>
          <w:szCs w:val="32"/>
          <w:lang w:eastAsia="zh-CN"/>
        </w:rPr>
        <w:t>三公</w:t>
      </w:r>
      <w:r>
        <w:rPr>
          <w:rFonts w:hint="default" w:ascii="TimesNewRoman" w:hAnsi="TimesNewRoman" w:eastAsia="方正楷体_GBK" w:cs="TimesNewRoman"/>
          <w:sz w:val="32"/>
          <w:szCs w:val="32"/>
        </w:rPr>
        <w:t>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w:t>
      </w:r>
      <w:r>
        <w:rPr>
          <w:rFonts w:hint="eastAsia" w:ascii="TimesNewRoman" w:hAnsi="TimesNewRoman" w:eastAsia="方正仿宋_GBK" w:cs="TimesNewRoman"/>
          <w:sz w:val="32"/>
          <w:szCs w:val="32"/>
          <w:lang w:eastAsia="zh-CN"/>
        </w:rPr>
        <w:t>三公</w:t>
      </w:r>
      <w:r>
        <w:rPr>
          <w:rFonts w:hint="default" w:ascii="TimesNewRoman" w:hAnsi="TimesNewRoman" w:eastAsia="方正仿宋_GBK" w:cs="TimesNewRoman"/>
          <w:sz w:val="32"/>
          <w:szCs w:val="32"/>
        </w:rPr>
        <w:t>经费支出共计0.63万元，较年初预算数减少2.37万元，下降79.0%，主要原因是</w:t>
      </w:r>
      <w:r>
        <w:rPr>
          <w:rFonts w:hint="default" w:ascii="TimesNewRoman" w:hAnsi="TimesNewRoman" w:eastAsia="方正仿宋_GBK" w:cs="TimesNewRoman"/>
          <w:sz w:val="32"/>
          <w:szCs w:val="32"/>
          <w:lang w:eastAsia="zh-CN"/>
        </w:rPr>
        <w:t>本年度公务接待较年初预算有较大幅度压缩</w:t>
      </w:r>
      <w:r>
        <w:rPr>
          <w:rFonts w:hint="default" w:ascii="TimesNewRoman" w:hAnsi="TimesNewRoman" w:eastAsia="方正仿宋_GBK" w:cs="TimesNewRoman"/>
          <w:sz w:val="32"/>
          <w:szCs w:val="32"/>
        </w:rPr>
        <w:t>。较上年支出数增加0.18万元，增长40.0%，主要原因是</w:t>
      </w:r>
      <w:r>
        <w:rPr>
          <w:rFonts w:hint="default" w:ascii="TimesNewRoman" w:hAnsi="TimesNewRoman" w:eastAsia="方正仿宋_GBK" w:cs="TimesNewRoman"/>
          <w:sz w:val="32"/>
          <w:szCs w:val="32"/>
          <w:lang w:eastAsia="zh-CN"/>
        </w:rPr>
        <w:t>本年度公务接待频次较上年度有所增长</w:t>
      </w:r>
      <w:r>
        <w:rPr>
          <w:rFonts w:hint="default" w:ascii="TimesNewRoman" w:hAnsi="TimesNewRoman" w:eastAsia="方正仿宋_GBK" w:cs="TimesNew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w:t>
      </w:r>
      <w:r>
        <w:rPr>
          <w:rFonts w:hint="eastAsia" w:ascii="TimesNewRoman" w:hAnsi="TimesNewRoman" w:eastAsia="方正楷体_GBK" w:cs="TimesNewRoman"/>
          <w:sz w:val="32"/>
          <w:szCs w:val="32"/>
          <w:lang w:eastAsia="zh-CN"/>
        </w:rPr>
        <w:t>三公</w:t>
      </w:r>
      <w:r>
        <w:rPr>
          <w:rFonts w:hint="default" w:ascii="TimesNewRoman" w:hAnsi="TimesNewRoman" w:eastAsia="方正楷体_GBK" w:cs="TimesNewRoman"/>
          <w:sz w:val="32"/>
          <w:szCs w:val="32"/>
        </w:rPr>
        <w:t>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公务车购置费0.00万元。费用支出较年初预算数无增减，主要原因是年初预算数未安排且本年未发生公务车购置费用。较上年支出数无增减，主要原因是上年和本年均未发生公务车购置费用。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公务接待费0.63万元，较年初预算数减少2.37万元，下降79.0%，主要原因是</w:t>
      </w:r>
      <w:r>
        <w:rPr>
          <w:rFonts w:hint="default" w:ascii="TimesNewRoman" w:hAnsi="TimesNewRoman" w:eastAsia="方正仿宋_GBK" w:cs="TimesNewRoman"/>
          <w:sz w:val="32"/>
          <w:szCs w:val="32"/>
          <w:lang w:eastAsia="zh-CN"/>
        </w:rPr>
        <w:t>本年度公务接待较年初预算有较大幅度压缩</w:t>
      </w:r>
      <w:r>
        <w:rPr>
          <w:rFonts w:hint="default" w:ascii="TimesNewRoman" w:hAnsi="TimesNewRoman" w:eastAsia="方正仿宋_GBK" w:cs="TimesNewRoman"/>
          <w:sz w:val="32"/>
          <w:szCs w:val="32"/>
        </w:rPr>
        <w:t>。较上年支出数增加0.18万元，增长40.0%，主要原因是</w:t>
      </w:r>
      <w:r>
        <w:rPr>
          <w:rFonts w:hint="default" w:ascii="TimesNewRoman" w:hAnsi="TimesNewRoman" w:eastAsia="方正仿宋_GBK" w:cs="TimesNewRoman"/>
          <w:sz w:val="32"/>
          <w:szCs w:val="32"/>
          <w:lang w:eastAsia="zh-CN"/>
        </w:rPr>
        <w:t>本年度公务接待频次较上年度有所增长</w:t>
      </w:r>
      <w:r>
        <w:rPr>
          <w:rFonts w:hint="default" w:ascii="TimesNewRoman" w:hAnsi="TimesNewRoman" w:eastAsia="方正仿宋_GBK" w:cs="TimesNew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w:t>
      </w:r>
      <w:r>
        <w:rPr>
          <w:rFonts w:hint="eastAsia" w:ascii="TimesNewRoman" w:hAnsi="TimesNewRoman" w:eastAsia="方正楷体_GBK" w:cs="TimesNewRoman"/>
          <w:sz w:val="32"/>
          <w:szCs w:val="32"/>
          <w:lang w:eastAsia="zh-CN"/>
        </w:rPr>
        <w:t>三公</w:t>
      </w:r>
      <w:r>
        <w:rPr>
          <w:rFonts w:hint="default" w:ascii="TimesNewRoman" w:hAnsi="TimesNewRoman" w:eastAsia="方正楷体_GBK" w:cs="TimesNewRoman"/>
          <w:sz w:val="32"/>
          <w:szCs w:val="32"/>
        </w:rPr>
        <w:t>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因公出国（境）共计0个团组，0人；公务用车购置0辆，公务车保有量为0辆；国内公务接待</w:t>
      </w:r>
      <w:r>
        <w:rPr>
          <w:rFonts w:hint="default" w:ascii="TimesNewRoman" w:hAnsi="TimesNewRoman" w:eastAsia="方正仿宋_GBK" w:cs="TimesNewRoman"/>
          <w:sz w:val="32"/>
          <w:szCs w:val="32"/>
          <w:lang w:val="en-US" w:eastAsia="zh-CN"/>
        </w:rPr>
        <w:t>8</w:t>
      </w:r>
      <w:r>
        <w:rPr>
          <w:rFonts w:hint="default" w:ascii="TimesNewRoman" w:hAnsi="TimesNewRoman" w:eastAsia="方正仿宋_GBK" w:cs="TimesNewRoman"/>
          <w:sz w:val="32"/>
          <w:szCs w:val="32"/>
        </w:rPr>
        <w:t>批次</w:t>
      </w:r>
      <w:r>
        <w:rPr>
          <w:rFonts w:hint="default" w:ascii="TimesNewRoman" w:hAnsi="TimesNewRoman" w:eastAsia="方正仿宋_GBK" w:cs="TimesNewRoman"/>
          <w:sz w:val="32"/>
          <w:szCs w:val="32"/>
          <w:lang w:val="en-US" w:eastAsia="zh-CN"/>
        </w:rPr>
        <w:t>65</w:t>
      </w:r>
      <w:r>
        <w:rPr>
          <w:rFonts w:hint="default" w:ascii="TimesNewRoman" w:hAnsi="TimesNewRoman" w:eastAsia="方正仿宋_GBK" w:cs="TimesNewRoman"/>
          <w:sz w:val="32"/>
          <w:szCs w:val="32"/>
        </w:rPr>
        <w:t>人，其中：国内外事接待0批次，0人；国（境）外公务接待0批次，0人。</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人均接待费</w:t>
      </w:r>
      <w:r>
        <w:rPr>
          <w:rFonts w:hint="eastAsia" w:ascii="TimesNewRoman" w:hAnsi="TimesNewRoman" w:eastAsia="方正仿宋_GBK" w:cs="TimesNewRoman"/>
          <w:sz w:val="32"/>
          <w:szCs w:val="32"/>
          <w:lang w:val="en-US" w:eastAsia="zh-CN"/>
        </w:rPr>
        <w:t>96.54</w:t>
      </w:r>
      <w:r>
        <w:rPr>
          <w:rFonts w:hint="default" w:ascii="TimesNewRoman" w:hAnsi="TimesNewRoman" w:eastAsia="方正仿宋_GBK" w:cs="TimesNewRoman"/>
          <w:sz w:val="32"/>
          <w:szCs w:val="32"/>
        </w:rPr>
        <w:t>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  （一）财政拨款会议费和培训费情况说明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本年度会议费支出0.16万元，与2023年度相比，增加0.16万元，增长100.0%，主要原因是</w:t>
      </w:r>
      <w:r>
        <w:rPr>
          <w:rFonts w:hint="default" w:ascii="TimesNewRoman" w:hAnsi="TimesNewRoman" w:eastAsia="方正仿宋_GBK" w:cs="TimesNewRoman"/>
          <w:sz w:val="32"/>
          <w:szCs w:val="32"/>
          <w:lang w:eastAsia="zh-CN"/>
        </w:rPr>
        <w:t>上</w:t>
      </w:r>
      <w:r>
        <w:rPr>
          <w:rFonts w:hint="default" w:ascii="TimesNewRoman" w:hAnsi="TimesNewRoman" w:eastAsia="方正仿宋_GBK" w:cs="TimesNewRoman"/>
          <w:sz w:val="32"/>
          <w:szCs w:val="32"/>
        </w:rPr>
        <w:t>年度没有会议费用开支。本年度培训费支出0.97万元，与2023年度相比，增加0.51万元，增长110.9%，主要原因是本年</w:t>
      </w:r>
      <w:r>
        <w:rPr>
          <w:rFonts w:hint="default" w:ascii="TimesNewRoman" w:hAnsi="TimesNewRoman" w:eastAsia="方正仿宋_GBK" w:cs="TimesNewRoman"/>
          <w:sz w:val="32"/>
          <w:szCs w:val="32"/>
          <w:lang w:eastAsia="zh-CN"/>
        </w:rPr>
        <w:t>对</w:t>
      </w:r>
      <w:r>
        <w:rPr>
          <w:rFonts w:hint="eastAsia" w:ascii="TimesNewRoman" w:hAnsi="TimesNewRoman" w:eastAsia="方正仿宋_GBK" w:cs="TimesNewRoman"/>
          <w:sz w:val="32"/>
          <w:szCs w:val="32"/>
          <w:lang w:eastAsia="zh-CN"/>
        </w:rPr>
        <w:t>侨眷属开展英语口语培训</w:t>
      </w:r>
      <w:r>
        <w:rPr>
          <w:rFonts w:hint="default" w:ascii="TimesNewRoman" w:hAnsi="TimesNewRoman" w:eastAsia="方正仿宋_GBK" w:cs="TimesNew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机关运行经费支出15.04万元，机关运行经费主要用于开支办公费、差旅费、办公资产购置、福利费、工会经费、公务接待、租车、劳务费等费用。机关运行经费较上年支出数增加1.44万元，增长10.6%，主要原因是本年度公务活动频次有所增加，运行经费较上年有所增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截至</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年12月31日，本</w:t>
      </w:r>
      <w:r>
        <w:rPr>
          <w:rFonts w:hint="eastAsia" w:ascii="TimesNewRoman" w:hAnsi="TimesNewRoman" w:eastAsia="方正仿宋_GBK" w:cs="TimesNewRoman"/>
          <w:sz w:val="32"/>
          <w:szCs w:val="32"/>
          <w:lang w:eastAsia="zh-CN"/>
        </w:rPr>
        <w:t>单位</w:t>
      </w:r>
      <w:r>
        <w:rPr>
          <w:rFonts w:hint="default" w:ascii="TimesNewRoman" w:hAnsi="TimesNewRoman" w:eastAsia="方正仿宋_GBK" w:cs="TimesNewRoman"/>
          <w:sz w:val="32"/>
          <w:szCs w:val="32"/>
        </w:rPr>
        <w:t>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lang w:eastAsia="zh-CN"/>
        </w:rPr>
        <w:t>2024</w:t>
      </w:r>
      <w:r>
        <w:rPr>
          <w:rFonts w:hint="default" w:ascii="TimesNewRoman" w:hAnsi="TimesNewRoman" w:eastAsia="方正仿宋_GBK" w:cs="TimesNewRoman"/>
          <w:color w:val="auto"/>
          <w:sz w:val="32"/>
          <w:szCs w:val="32"/>
        </w:rPr>
        <w:t>年度我</w:t>
      </w:r>
      <w:r>
        <w:rPr>
          <w:rFonts w:hint="eastAsia" w:ascii="TimesNewRoman" w:hAnsi="TimesNewRoman" w:eastAsia="方正仿宋_GBK" w:cs="TimesNewRoman"/>
          <w:color w:val="auto"/>
          <w:sz w:val="32"/>
          <w:szCs w:val="32"/>
          <w:lang w:eastAsia="zh-CN"/>
        </w:rPr>
        <w:t>单位</w:t>
      </w:r>
      <w:r>
        <w:rPr>
          <w:rFonts w:hint="default" w:ascii="TimesNewRoman" w:hAnsi="TimesNewRoman" w:eastAsia="方正仿宋_GBK" w:cs="TimesNewRoman"/>
          <w:color w:val="auto"/>
          <w:sz w:val="32"/>
          <w:szCs w:val="32"/>
        </w:rPr>
        <w:t>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eastAsia="zh-CN"/>
        </w:rPr>
        <w:t>五、</w:t>
      </w:r>
      <w:r>
        <w:rPr>
          <w:rFonts w:hint="default" w:ascii="TimesNewRoman" w:hAnsi="TimesNewRoman" w:eastAsia="方正黑体_GBK" w:cs="TimesNewRoman"/>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w:t>
      </w:r>
      <w:r>
        <w:rPr>
          <w:rFonts w:hint="eastAsia" w:ascii="TimesNewRoman" w:hAnsi="TimesNewRoman" w:eastAsia="方正楷体_GBK" w:cs="TimesNewRoman"/>
          <w:sz w:val="32"/>
          <w:szCs w:val="32"/>
          <w:lang w:eastAsia="zh-CN"/>
        </w:rPr>
        <w:t>单位</w:t>
      </w:r>
      <w:r>
        <w:rPr>
          <w:rFonts w:hint="default" w:ascii="TimesNewRoman" w:hAnsi="TimesNewRoman" w:eastAsia="方正楷体_GBK" w:cs="TimesNewRoman"/>
          <w:sz w:val="32"/>
          <w:szCs w:val="32"/>
        </w:rPr>
        <w:t>自评情况</w:t>
      </w:r>
    </w:p>
    <w:p>
      <w:pPr>
        <w:pStyle w:val="12"/>
        <w:autoSpaceDE w:val="0"/>
        <w:spacing w:before="0" w:beforeAutospacing="0" w:line="600" w:lineRule="exact"/>
        <w:ind w:firstLine="640" w:firstLineChars="200"/>
        <w:rPr>
          <w:rFonts w:hint="default" w:ascii="TimesNewRoman" w:hAnsi="TimesNewRoman" w:eastAsia="方正仿宋_GBK" w:cs="TimesNewRoman"/>
          <w:color w:val="auto"/>
          <w:sz w:val="32"/>
          <w:szCs w:val="32"/>
          <w:shd w:val="clear" w:color="auto" w:fill="FFFFFF"/>
        </w:rPr>
      </w:pPr>
      <w:r>
        <w:rPr>
          <w:rFonts w:hint="default" w:ascii="TimesNewRoman" w:hAnsi="TimesNewRoman" w:eastAsia="方正仿宋_GBK" w:cs="TimesNewRoman"/>
          <w:color w:val="auto"/>
          <w:sz w:val="32"/>
          <w:szCs w:val="32"/>
          <w:shd w:val="clear" w:color="auto" w:fill="FFFFFF"/>
        </w:rPr>
        <w:t>根据预算绩效管理要求，我</w:t>
      </w:r>
      <w:r>
        <w:rPr>
          <w:rFonts w:hint="eastAsia" w:ascii="TimesNewRoman" w:hAnsi="TimesNewRoman" w:eastAsia="方正仿宋_GBK" w:cs="TimesNewRoman"/>
          <w:color w:val="auto"/>
          <w:sz w:val="32"/>
          <w:szCs w:val="32"/>
          <w:shd w:val="clear" w:color="auto" w:fill="FFFFFF"/>
          <w:lang w:eastAsia="zh-CN"/>
        </w:rPr>
        <w:t>单位</w:t>
      </w:r>
      <w:r>
        <w:rPr>
          <w:rFonts w:hint="default" w:ascii="TimesNewRoman" w:hAnsi="TimesNewRoman" w:eastAsia="方正仿宋_GBK" w:cs="TimesNewRoman"/>
          <w:color w:val="auto"/>
          <w:sz w:val="32"/>
          <w:szCs w:val="32"/>
          <w:shd w:val="clear" w:color="auto" w:fill="FFFFFF"/>
        </w:rPr>
        <w:t>对</w:t>
      </w:r>
      <w:r>
        <w:rPr>
          <w:rFonts w:hint="default" w:ascii="TimesNewRoman" w:hAnsi="TimesNewRoman" w:eastAsia="方正仿宋_GBK" w:cs="TimesNewRoman"/>
          <w:color w:val="auto"/>
          <w:sz w:val="32"/>
          <w:szCs w:val="32"/>
          <w:shd w:val="clear" w:color="auto" w:fill="FFFFFF"/>
          <w:lang w:val="en-US" w:eastAsia="zh-CN"/>
        </w:rPr>
        <w:t>3</w:t>
      </w:r>
      <w:r>
        <w:rPr>
          <w:rFonts w:hint="default" w:ascii="TimesNewRoman" w:hAnsi="TimesNewRoman" w:eastAsia="方正仿宋_GBK" w:cs="TimesNewRoman"/>
          <w:color w:val="auto"/>
          <w:sz w:val="32"/>
          <w:szCs w:val="32"/>
          <w:shd w:val="clear" w:color="auto" w:fill="FFFFFF"/>
        </w:rPr>
        <w:t>个二级项目开展了绩效自评，涉及财政拨款项目支出资金</w:t>
      </w:r>
      <w:r>
        <w:rPr>
          <w:rFonts w:hint="default" w:ascii="TimesNewRoman" w:hAnsi="TimesNewRoman" w:eastAsia="方正仿宋_GBK" w:cs="TimesNewRoman"/>
          <w:color w:val="auto"/>
          <w:sz w:val="32"/>
          <w:szCs w:val="32"/>
          <w:shd w:val="clear" w:color="auto" w:fill="FFFFFF"/>
          <w:lang w:val="en-US" w:eastAsia="zh-CN"/>
        </w:rPr>
        <w:t>15.8</w:t>
      </w:r>
      <w:r>
        <w:rPr>
          <w:rFonts w:hint="default" w:ascii="TimesNewRoman" w:hAnsi="TimesNewRoman" w:eastAsia="方正仿宋_GBK" w:cs="TimesNewRoman"/>
          <w:color w:val="auto"/>
          <w:sz w:val="32"/>
          <w:szCs w:val="32"/>
          <w:shd w:val="clear" w:color="auto" w:fill="FFFFFF"/>
        </w:rPr>
        <w:t>万元。</w:t>
      </w:r>
    </w:p>
    <w:p>
      <w:pPr>
        <w:pStyle w:val="12"/>
        <w:autoSpaceDE w:val="0"/>
        <w:spacing w:before="0" w:beforeAutospacing="0"/>
        <w:jc w:val="left"/>
        <w:rPr>
          <w:rFonts w:hint="default" w:ascii="TimesNewRoman" w:hAnsi="TimesNewRoman" w:eastAsia="方正仿宋_GBK" w:cs="TimesNewRoman"/>
          <w:sz w:val="32"/>
          <w:szCs w:val="32"/>
          <w:shd w:val="clear" w:color="auto" w:fill="FFFFFF"/>
          <w:lang w:eastAsia="zh-CN"/>
        </w:rPr>
      </w:pPr>
    </w:p>
    <w:p>
      <w:pPr>
        <w:pStyle w:val="12"/>
        <w:autoSpaceDE w:val="0"/>
        <w:spacing w:before="0" w:beforeAutospacing="0"/>
        <w:rPr>
          <w:rFonts w:hint="default" w:ascii="TimesNewRoman" w:hAnsi="TimesNewRoman" w:eastAsia="方正仿宋_GBK" w:cs="TimesNewRoman"/>
          <w:sz w:val="32"/>
          <w:szCs w:val="32"/>
          <w:shd w:val="clear" w:color="auto" w:fill="FFFFFF"/>
          <w:lang w:eastAsia="zh-CN"/>
        </w:rPr>
      </w:pPr>
      <w:r>
        <w:rPr>
          <w:rFonts w:hint="default" w:ascii="TimesNewRoman" w:hAnsi="TimesNewRoman" w:eastAsia="方正仿宋_GBK" w:cs="TimesNewRoman"/>
          <w:sz w:val="32"/>
          <w:szCs w:val="32"/>
          <w:shd w:val="clear" w:color="auto" w:fill="FFFFFF"/>
          <w:lang w:eastAsia="zh-CN"/>
        </w:rPr>
        <w:drawing>
          <wp:inline distT="0" distB="0" distL="114300" distR="114300">
            <wp:extent cx="5489575" cy="3062605"/>
            <wp:effectExtent l="0" t="0" r="15875" b="4445"/>
            <wp:docPr id="2" name="图片 2" descr="f5af82f9e95e238b287d4dafb617d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af82f9e95e238b287d4dafb617dfb1"/>
                    <pic:cNvPicPr>
                      <a:picLocks noChangeAspect="1"/>
                    </pic:cNvPicPr>
                  </pic:nvPicPr>
                  <pic:blipFill>
                    <a:blip r:embed="rId7"/>
                    <a:stretch>
                      <a:fillRect/>
                    </a:stretch>
                  </pic:blipFill>
                  <pic:spPr>
                    <a:xfrm>
                      <a:off x="0" y="0"/>
                      <a:ext cx="5489575" cy="3062605"/>
                    </a:xfrm>
                    <a:prstGeom prst="rect">
                      <a:avLst/>
                    </a:prstGeom>
                  </pic:spPr>
                </pic:pic>
              </a:graphicData>
            </a:graphic>
          </wp:inline>
        </w:drawing>
      </w:r>
    </w:p>
    <w:p>
      <w:pPr>
        <w:pStyle w:val="12"/>
        <w:autoSpaceDE w:val="0"/>
        <w:spacing w:before="0" w:beforeAutospacing="0"/>
        <w:ind w:firstLine="640" w:firstLineChars="200"/>
        <w:rPr>
          <w:rFonts w:hint="default" w:ascii="TimesNewRoman" w:hAnsi="TimesNewRoman" w:eastAsia="方正仿宋_GBK" w:cs="TimesNewRoman"/>
          <w:sz w:val="32"/>
          <w:szCs w:val="32"/>
          <w:shd w:val="clear" w:color="auto" w:fill="FFFFFF"/>
          <w:lang w:eastAsia="zh-CN"/>
        </w:rPr>
      </w:pPr>
    </w:p>
    <w:p>
      <w:pPr>
        <w:pStyle w:val="12"/>
        <w:autoSpaceDE w:val="0"/>
        <w:spacing w:before="0" w:beforeAutospacing="0"/>
        <w:rPr>
          <w:rFonts w:hint="default" w:ascii="TimesNewRoman" w:hAnsi="TimesNewRoman" w:eastAsia="方正仿宋_GBK" w:cs="TimesNewRoman"/>
          <w:sz w:val="32"/>
          <w:szCs w:val="32"/>
          <w:shd w:val="clear" w:color="auto" w:fill="FFFFFF"/>
          <w:lang w:eastAsia="zh-CN"/>
        </w:rPr>
      </w:pPr>
      <w:r>
        <w:rPr>
          <w:rFonts w:hint="default" w:ascii="TimesNewRoman" w:hAnsi="TimesNewRoman" w:eastAsia="方正仿宋_GBK" w:cs="TimesNewRoman"/>
          <w:sz w:val="32"/>
          <w:szCs w:val="32"/>
          <w:shd w:val="clear" w:color="auto" w:fill="FFFFFF"/>
          <w:lang w:eastAsia="zh-CN"/>
        </w:rPr>
        <w:drawing>
          <wp:inline distT="0" distB="0" distL="114300" distR="114300">
            <wp:extent cx="5278755" cy="2945130"/>
            <wp:effectExtent l="0" t="0" r="17145" b="7620"/>
            <wp:docPr id="5" name="图片 5" descr="d1d02b71efa2bbd63bff13cd4749ad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1d02b71efa2bbd63bff13cd4749add9"/>
                    <pic:cNvPicPr>
                      <a:picLocks noChangeAspect="1"/>
                    </pic:cNvPicPr>
                  </pic:nvPicPr>
                  <pic:blipFill>
                    <a:blip r:embed="rId8"/>
                    <a:stretch>
                      <a:fillRect/>
                    </a:stretch>
                  </pic:blipFill>
                  <pic:spPr>
                    <a:xfrm>
                      <a:off x="0" y="0"/>
                      <a:ext cx="5278755" cy="2945130"/>
                    </a:xfrm>
                    <a:prstGeom prst="rect">
                      <a:avLst/>
                    </a:prstGeom>
                  </pic:spPr>
                </pic:pic>
              </a:graphicData>
            </a:graphic>
          </wp:inline>
        </w:drawing>
      </w:r>
    </w:p>
    <w:p>
      <w:pPr>
        <w:pStyle w:val="12"/>
        <w:autoSpaceDE w:val="0"/>
        <w:spacing w:before="0" w:beforeAutospacing="0" w:after="0" w:afterAutospacing="0"/>
        <w:rPr>
          <w:rFonts w:hint="default" w:ascii="TimesNewRoman" w:hAnsi="TimesNewRoman" w:eastAsia="方正仿宋_GBK" w:cs="TimesNewRoman"/>
          <w:sz w:val="32"/>
          <w:szCs w:val="32"/>
          <w:shd w:val="clear" w:color="auto" w:fill="FFFFFF"/>
          <w:lang w:eastAsia="zh-CN"/>
        </w:rPr>
      </w:pPr>
      <w:r>
        <w:rPr>
          <w:rFonts w:hint="default" w:ascii="TimesNewRoman" w:hAnsi="TimesNewRoman" w:eastAsia="方正仿宋_GBK" w:cs="TimesNewRoman"/>
          <w:sz w:val="32"/>
          <w:szCs w:val="32"/>
          <w:shd w:val="clear" w:color="auto" w:fill="FFFFFF"/>
          <w:lang w:eastAsia="zh-CN"/>
        </w:rPr>
        <w:drawing>
          <wp:inline distT="0" distB="0" distL="114300" distR="114300">
            <wp:extent cx="5278755" cy="2945130"/>
            <wp:effectExtent l="0" t="0" r="17145" b="7620"/>
            <wp:docPr id="6" name="图片 6" descr="4a6e187ff5e43cebac3214bf30dad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a6e187ff5e43cebac3214bf30dad996"/>
                    <pic:cNvPicPr>
                      <a:picLocks noChangeAspect="1"/>
                    </pic:cNvPicPr>
                  </pic:nvPicPr>
                  <pic:blipFill>
                    <a:blip r:embed="rId9"/>
                    <a:stretch>
                      <a:fillRect/>
                    </a:stretch>
                  </pic:blipFill>
                  <pic:spPr>
                    <a:xfrm>
                      <a:off x="0" y="0"/>
                      <a:ext cx="5278755" cy="29451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w:t>
      </w:r>
      <w:r>
        <w:rPr>
          <w:rFonts w:hint="eastAsia" w:ascii="TimesNewRoman" w:hAnsi="TimesNewRoman" w:eastAsia="方正楷体_GBK" w:cs="TimesNewRoman"/>
          <w:sz w:val="32"/>
          <w:szCs w:val="32"/>
          <w:lang w:eastAsia="zh-CN"/>
        </w:rPr>
        <w:t>单位</w:t>
      </w:r>
      <w:r>
        <w:rPr>
          <w:rFonts w:hint="default" w:ascii="TimesNewRoman" w:hAnsi="TimesNewRoman" w:eastAsia="方正楷体_GBK" w:cs="TimesNewRoman"/>
          <w:sz w:val="32"/>
          <w:szCs w:val="32"/>
        </w:rPr>
        <w:t>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县财政局未委托第三方对我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开展绩效评价。</w:t>
      </w:r>
    </w:p>
    <w:p>
      <w:pPr>
        <w:pStyle w:val="6"/>
        <w:keepNext w:val="0"/>
        <w:keepLines/>
        <w:pageBreakBefore w:val="0"/>
        <w:widowControl/>
        <w:shd w:val="clear" w:color="auto" w:fill="FFFFFF"/>
        <w:kinsoku/>
        <w:wordWrap/>
        <w:overflowPunct/>
        <w:topLinePunct w:val="0"/>
        <w:autoSpaceDE/>
        <w:autoSpaceDN/>
        <w:bidi w:val="0"/>
        <w:adjustRightInd/>
        <w:snapToGrid/>
        <w:spacing w:line="594" w:lineRule="exact"/>
        <w:jc w:val="left"/>
        <w:textAlignment w:val="auto"/>
        <w:rPr>
          <w:rStyle w:val="10"/>
          <w:rFonts w:hint="default" w:ascii="TimesNewRoman" w:hAnsi="TimesNewRoman" w:eastAsia="方正仿宋_GBK" w:cs="TimesNewRoman"/>
          <w:sz w:val="32"/>
          <w:szCs w:val="32"/>
          <w:shd w:val="clear" w:color="auto" w:fill="FFFFFF"/>
        </w:rPr>
      </w:pPr>
      <w:r>
        <w:rPr>
          <w:rStyle w:val="10"/>
          <w:rFonts w:hint="default" w:ascii="TimesNewRoman" w:hAnsi="TimesNewRoman" w:eastAsia="方正仿宋_GBK" w:cs="TimesNewRoman"/>
          <w:sz w:val="32"/>
          <w:szCs w:val="32"/>
          <w:shd w:val="clear" w:color="auto" w:fill="FFFFFF"/>
        </w:rPr>
        <w:t xml:space="preserve">  </w:t>
      </w:r>
      <w:r>
        <w:rPr>
          <w:rStyle w:val="10"/>
          <w:rFonts w:hint="default" w:ascii="TimesNewRoman" w:hAnsi="TimesNewRoman" w:eastAsia="黑体" w:cs="TimesNewRoman"/>
          <w:sz w:val="32"/>
          <w:szCs w:val="32"/>
          <w:shd w:val="clear" w:color="auto" w:fill="FFFFFF"/>
        </w:rPr>
        <w:t>六、专业名词解释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shd w:val="clear" w:color="auto" w:fill="FFFFFF"/>
        </w:rPr>
        <w:t> </w:t>
      </w:r>
      <w:r>
        <w:rPr>
          <w:rFonts w:hint="default" w:ascii="TimesNewRoman" w:hAnsi="TimesNewRoman" w:eastAsia="方正楷体_GBK" w:cs="TimesNewRoman"/>
          <w:sz w:val="32"/>
          <w:szCs w:val="32"/>
          <w:lang w:val="en-US" w:eastAsia="zh-CN" w:bidi="ar-SA"/>
        </w:rPr>
        <w:t>（一）财政拨款收入：</w:t>
      </w:r>
      <w:r>
        <w:rPr>
          <w:rFonts w:hint="default" w:ascii="TimesNewRoman" w:hAnsi="TimesNewRoman" w:eastAsia="方正仿宋_GBK" w:cs="TimesNewRoman"/>
          <w:sz w:val="32"/>
          <w:szCs w:val="32"/>
          <w:shd w:val="clear" w:color="auto" w:fill="FFFFFF"/>
        </w:rPr>
        <w:t>指本年度从本级财政</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Style w:val="10"/>
          <w:rFonts w:hint="default" w:ascii="TimesNewRoman" w:hAnsi="TimesNewRoman" w:eastAsia="方正仿宋_GBK" w:cs="TimesNewRoman"/>
          <w:sz w:val="32"/>
          <w:szCs w:val="32"/>
          <w:shd w:val="clear" w:color="auto" w:fill="FFFFFF"/>
        </w:rPr>
        <w:t> </w:t>
      </w:r>
      <w:r>
        <w:rPr>
          <w:rFonts w:hint="default" w:ascii="TimesNewRoman" w:hAnsi="TimesNewRoman" w:eastAsia="方正楷体_GBK" w:cs="TimesNewRoman"/>
          <w:sz w:val="32"/>
          <w:szCs w:val="32"/>
          <w:lang w:val="en-US" w:eastAsia="zh-CN" w:bidi="ar-SA"/>
        </w:rPr>
        <w:t>（二）事业收入：</w:t>
      </w:r>
      <w:r>
        <w:rPr>
          <w:rFonts w:hint="default" w:ascii="TimesNewRoman" w:hAnsi="TimesNewRoman" w:eastAsia="方正仿宋_GBK" w:cs="TimesNewRoman"/>
          <w:sz w:val="32"/>
          <w:szCs w:val="32"/>
          <w:shd w:val="clear" w:color="auto" w:fill="FFFFFF"/>
        </w:rPr>
        <w:t>指事业</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开展专业业务活动及其辅助活动取得的现金流入；事业</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（三）经营收入：</w:t>
      </w:r>
      <w:r>
        <w:rPr>
          <w:rFonts w:hint="default" w:ascii="TimesNewRoman" w:hAnsi="TimesNewRoman" w:eastAsia="方正仿宋_GBK" w:cs="TimesNewRoman"/>
          <w:sz w:val="32"/>
          <w:szCs w:val="32"/>
          <w:shd w:val="clear" w:color="auto" w:fill="FFFFFF"/>
        </w:rPr>
        <w:t>指事业</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在专业业务活动及其辅助活动之外开展非独立核算经营活动取得的现金流入。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（四）其他收入：</w:t>
      </w:r>
      <w:r>
        <w:rPr>
          <w:rFonts w:hint="default" w:ascii="TimesNewRoman" w:hAnsi="TimesNewRoman" w:eastAsia="方正仿宋_GBK" w:cs="TimesNewRoman"/>
          <w:sz w:val="32"/>
          <w:szCs w:val="32"/>
          <w:shd w:val="clear" w:color="auto" w:fill="FFFFFF"/>
        </w:rPr>
        <w:t>指</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从本级财政</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以外的同级</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取得的经费、从非本级财政</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取得的经费，以及行政</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收到的财政专户管理资金反映在本项内。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（五）使用非财政拨款结余：</w:t>
      </w:r>
      <w:r>
        <w:rPr>
          <w:rFonts w:hint="default" w:ascii="TimesNewRoman" w:hAnsi="TimesNewRoman" w:eastAsia="方正仿宋_GBK" w:cs="TimesNewRoman"/>
          <w:sz w:val="32"/>
          <w:szCs w:val="32"/>
          <w:shd w:val="clear" w:color="auto" w:fill="FFFFFF"/>
        </w:rPr>
        <w:t>指</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（六）年初结转和结余：</w:t>
      </w:r>
      <w:r>
        <w:rPr>
          <w:rFonts w:hint="default" w:ascii="TimesNewRoman" w:hAnsi="TimesNewRoman" w:eastAsia="方正仿宋_GBK" w:cs="TimesNewRoman"/>
          <w:sz w:val="32"/>
          <w:szCs w:val="32"/>
          <w:shd w:val="clear" w:color="auto" w:fill="FFFFFF"/>
        </w:rPr>
        <w:t>指</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上年结转本年使用的基本支出结转、项目支出结转和结余、经营结余。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（七）结余分配：</w:t>
      </w:r>
      <w:r>
        <w:rPr>
          <w:rFonts w:hint="default" w:ascii="TimesNewRoman" w:hAnsi="TimesNewRoman" w:eastAsia="方正仿宋_GBK" w:cs="TimesNewRoman"/>
          <w:sz w:val="32"/>
          <w:szCs w:val="32"/>
          <w:shd w:val="clear" w:color="auto" w:fill="FFFFFF"/>
        </w:rPr>
        <w:t>指</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Style w:val="10"/>
          <w:rFonts w:hint="default" w:ascii="TimesNewRoman" w:hAnsi="TimesNewRoman" w:eastAsia="方正仿宋_GBK" w:cs="TimesNewRoman"/>
          <w:sz w:val="32"/>
          <w:szCs w:val="32"/>
          <w:shd w:val="clear" w:color="auto" w:fill="FFFFFF"/>
        </w:rPr>
        <w:t> </w:t>
      </w:r>
      <w:r>
        <w:rPr>
          <w:rFonts w:hint="default" w:ascii="TimesNewRoman" w:hAnsi="TimesNewRoman" w:eastAsia="方正楷体_GBK" w:cs="TimesNewRoman"/>
          <w:sz w:val="32"/>
          <w:szCs w:val="32"/>
          <w:lang w:val="en-US" w:eastAsia="zh-CN" w:bidi="ar-SA"/>
        </w:rPr>
        <w:t>（八）年末结转和结余：</w:t>
      </w:r>
      <w:r>
        <w:rPr>
          <w:rFonts w:hint="default" w:ascii="TimesNewRoman" w:hAnsi="TimesNewRoman" w:eastAsia="方正仿宋_GBK" w:cs="TimesNewRoman"/>
          <w:sz w:val="32"/>
          <w:szCs w:val="32"/>
          <w:shd w:val="clear" w:color="auto" w:fill="FFFFFF"/>
        </w:rPr>
        <w:t>指</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结转下年的基本支出结转、项目支出结转和结余、经营结余。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Style w:val="10"/>
          <w:rFonts w:hint="default" w:ascii="TimesNewRoman" w:hAnsi="TimesNewRoman" w:eastAsia="方正仿宋_GBK" w:cs="TimesNewRoman"/>
          <w:sz w:val="32"/>
          <w:szCs w:val="32"/>
          <w:shd w:val="clear" w:color="auto" w:fill="FFFFFF"/>
        </w:rPr>
        <w:t> </w:t>
      </w:r>
      <w:r>
        <w:rPr>
          <w:rFonts w:hint="default" w:ascii="TimesNewRoman" w:hAnsi="TimesNewRoman" w:eastAsia="方正楷体_GBK" w:cs="TimesNewRoman"/>
          <w:sz w:val="32"/>
          <w:szCs w:val="32"/>
          <w:lang w:val="en-US" w:eastAsia="zh-CN" w:bidi="ar-SA"/>
        </w:rPr>
        <w:t>（九）基本支出：</w:t>
      </w:r>
      <w:r>
        <w:rPr>
          <w:rFonts w:hint="default" w:ascii="TimesNewRoman" w:hAnsi="TimesNewRoman" w:eastAsia="方正仿宋_GBK" w:cs="TimesNew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（十）项目支出：</w:t>
      </w:r>
      <w:r>
        <w:rPr>
          <w:rFonts w:hint="default" w:ascii="TimesNewRoman" w:hAnsi="TimesNewRoman" w:eastAsia="方正仿宋_GBK" w:cs="TimesNewRoman"/>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（十一）经营支出：</w:t>
      </w:r>
      <w:r>
        <w:rPr>
          <w:rFonts w:hint="default" w:ascii="TimesNewRoman" w:hAnsi="TimesNewRoman" w:eastAsia="方正仿宋_GBK" w:cs="TimesNewRoman"/>
          <w:sz w:val="32"/>
          <w:szCs w:val="32"/>
          <w:shd w:val="clear" w:color="auto" w:fill="FFFFFF"/>
        </w:rPr>
        <w:t>指事业</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在专业业务活动及其辅助活动之外开展非独立核算经营活动发生的支出。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（十二）</w:t>
      </w:r>
      <w:r>
        <w:rPr>
          <w:rFonts w:hint="eastAsia" w:ascii="TimesNewRoman" w:hAnsi="TimesNewRoman" w:eastAsia="方正楷体_GBK" w:cs="TimesNewRoman"/>
          <w:sz w:val="32"/>
          <w:szCs w:val="32"/>
          <w:lang w:val="en-US" w:eastAsia="zh-CN" w:bidi="ar-SA"/>
        </w:rPr>
        <w:t>三公</w:t>
      </w:r>
      <w:r>
        <w:rPr>
          <w:rFonts w:hint="default" w:ascii="TimesNewRoman" w:hAnsi="TimesNewRoman" w:eastAsia="方正楷体_GBK" w:cs="TimesNewRoman"/>
          <w:sz w:val="32"/>
          <w:szCs w:val="32"/>
          <w:lang w:val="en-US" w:eastAsia="zh-CN" w:bidi="ar-SA"/>
        </w:rPr>
        <w:t>经费：</w:t>
      </w:r>
      <w:r>
        <w:rPr>
          <w:rFonts w:hint="default" w:ascii="TimesNewRoman" w:hAnsi="TimesNewRoman" w:eastAsia="方正仿宋_GBK" w:cs="TimesNewRoman"/>
          <w:sz w:val="32"/>
          <w:szCs w:val="32"/>
          <w:shd w:val="clear" w:color="auto" w:fill="FFFFFF"/>
        </w:rPr>
        <w:t>指用一般公共预算财政拨款安排的因公出国（境）费、公务用车购置及运行维护费、公务接待费。其中，因公出国（境）费反映</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公务出国（境）的国际旅费、国外城市间交通费、住宿费、伙食费、培训费、公杂费等支出；公务用车购置费反映</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公务用车购置支出（含车辆购置税）；公务用车运行维护费反映</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按规定保留的公务用车燃料费、维修费、过路过桥费、保险费、安全奖励费用等支出；公务接待费反映</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按规定开支的各类公务接待（含外宾接待）支出。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（十三）机关运行经费：</w:t>
      </w:r>
      <w:r>
        <w:rPr>
          <w:rFonts w:hint="default" w:ascii="TimesNewRoman" w:hAnsi="TimesNewRoman" w:eastAsia="方正仿宋_GBK" w:cs="TimesNewRoman"/>
          <w:sz w:val="32"/>
          <w:szCs w:val="32"/>
          <w:shd w:val="clear" w:color="auto" w:fill="FFFFFF"/>
        </w:rPr>
        <w:t>为保障行政</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（含参照公务员法管理的事业</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（十四）工资福利支出（支出经济分类科目类级）：</w:t>
      </w:r>
      <w:r>
        <w:rPr>
          <w:rFonts w:hint="default" w:ascii="TimesNewRoman" w:hAnsi="TimesNewRoman" w:eastAsia="方正仿宋_GBK" w:cs="TimesNewRoman"/>
          <w:sz w:val="32"/>
          <w:szCs w:val="32"/>
          <w:shd w:val="clear" w:color="auto" w:fill="FFFFFF"/>
        </w:rPr>
        <w:t>反映</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（十五）商品和服务支出（支出经济分类科目类级）</w:t>
      </w:r>
      <w:r>
        <w:rPr>
          <w:rFonts w:hint="default" w:ascii="TimesNewRoman" w:hAnsi="TimesNewRoman" w:eastAsia="楷体" w:cs="TimesNewRoman"/>
          <w:sz w:val="32"/>
          <w:szCs w:val="32"/>
          <w:shd w:val="clear" w:color="auto" w:fill="FFFFFF"/>
        </w:rPr>
        <w:t>：</w:t>
      </w:r>
      <w:r>
        <w:rPr>
          <w:rFonts w:hint="default" w:ascii="TimesNewRoman" w:hAnsi="TimesNewRoman" w:eastAsia="方正仿宋_GBK" w:cs="TimesNewRoman"/>
          <w:sz w:val="32"/>
          <w:szCs w:val="32"/>
          <w:shd w:val="clear" w:color="auto" w:fill="FFFFFF"/>
        </w:rPr>
        <w:t>反映</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（十六）对个人和家庭的补助（支出经济分类科目类级）：</w:t>
      </w:r>
      <w:r>
        <w:rPr>
          <w:rFonts w:hint="default" w:ascii="TimesNewRoman" w:hAnsi="TimesNewRoman" w:eastAsia="方正仿宋_GBK" w:cs="TimesNewRoman"/>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Style w:val="10"/>
          <w:rFonts w:hint="default" w:ascii="TimesNewRoman" w:hAnsi="TimesNewRoman" w:eastAsia="方正仿宋_GBK" w:cs="TimesNewRoman"/>
          <w:sz w:val="32"/>
          <w:szCs w:val="32"/>
          <w:shd w:val="clear" w:color="auto" w:fill="FFFFFF"/>
        </w:rPr>
        <w:t> </w:t>
      </w:r>
      <w:r>
        <w:rPr>
          <w:rFonts w:hint="default" w:ascii="TimesNewRoman" w:hAnsi="TimesNewRoman" w:eastAsia="方正楷体_GBK" w:cs="TimesNewRoman"/>
          <w:sz w:val="32"/>
          <w:szCs w:val="32"/>
          <w:lang w:val="en-US" w:eastAsia="zh-CN" w:bidi="ar-SA"/>
        </w:rPr>
        <w:t>（十七）其他资本性支出（支出经济分类科目类级）：</w:t>
      </w:r>
      <w:r>
        <w:rPr>
          <w:rFonts w:hint="default" w:ascii="TimesNewRoman" w:hAnsi="TimesNewRoman" w:eastAsia="方正仿宋_GBK" w:cs="TimesNewRoman"/>
          <w:sz w:val="32"/>
          <w:szCs w:val="32"/>
          <w:shd w:val="clear" w:color="auto" w:fill="FFFFFF"/>
        </w:rPr>
        <w:t>反映非各级发展与改革</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4" w:lineRule="exact"/>
        <w:jc w:val="left"/>
        <w:textAlignment w:val="auto"/>
        <w:rPr>
          <w:rStyle w:val="10"/>
          <w:rFonts w:hint="default" w:ascii="TimesNewRoman" w:hAnsi="TimesNewRoman" w:eastAsia="方正仿宋_GBK" w:cs="TimesNewRoman"/>
          <w:sz w:val="32"/>
          <w:szCs w:val="32"/>
          <w:shd w:val="clear" w:color="auto" w:fill="FFFFFF"/>
        </w:rPr>
      </w:pPr>
      <w:r>
        <w:rPr>
          <w:rStyle w:val="10"/>
          <w:rFonts w:hint="default" w:ascii="TimesNewRoman" w:hAnsi="TimesNewRoman" w:eastAsia="方正仿宋_GBK" w:cs="TimesNewRoman"/>
          <w:sz w:val="32"/>
          <w:szCs w:val="32"/>
          <w:shd w:val="clear" w:color="auto" w:fill="FFFFFF"/>
        </w:rPr>
        <w:t> </w:t>
      </w:r>
      <w:r>
        <w:rPr>
          <w:rStyle w:val="10"/>
          <w:rFonts w:hint="eastAsia" w:ascii="TimesNewRoman" w:hAnsi="TimesNewRoman" w:eastAsia="方正仿宋_GBK" w:cs="TimesNewRoman"/>
          <w:sz w:val="32"/>
          <w:szCs w:val="32"/>
          <w:shd w:val="clear" w:color="auto" w:fill="FFFFFF"/>
          <w:lang w:val="en-US" w:eastAsia="zh-CN"/>
        </w:rPr>
        <w:t xml:space="preserve">    </w:t>
      </w:r>
      <w:r>
        <w:rPr>
          <w:rStyle w:val="10"/>
          <w:rFonts w:hint="default" w:ascii="TimesNewRoman" w:hAnsi="TimesNewRoman" w:eastAsia="黑体" w:cs="TimesNewRoman"/>
          <w:sz w:val="32"/>
          <w:szCs w:val="32"/>
          <w:shd w:val="clear" w:color="auto" w:fill="FFFFFF"/>
        </w:rPr>
        <w:t>七、决算公开联系方式及信息反馈渠道</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4" w:lineRule="exact"/>
        <w:ind w:left="17" w:leftChars="7" w:firstLine="617" w:firstLineChars="193"/>
        <w:jc w:val="left"/>
        <w:textAlignment w:val="auto"/>
        <w:rPr>
          <w:rStyle w:val="10"/>
          <w:rFonts w:hint="default" w:ascii="TimesNewRoman" w:hAnsi="TimesNewRoman" w:eastAsia="方正仿宋_GBK" w:cs="TimesNewRoman"/>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NewRoman" w:hAnsi="TimesNewRoman" w:eastAsia="方正仿宋_GBK" w:cs="TimesNewRoman"/>
          <w:sz w:val="32"/>
          <w:szCs w:val="32"/>
          <w:shd w:val="clear" w:color="auto" w:fill="FFFFFF"/>
        </w:rPr>
        <w:t>本</w:t>
      </w:r>
      <w:r>
        <w:rPr>
          <w:rFonts w:hint="eastAsia" w:ascii="TimesNewRoman" w:hAnsi="TimesNewRoman" w:eastAsia="方正仿宋_GBK" w:cs="TimesNewRoman"/>
          <w:sz w:val="32"/>
          <w:szCs w:val="32"/>
          <w:shd w:val="clear" w:color="auto" w:fill="FFFFFF"/>
          <w:lang w:eastAsia="zh-CN"/>
        </w:rPr>
        <w:t>单位</w:t>
      </w:r>
      <w:r>
        <w:rPr>
          <w:rFonts w:hint="default" w:ascii="TimesNewRoman" w:hAnsi="TimesNewRoman" w:eastAsia="方正仿宋_GBK" w:cs="TimesNewRoman"/>
          <w:sz w:val="32"/>
          <w:szCs w:val="32"/>
          <w:shd w:val="clear" w:color="auto" w:fill="FFFFFF"/>
        </w:rPr>
        <w:t>决算公开信息反馈</w:t>
      </w:r>
      <w:r>
        <w:rPr>
          <w:rFonts w:hint="default" w:ascii="TimesNewRoman" w:hAnsi="TimesNewRoman" w:eastAsia="方正仿宋_GBK" w:cs="TimesNewRoman"/>
          <w:color w:val="auto"/>
          <w:sz w:val="32"/>
          <w:szCs w:val="32"/>
          <w:shd w:val="clear" w:color="auto" w:fill="FFFFFF"/>
        </w:rPr>
        <w:t>和联系方式：</w:t>
      </w:r>
      <w:r>
        <w:rPr>
          <w:rFonts w:hint="eastAsia" w:ascii="TimesNewRoman" w:hAnsi="TimesNewRoman" w:eastAsia="方正仿宋_GBK" w:cs="TimesNewRoman"/>
          <w:color w:val="auto"/>
          <w:sz w:val="32"/>
          <w:szCs w:val="32"/>
          <w:shd w:val="clear" w:color="auto" w:fill="FFFFFF"/>
          <w:lang w:eastAsia="zh-CN"/>
        </w:rPr>
        <w:t>皮老师</w:t>
      </w:r>
      <w:r>
        <w:rPr>
          <w:rFonts w:hint="default" w:ascii="TimesNewRoman" w:hAnsi="TimesNewRoman" w:eastAsia="方正仿宋_GBK" w:cs="TimesNewRoman"/>
          <w:color w:val="auto"/>
          <w:sz w:val="32"/>
          <w:szCs w:val="32"/>
          <w:shd w:val="clear" w:color="auto" w:fill="FFFFFF"/>
        </w:rPr>
        <w:t>023-74606206</w:t>
      </w:r>
    </w:p>
    <w:p>
      <w:pPr>
        <w:rPr>
          <w:rFonts w:hint="default" w:ascii="TimesNewRoman" w:hAnsi="TimesNewRoman" w:cs="TimesNew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NewRoman" w:hAnsi="TimesNewRoman" w:cs="TimesNew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22"/>
                <w:szCs w:val="22"/>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sz w:val="20"/>
                <w:szCs w:val="20"/>
              </w:rPr>
              <w:t>：</w:t>
            </w:r>
            <w:r>
              <w:rPr>
                <w:rFonts w:hint="default" w:ascii="TimesNewRoman" w:hAnsi="TimesNewRoman" w:cs="TimesNewRoman"/>
                <w:sz w:val="20"/>
              </w:rPr>
              <w:t>垫江县归侨侨眷联合会</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74.93</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七、附属</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9.58</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3.68</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5.11</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NewRoman" w:hAnsi="TimesNewRoman" w:cs="TimesNew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lang w:val="en-US" w:eastAsia="zh-CN"/>
              </w:rPr>
              <w:t>0.00</w:t>
            </w: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r>
    </w:tbl>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eastAsia" w:ascii="TimesNewRoman" w:hAnsi="TimesNewRoman" w:cs="TimesNewRoman"/>
          <w:sz w:val="20"/>
          <w:szCs w:val="20"/>
          <w:lang w:eastAsia="zh-CN"/>
        </w:rPr>
        <w:t>单位</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sz w:val="20"/>
                <w:szCs w:val="20"/>
              </w:rPr>
              <w:t>：</w:t>
            </w:r>
            <w:r>
              <w:rPr>
                <w:rFonts w:hint="default" w:ascii="TimesNewRoman" w:hAnsi="TimesNewRoman" w:cs="TimesNewRoman"/>
                <w:sz w:val="20"/>
              </w:rPr>
              <w:t>垫江县归侨侨眷联合会</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附属</w:t>
            </w:r>
            <w:r>
              <w:rPr>
                <w:rFonts w:hint="eastAsia" w:ascii="TimesNewRoman" w:hAnsi="TimesNewRoman" w:cs="TimesNewRoman"/>
                <w:b/>
                <w:color w:val="000000"/>
                <w:sz w:val="20"/>
                <w:szCs w:val="20"/>
                <w:lang w:eastAsia="zh-CN"/>
              </w:rPr>
              <w:t>单位</w:t>
            </w:r>
            <w:r>
              <w:rPr>
                <w:rFonts w:hint="default" w:ascii="TimesNewRoman" w:hAnsi="TimesNewRoman" w:cs="TimesNewRoman"/>
                <w:b/>
                <w:color w:val="000000"/>
                <w:sz w:val="20"/>
                <w:szCs w:val="20"/>
              </w:rPr>
              <w:t>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93.51</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93.51</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统战事务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59.14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59.14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15.80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15.80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eastAsia" w:ascii="TimesNewRoman" w:hAnsi="TimesNewRoman" w:cs="TimesNewRoman"/>
                <w:b/>
                <w:color w:val="000000"/>
                <w:sz w:val="20"/>
                <w:szCs w:val="20"/>
                <w:lang w:eastAsia="zh-CN"/>
              </w:rPr>
              <w:t>单位</w:t>
            </w:r>
            <w:r>
              <w:rPr>
                <w:rFonts w:hint="default" w:ascii="TimesNewRoman" w:hAnsi="TimesNewRoman" w:cs="TimesNewRoman"/>
                <w:b/>
                <w:color w:val="000000"/>
                <w:sz w:val="20"/>
                <w:szCs w:val="20"/>
              </w:rPr>
              <w:t>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3.19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3.19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eastAsia" w:ascii="TimesNewRoman" w:hAnsi="TimesNewRoman" w:cs="TimesNewRoman"/>
                <w:b/>
                <w:color w:val="000000"/>
                <w:sz w:val="20"/>
                <w:szCs w:val="20"/>
                <w:lang w:eastAsia="zh-CN"/>
              </w:rPr>
              <w:t>单位</w:t>
            </w:r>
            <w:r>
              <w:rPr>
                <w:rFonts w:hint="default" w:ascii="TimesNewRoman" w:hAnsi="TimesNewRoman" w:cs="TimesNewRoman"/>
                <w:b/>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90"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bl>
    <w:p>
      <w:pPr>
        <w:ind w:left="600" w:hanging="600" w:hangingChars="300"/>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本年度取得的各项收入情况。</w:t>
      </w:r>
      <w:r>
        <w:rPr>
          <w:rFonts w:hint="default" w:ascii="TimesNewRoman" w:hAnsi="TimesNewRoman" w:cs="TimesNewRoman"/>
          <w:sz w:val="20"/>
          <w:szCs w:val="20"/>
        </w:rPr>
        <w:br w:type="textWrapping"/>
      </w:r>
      <w:r>
        <w:rPr>
          <w:rFonts w:hint="default" w:ascii="TimesNewRoman" w:hAnsi="TimesNewRoman" w:cs="TimesNewRoman"/>
          <w:sz w:val="20"/>
          <w:szCs w:val="20"/>
        </w:rPr>
        <w:t>2.本套报表金额</w:t>
      </w:r>
      <w:r>
        <w:rPr>
          <w:rFonts w:hint="eastAsia" w:ascii="TimesNewRoman" w:hAnsi="TimesNewRoman" w:cs="TimesNewRoman"/>
          <w:sz w:val="20"/>
          <w:szCs w:val="20"/>
          <w:lang w:eastAsia="zh-CN"/>
        </w:rPr>
        <w:t>单位</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0"/>
          <w:szCs w:val="20"/>
        </w:rPr>
      </w:pPr>
      <w:r>
        <w:rPr>
          <w:rFonts w:hint="default" w:ascii="TimesNewRoman" w:hAnsi="TimesNewRoman" w:cs="TimesNew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 xml:space="preserve">垫江县归侨侨眷联合会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对附属</w:t>
            </w:r>
            <w:r>
              <w:rPr>
                <w:rFonts w:hint="eastAsia" w:ascii="TimesNewRoman" w:hAnsi="TimesNewRoman" w:cs="TimesNewRoman"/>
                <w:b/>
                <w:color w:val="000000"/>
                <w:sz w:val="20"/>
                <w:szCs w:val="20"/>
                <w:lang w:eastAsia="zh-CN"/>
              </w:rPr>
              <w:t>单位</w:t>
            </w:r>
            <w:r>
              <w:rPr>
                <w:rFonts w:hint="default" w:ascii="TimesNewRoman" w:hAnsi="TimesNewRoman" w:cs="TimesNewRoman"/>
                <w:b/>
                <w:color w:val="000000"/>
                <w:sz w:val="20"/>
                <w:szCs w:val="20"/>
              </w:rPr>
              <w:t>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93.51</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77.71</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59.14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15.80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统战事务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59.14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15.80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59.14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59.14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15.80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15.80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eastAsia" w:ascii="TimesNewRoman" w:hAnsi="TimesNewRoman" w:cs="TimesNewRoman"/>
                <w:b/>
                <w:color w:val="000000"/>
                <w:sz w:val="20"/>
                <w:szCs w:val="20"/>
                <w:lang w:eastAsia="zh-CN"/>
              </w:rPr>
              <w:t>单位</w:t>
            </w:r>
            <w:r>
              <w:rPr>
                <w:rFonts w:hint="default" w:ascii="TimesNewRoman" w:hAnsi="TimesNewRoman" w:cs="TimesNewRoman"/>
                <w:b/>
                <w:color w:val="000000"/>
                <w:sz w:val="20"/>
                <w:szCs w:val="20"/>
              </w:rPr>
              <w:t>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6.39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6.39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eastAsia" w:ascii="TimesNewRoman" w:hAnsi="TimesNewRoman" w:cs="TimesNewRoman"/>
                <w:b/>
                <w:color w:val="000000"/>
                <w:sz w:val="20"/>
                <w:szCs w:val="20"/>
                <w:lang w:eastAsia="zh-CN"/>
              </w:rPr>
              <w:t>单位</w:t>
            </w:r>
            <w:r>
              <w:rPr>
                <w:rFonts w:hint="default" w:ascii="TimesNewRoman" w:hAnsi="TimesNewRoman" w:cs="TimesNewRoman"/>
                <w:b/>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bl>
    <w:p>
      <w:pPr>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本年度各项支出情况。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eastAsia" w:ascii="TimesNewRoman" w:hAnsi="TimesNewRoman" w:cs="TimesNewRoman"/>
          <w:sz w:val="20"/>
          <w:szCs w:val="20"/>
          <w:lang w:eastAsia="zh-CN"/>
        </w:rPr>
        <w:t>单位</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p>
      <w:pPr>
        <w:rPr>
          <w:rFonts w:hint="default" w:ascii="TimesNewRoman" w:hAnsi="TimesNewRoman" w:cs="TimesNew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eastAsia="宋体" w:cs="TimesNewRoman"/>
                <w:color w:val="000000"/>
                <w:sz w:val="18"/>
                <w:szCs w:val="18"/>
                <w:lang w:eastAsia="zh-CN"/>
              </w:rPr>
            </w:pPr>
            <w:r>
              <w:rPr>
                <w:rFonts w:hint="default" w:ascii="TimesNewRoman" w:hAnsi="TimesNewRoman" w:cs="TimesNewRoman"/>
                <w:color w:val="000000"/>
                <w:sz w:val="18"/>
                <w:szCs w:val="18"/>
                <w:lang w:val="en-US" w:eastAsia="zh-CN"/>
              </w:rPr>
              <w:t>93.51</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74.93</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74.93</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0.20</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0.20</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195"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center"/>
              <w:textAlignment w:val="center"/>
              <w:rPr>
                <w:rFonts w:hint="default" w:ascii="TimesNewRoman" w:hAnsi="TimesNewRoman" w:eastAsia="宋体" w:cs="TimesNewRoman"/>
                <w:color w:val="000000"/>
                <w:sz w:val="18"/>
                <w:szCs w:val="18"/>
                <w:lang w:eastAsia="zh-CN"/>
              </w:rPr>
            </w:pPr>
            <w:r>
              <w:rPr>
                <w:rFonts w:hint="default" w:ascii="TimesNewRoman" w:hAnsi="TimesNewRoman" w:cs="TimesNewRoman"/>
                <w:color w:val="000000"/>
                <w:sz w:val="18"/>
                <w:szCs w:val="18"/>
                <w:lang w:val="en-US" w:eastAsia="zh-CN"/>
              </w:rPr>
              <w:t xml:space="preserve">            9.58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9.58</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3.68</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3.68</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184"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154"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5.11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5.11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0.00</w:t>
            </w: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0.00</w:t>
            </w: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bl>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本年度一般公共预算财政拨款、政府性基金预算财政拨款及国有资本经营预算财政拨款的总收支和年末结转结余情况。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eastAsia" w:ascii="TimesNewRoman" w:hAnsi="TimesNewRoman" w:cs="TimesNewRoman"/>
          <w:sz w:val="20"/>
          <w:szCs w:val="20"/>
          <w:lang w:eastAsia="zh-CN"/>
        </w:rPr>
        <w:t>单位</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93.51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77.71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74.93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59.14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统战事务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74.93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59.14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59.14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59.14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eastAsia" w:ascii="TimesNewRoman" w:hAnsi="TimesNewRoman" w:cs="TimesNewRoman"/>
                <w:b/>
                <w:color w:val="000000"/>
                <w:sz w:val="20"/>
                <w:szCs w:val="20"/>
                <w:lang w:eastAsia="zh-CN"/>
              </w:rPr>
              <w:t>单位</w:t>
            </w:r>
            <w:r>
              <w:rPr>
                <w:rFonts w:hint="default" w:ascii="TimesNewRoman" w:hAnsi="TimesNewRoman" w:cs="TimesNewRoman"/>
                <w:b/>
                <w:color w:val="000000"/>
                <w:sz w:val="20"/>
                <w:szCs w:val="20"/>
              </w:rPr>
              <w:t>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6.39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6.39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3.19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3.19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eastAsia" w:ascii="TimesNewRoman" w:hAnsi="TimesNewRoman" w:cs="TimesNewRoman"/>
                <w:b/>
                <w:color w:val="000000"/>
                <w:sz w:val="20"/>
                <w:szCs w:val="20"/>
                <w:lang w:eastAsia="zh-CN"/>
              </w:rPr>
              <w:t>单位</w:t>
            </w:r>
            <w:r>
              <w:rPr>
                <w:rFonts w:hint="default" w:ascii="TimesNewRoman" w:hAnsi="TimesNewRoman" w:cs="TimesNewRoman"/>
                <w:b/>
                <w:color w:val="000000"/>
                <w:sz w:val="20"/>
                <w:szCs w:val="20"/>
              </w:rPr>
              <w:t>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w:t>
            </w: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bl>
    <w:p>
      <w:pPr>
        <w:rPr>
          <w:rFonts w:hint="default" w:ascii="TimesNewRoman" w:hAnsi="TimesNewRoman" w:cs="TimesNewRoman"/>
          <w:sz w:val="21"/>
          <w:szCs w:val="21"/>
        </w:rPr>
      </w:pPr>
      <w:r>
        <w:rPr>
          <w:rFonts w:hint="default" w:ascii="TimesNewRoman" w:hAnsi="TimesNewRoman" w:cs="TimesNewRoman"/>
          <w:sz w:val="20"/>
          <w:szCs w:val="20"/>
        </w:rPr>
        <w:t>备注：1.本表反映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本年度一般公共预算财政拨款支出情况。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eastAsia" w:ascii="TimesNewRoman" w:hAnsi="TimesNewRoman" w:cs="TimesNewRoman"/>
          <w:sz w:val="20"/>
          <w:szCs w:val="20"/>
          <w:lang w:eastAsia="zh-CN"/>
        </w:rPr>
        <w:t>单位</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ind w:firstLine="630" w:firstLineChars="300"/>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62.67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14.14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eastAsia="宋体" w:cs="TimesNewRoman"/>
                <w:color w:val="000000"/>
                <w:sz w:val="18"/>
                <w:szCs w:val="18"/>
                <w:lang w:eastAsia="zh-CN"/>
              </w:rPr>
            </w:pPr>
            <w:r>
              <w:rPr>
                <w:rFonts w:hint="default" w:ascii="TimesNewRoman" w:hAnsi="TimesNewRoman" w:cs="TimesNewRoman"/>
                <w:color w:val="000000"/>
                <w:sz w:val="18"/>
                <w:szCs w:val="18"/>
                <w:lang w:val="en-US" w:eastAsia="zh-CN"/>
              </w:rPr>
              <w:t>0.90</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13.79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0.30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9.78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eastAsia="宋体" w:cs="TimesNewRoman"/>
                <w:color w:val="000000"/>
                <w:sz w:val="18"/>
                <w:szCs w:val="18"/>
                <w:lang w:eastAsia="zh-CN"/>
              </w:rPr>
            </w:pPr>
            <w:r>
              <w:rPr>
                <w:rFonts w:hint="default" w:ascii="TimesNewRoman" w:hAnsi="TimesNewRoman" w:cs="TimesNewRoman"/>
                <w:color w:val="000000"/>
                <w:sz w:val="18"/>
                <w:szCs w:val="18"/>
                <w:lang w:val="en-US" w:eastAsia="zh-CN"/>
              </w:rPr>
              <w:t>0.90</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19.44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机关事业</w:t>
            </w:r>
            <w:r>
              <w:rPr>
                <w:rFonts w:hint="eastAsia" w:ascii="TimesNewRoman" w:hAnsi="TimesNewRoman" w:cs="TimesNewRoman"/>
                <w:color w:val="000000"/>
                <w:sz w:val="18"/>
                <w:szCs w:val="18"/>
                <w:lang w:eastAsia="zh-CN"/>
              </w:rPr>
              <w:t>单位</w:t>
            </w:r>
            <w:r>
              <w:rPr>
                <w:rFonts w:hint="default" w:ascii="TimesNewRoman" w:hAnsi="TimesNewRoman" w:cs="TimesNewRoman"/>
                <w:color w:val="000000"/>
                <w:sz w:val="18"/>
                <w:szCs w:val="18"/>
              </w:rPr>
              <w:t>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6.39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3.19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0.89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3.68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0.00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0.11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0.90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5.11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0.68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0.50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0.40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2.83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2.45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4.73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0.19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195"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62.67</w:t>
            </w:r>
            <w:r>
              <w:rPr>
                <w:rFonts w:hint="default" w:ascii="TimesNewRoman" w:hAnsi="TimesNewRoman" w:cs="TimesNew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15.04</w:t>
            </w:r>
            <w:r>
              <w:rPr>
                <w:rFonts w:hint="default" w:ascii="TimesNewRoman" w:hAnsi="TimesNewRoman" w:cs="TimesNewRoman"/>
                <w:color w:val="000000"/>
                <w:sz w:val="18"/>
              </w:rPr>
              <w:t xml:space="preserve"> </w:t>
            </w:r>
          </w:p>
        </w:tc>
      </w:tr>
    </w:tbl>
    <w:p>
      <w:pPr>
        <w:spacing w:line="280" w:lineRule="exact"/>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本年度一般公共预算财政拨款基本支出明细情况。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eastAsia" w:ascii="TimesNewRoman" w:hAnsi="TimesNewRoman" w:cs="TimesNewRoman"/>
          <w:sz w:val="20"/>
          <w:szCs w:val="20"/>
          <w:lang w:eastAsia="zh-CN"/>
        </w:rPr>
        <w:t>单位</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本年度政府性基金预算财政拨款收入支出及结转和结余情况。本</w:t>
      </w:r>
      <w:r>
        <w:rPr>
          <w:rFonts w:hint="eastAsia" w:ascii="TimesNewRoman" w:hAnsi="TimesNewRoman" w:cs="TimesNewRoman"/>
          <w:sz w:val="20"/>
          <w:szCs w:val="20"/>
          <w:lang w:eastAsia="zh-CN"/>
        </w:rPr>
        <w:t>单位</w:t>
      </w:r>
      <w:r>
        <w:rPr>
          <w:rFonts w:hint="default" w:ascii="TimesNewRoman" w:hAnsi="TimesNewRoman" w:cs="TimesNewRoman"/>
          <w:sz w:val="20"/>
          <w:szCs w:val="20"/>
        </w:rPr>
        <w:t>无政府性基金收支，故本表无数据。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本年度国有资本经营预算财政拨款支出情况。本</w:t>
      </w:r>
      <w:r>
        <w:rPr>
          <w:rFonts w:hint="eastAsia" w:ascii="TimesNewRoman" w:hAnsi="TimesNewRoman" w:cs="TimesNewRoman"/>
          <w:sz w:val="20"/>
          <w:szCs w:val="20"/>
          <w:lang w:eastAsia="zh-CN"/>
        </w:rPr>
        <w:t>单位</w:t>
      </w:r>
      <w:r>
        <w:rPr>
          <w:rFonts w:hint="default" w:ascii="TimesNewRoman" w:hAnsi="TimesNewRoman" w:cs="TimesNewRoman"/>
          <w:sz w:val="20"/>
          <w:szCs w:val="20"/>
        </w:rPr>
        <w:t>无国有资本经营收支，故本表无数据。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NewRoman" w:hAnsi="TimesNewRoman" w:cs="TimesNew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NewRoman" w:hAnsi="TimesNewRoman" w:cs="TimesNew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NewRoman" w:hAnsi="TimesNewRoman" w:cs="TimesNew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NewRoman" w:hAnsi="TimesNewRoman" w:cs="TimesNew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eastAsia" w:ascii="TimesNewRoman" w:hAnsi="TimesNewRoman" w:cs="TimesNewRoman"/>
                <w:sz w:val="20"/>
                <w:szCs w:val="20"/>
                <w:lang w:eastAsia="zh-CN"/>
              </w:rPr>
              <w:t>单位</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NewRoman" w:hAnsi="TimesNewRoman" w:cs="TimesNew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NewRoman" w:hAnsi="TimesNewRoman" w:cs="TimesNew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eastAsia" w:ascii="TimesNewRoman" w:hAnsi="TimesNewRoman" w:cs="TimesNewRoman"/>
                <w:color w:val="000000"/>
                <w:sz w:val="20"/>
                <w:szCs w:val="20"/>
                <w:lang w:eastAsia="zh-CN"/>
              </w:rPr>
              <w:t>单位</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一、</w:t>
            </w:r>
            <w:r>
              <w:rPr>
                <w:rFonts w:hint="eastAsia" w:ascii="TimesNewRoman" w:hAnsi="TimesNewRoman" w:cs="TimesNewRoman"/>
                <w:color w:val="000000"/>
                <w:sz w:val="16"/>
                <w:szCs w:val="16"/>
                <w:lang w:eastAsia="zh-CN"/>
              </w:rPr>
              <w:t>三公</w:t>
            </w:r>
            <w:r>
              <w:rPr>
                <w:rFonts w:hint="default" w:ascii="TimesNewRoman" w:hAnsi="TimesNewRoman" w:cs="TimesNewRoman"/>
                <w:color w:val="000000"/>
                <w:sz w:val="16"/>
                <w:szCs w:val="16"/>
              </w:rPr>
              <w:t>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15.04</w:t>
            </w: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eastAsia="宋体" w:cs="TimesNewRoman"/>
                <w:color w:val="000000"/>
                <w:sz w:val="16"/>
                <w:szCs w:val="16"/>
                <w:lang w:eastAsia="zh-CN"/>
              </w:rPr>
            </w:pPr>
            <w:r>
              <w:rPr>
                <w:rFonts w:hint="default" w:ascii="TimesNewRoman" w:hAnsi="TimesNewRoman" w:cs="TimesNewRoman"/>
                <w:color w:val="000000"/>
                <w:sz w:val="16"/>
                <w:szCs w:val="16"/>
                <w:lang w:val="en-US" w:eastAsia="zh-CN"/>
              </w:rPr>
              <w:t>0.63</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eastAsia="宋体" w:cs="TimesNewRoman"/>
                <w:color w:val="000000"/>
                <w:sz w:val="16"/>
                <w:szCs w:val="16"/>
                <w:lang w:eastAsia="zh-CN"/>
              </w:rPr>
            </w:pPr>
            <w:r>
              <w:rPr>
                <w:rFonts w:hint="default" w:ascii="TimesNewRoman" w:hAnsi="TimesNewRoman" w:cs="TimesNewRoman"/>
                <w:color w:val="000000"/>
                <w:sz w:val="16"/>
                <w:szCs w:val="16"/>
                <w:lang w:val="en-US" w:eastAsia="zh-CN"/>
              </w:rPr>
              <w:t>0.63</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（一）行政</w:t>
            </w:r>
            <w:r>
              <w:rPr>
                <w:rFonts w:hint="eastAsia" w:ascii="TimesNewRoman" w:hAnsi="TimesNewRoman" w:cs="TimesNewRoman"/>
                <w:color w:val="000000"/>
                <w:sz w:val="16"/>
                <w:szCs w:val="16"/>
                <w:lang w:eastAsia="zh-CN"/>
              </w:rPr>
              <w:t>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15.04</w:t>
            </w: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（二）参照公务员法管理事业</w:t>
            </w:r>
            <w:r>
              <w:rPr>
                <w:rFonts w:hint="eastAsia" w:ascii="TimesNewRoman" w:hAnsi="TimesNewRoman" w:cs="TimesNewRoman"/>
                <w:color w:val="000000"/>
                <w:sz w:val="16"/>
                <w:szCs w:val="16"/>
                <w:lang w:eastAsia="zh-CN"/>
              </w:rPr>
              <w:t>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0.63</w:t>
            </w: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0.63</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0.63</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314"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rPr>
              <w:t>8</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65</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lang w:val="en-US" w:eastAsia="zh-CN"/>
              </w:rPr>
              <w:t>0.16</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NewRoman" w:hAnsi="TimesNewRoman" w:cs="TimesNew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0.97</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NewRoman" w:hAnsi="TimesNewRoman" w:cs="TimesNew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eastAsia="宋体" w:cs="TimesNewRoman"/>
                <w:color w:val="000000"/>
                <w:sz w:val="16"/>
                <w:szCs w:val="16"/>
                <w:lang w:val="en-US" w:eastAsia="zh-CN"/>
              </w:rPr>
            </w:pPr>
            <w:r>
              <w:rPr>
                <w:rFonts w:hint="default" w:ascii="TimesNewRoman" w:hAnsi="TimesNewRoman" w:cs="TimesNewRoman"/>
                <w:color w:val="000000"/>
                <w:sz w:val="16"/>
                <w:szCs w:val="16"/>
                <w:lang w:val="en-US" w:eastAsia="zh-CN"/>
              </w:rPr>
              <w:t>四、差旅费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eastAsia="宋体" w:cs="TimesNewRoman"/>
                <w:color w:val="000000"/>
                <w:sz w:val="16"/>
                <w:szCs w:val="16"/>
                <w:lang w:val="en-US" w:eastAsia="zh-CN"/>
              </w:rPr>
            </w:pPr>
            <w:r>
              <w:rPr>
                <w:rFonts w:hint="default" w:ascii="TimesNewRoman" w:hAnsi="TimesNewRoman" w:cs="TimesNewRoman"/>
                <w:color w:val="000000"/>
                <w:sz w:val="16"/>
                <w:szCs w:val="16"/>
                <w:lang w:val="en-US" w:eastAsia="zh-CN"/>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lang w:val="en-US" w:eastAsia="zh-CN"/>
              </w:rPr>
            </w:pPr>
            <w:r>
              <w:rPr>
                <w:rFonts w:hint="default" w:ascii="TimesNewRoman" w:hAnsi="TimesNewRoman" w:cs="TimesNewRoman"/>
                <w:color w:val="000000"/>
                <w:sz w:val="16"/>
                <w:szCs w:val="16"/>
                <w:lang w:val="en-US" w:eastAsia="zh-CN"/>
              </w:rPr>
              <w:t>2.75</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NewRoman" w:hAnsi="TimesNewRoman" w:cs="TimesNewRoman"/>
                <w:color w:val="000000"/>
                <w:sz w:val="16"/>
                <w:szCs w:val="16"/>
              </w:rPr>
            </w:pPr>
          </w:p>
        </w:tc>
      </w:tr>
    </w:tbl>
    <w:p>
      <w:pPr>
        <w:rPr>
          <w:rFonts w:hint="default" w:ascii="TimesNewRoman" w:hAnsi="TimesNewRoman" w:cs="TimesNewRoman"/>
          <w:sz w:val="21"/>
          <w:szCs w:val="21"/>
        </w:rPr>
      </w:pPr>
      <w:r>
        <w:rPr>
          <w:rFonts w:hint="default" w:ascii="TimesNewRoman" w:hAnsi="TimesNewRoman" w:cs="TimesNewRoman"/>
          <w:sz w:val="20"/>
          <w:szCs w:val="20"/>
        </w:rPr>
        <w:t>备注：1.本表反映</w:t>
      </w:r>
      <w:r>
        <w:rPr>
          <w:rFonts w:hint="eastAsia" w:ascii="TimesNewRoman" w:hAnsi="TimesNewRoman" w:cs="TimesNewRoman"/>
          <w:sz w:val="20"/>
          <w:szCs w:val="20"/>
          <w:lang w:eastAsia="zh-CN"/>
        </w:rPr>
        <w:t>单位</w:t>
      </w:r>
      <w:r>
        <w:rPr>
          <w:rFonts w:hint="default" w:ascii="TimesNewRoman" w:hAnsi="TimesNewRoman" w:cs="TimesNewRoman"/>
          <w:sz w:val="20"/>
          <w:szCs w:val="20"/>
        </w:rPr>
        <w:t>本年度财政拨款</w:t>
      </w:r>
      <w:r>
        <w:rPr>
          <w:rFonts w:hint="eastAsia" w:ascii="TimesNewRoman" w:hAnsi="TimesNewRoman" w:cs="TimesNewRoman"/>
          <w:sz w:val="20"/>
          <w:szCs w:val="20"/>
          <w:lang w:eastAsia="zh-CN"/>
        </w:rPr>
        <w:t>三公</w:t>
      </w:r>
      <w:r>
        <w:rPr>
          <w:rFonts w:hint="default" w:ascii="TimesNewRoman" w:hAnsi="TimesNewRoman" w:cs="TimesNewRoman"/>
          <w:sz w:val="20"/>
          <w:szCs w:val="20"/>
        </w:rPr>
        <w:t>经费支出预决算情况。其中，预算数为</w:t>
      </w:r>
      <w:r>
        <w:rPr>
          <w:rFonts w:hint="eastAsia" w:ascii="TimesNewRoman" w:hAnsi="TimesNewRoman" w:cs="TimesNewRoman"/>
          <w:sz w:val="20"/>
          <w:szCs w:val="20"/>
          <w:lang w:eastAsia="zh-CN"/>
        </w:rPr>
        <w:t>三公</w:t>
      </w:r>
      <w:r>
        <w:rPr>
          <w:rFonts w:hint="default" w:ascii="TimesNewRoman" w:hAnsi="TimesNewRoman" w:cs="TimesNewRoman"/>
          <w:sz w:val="20"/>
          <w:szCs w:val="20"/>
        </w:rPr>
        <w:t>经费全年预算数，反映按规定程序调整后的预算数；决算数为包括本年度财政拨款和以前年度结转资金安排的实际支出。</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eastAsia" w:ascii="TimesNewRoman" w:hAnsi="TimesNewRoman" w:cs="TimesNewRoman"/>
          <w:sz w:val="20"/>
          <w:szCs w:val="20"/>
          <w:lang w:eastAsia="zh-CN"/>
        </w:rPr>
        <w:t>单位</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implified Arabic"/>
    <w:panose1 w:val="02020603050405020304"/>
    <w:charset w:val="00"/>
    <w:family w:val="auto"/>
    <w:pitch w:val="default"/>
    <w:sig w:usb0="00000000" w:usb1="00000000" w:usb2="00000029" w:usb3="00000000" w:csb0="600001FF" w:csb1="FFFF0000"/>
  </w:font>
  <w:font w:name="Simplified Arabic">
    <w:panose1 w:val="02020603050405020304"/>
    <w:charset w:val="00"/>
    <w:family w:val="auto"/>
    <w:pitch w:val="default"/>
    <w:sig w:usb0="00002003" w:usb1="00000000" w:usb2="00000000" w:usb3="00000000" w:csb0="00000041" w:csb1="200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- 12 -</w:t>
                          </w:r>
                          <w:r>
                            <w:rPr>
                              <w:rFonts w:hint="defaul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- 12 -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1D3BB7"/>
    <w:rsid w:val="002B254B"/>
    <w:rsid w:val="003F54BE"/>
    <w:rsid w:val="00466C9B"/>
    <w:rsid w:val="0049490E"/>
    <w:rsid w:val="00550ABE"/>
    <w:rsid w:val="00586AC8"/>
    <w:rsid w:val="00770383"/>
    <w:rsid w:val="007819D4"/>
    <w:rsid w:val="007B16D0"/>
    <w:rsid w:val="007B419D"/>
    <w:rsid w:val="007B7C4B"/>
    <w:rsid w:val="007D3D39"/>
    <w:rsid w:val="008E49B3"/>
    <w:rsid w:val="00994AF7"/>
    <w:rsid w:val="009B67B8"/>
    <w:rsid w:val="009D2B67"/>
    <w:rsid w:val="009E6177"/>
    <w:rsid w:val="00A566F9"/>
    <w:rsid w:val="00AF2751"/>
    <w:rsid w:val="00B03CCD"/>
    <w:rsid w:val="00BE2B89"/>
    <w:rsid w:val="00C015CD"/>
    <w:rsid w:val="00C10E9E"/>
    <w:rsid w:val="00C20C3E"/>
    <w:rsid w:val="00E6044A"/>
    <w:rsid w:val="00EA1827"/>
    <w:rsid w:val="00F73F90"/>
    <w:rsid w:val="01474EBF"/>
    <w:rsid w:val="01F3521E"/>
    <w:rsid w:val="03B87EA0"/>
    <w:rsid w:val="03E3214F"/>
    <w:rsid w:val="044C50BA"/>
    <w:rsid w:val="046B31F4"/>
    <w:rsid w:val="05BC6D49"/>
    <w:rsid w:val="06194FF1"/>
    <w:rsid w:val="06A2550B"/>
    <w:rsid w:val="06B757AD"/>
    <w:rsid w:val="06F80EE2"/>
    <w:rsid w:val="07001CCA"/>
    <w:rsid w:val="075678DB"/>
    <w:rsid w:val="079D7CC7"/>
    <w:rsid w:val="08051BCA"/>
    <w:rsid w:val="086C12F4"/>
    <w:rsid w:val="08705944"/>
    <w:rsid w:val="08B2778D"/>
    <w:rsid w:val="08BA052C"/>
    <w:rsid w:val="08DB07BA"/>
    <w:rsid w:val="0969353F"/>
    <w:rsid w:val="098305D0"/>
    <w:rsid w:val="09ED3BAE"/>
    <w:rsid w:val="0A3317EA"/>
    <w:rsid w:val="0A5C4B69"/>
    <w:rsid w:val="0A86124A"/>
    <w:rsid w:val="0AB54CC0"/>
    <w:rsid w:val="0B9335CE"/>
    <w:rsid w:val="0BF2311A"/>
    <w:rsid w:val="0C7927C4"/>
    <w:rsid w:val="0C9B098C"/>
    <w:rsid w:val="0D673E11"/>
    <w:rsid w:val="0DDA54E4"/>
    <w:rsid w:val="0E3A5F83"/>
    <w:rsid w:val="0F836721"/>
    <w:rsid w:val="0FA21608"/>
    <w:rsid w:val="0FA25D96"/>
    <w:rsid w:val="0FAD2C4F"/>
    <w:rsid w:val="107B59E5"/>
    <w:rsid w:val="10EC0126"/>
    <w:rsid w:val="10F70B9A"/>
    <w:rsid w:val="111445C7"/>
    <w:rsid w:val="114278C6"/>
    <w:rsid w:val="1158083A"/>
    <w:rsid w:val="11643A4B"/>
    <w:rsid w:val="11CA2FBE"/>
    <w:rsid w:val="11ED0F98"/>
    <w:rsid w:val="11F03528"/>
    <w:rsid w:val="12C921C4"/>
    <w:rsid w:val="13871C70"/>
    <w:rsid w:val="13A71CB4"/>
    <w:rsid w:val="13AF1D43"/>
    <w:rsid w:val="13CE1647"/>
    <w:rsid w:val="13FD55AB"/>
    <w:rsid w:val="14200702"/>
    <w:rsid w:val="14F971D2"/>
    <w:rsid w:val="15453958"/>
    <w:rsid w:val="156E362B"/>
    <w:rsid w:val="163A6CEE"/>
    <w:rsid w:val="16B32B21"/>
    <w:rsid w:val="173708E3"/>
    <w:rsid w:val="17C374FC"/>
    <w:rsid w:val="18120A83"/>
    <w:rsid w:val="182E4AB6"/>
    <w:rsid w:val="189079DC"/>
    <w:rsid w:val="189B0D0B"/>
    <w:rsid w:val="18B43F7C"/>
    <w:rsid w:val="18D55D8C"/>
    <w:rsid w:val="194A1770"/>
    <w:rsid w:val="19B537C4"/>
    <w:rsid w:val="19B906A4"/>
    <w:rsid w:val="1B6F15B6"/>
    <w:rsid w:val="1BAA2EDC"/>
    <w:rsid w:val="1CA55E64"/>
    <w:rsid w:val="1D014A01"/>
    <w:rsid w:val="1D022362"/>
    <w:rsid w:val="1D1B04B0"/>
    <w:rsid w:val="1DA52501"/>
    <w:rsid w:val="1DBD6767"/>
    <w:rsid w:val="1DC52125"/>
    <w:rsid w:val="1DD26311"/>
    <w:rsid w:val="1E374ACB"/>
    <w:rsid w:val="1ECF0A66"/>
    <w:rsid w:val="1ED664D7"/>
    <w:rsid w:val="1EF67CA4"/>
    <w:rsid w:val="1F020D3A"/>
    <w:rsid w:val="1F2C5189"/>
    <w:rsid w:val="1F4B0B02"/>
    <w:rsid w:val="1FBB35CD"/>
    <w:rsid w:val="1FCD26AF"/>
    <w:rsid w:val="20642787"/>
    <w:rsid w:val="20D82C60"/>
    <w:rsid w:val="21556F04"/>
    <w:rsid w:val="22403BD3"/>
    <w:rsid w:val="22C90567"/>
    <w:rsid w:val="24B92327"/>
    <w:rsid w:val="24C14514"/>
    <w:rsid w:val="2533755C"/>
    <w:rsid w:val="256E3002"/>
    <w:rsid w:val="25791755"/>
    <w:rsid w:val="26396DF4"/>
    <w:rsid w:val="26D531ED"/>
    <w:rsid w:val="27167136"/>
    <w:rsid w:val="271B442C"/>
    <w:rsid w:val="27B23302"/>
    <w:rsid w:val="28A228D1"/>
    <w:rsid w:val="29310A5F"/>
    <w:rsid w:val="29BF3E30"/>
    <w:rsid w:val="29C37A35"/>
    <w:rsid w:val="2A076083"/>
    <w:rsid w:val="2A73162E"/>
    <w:rsid w:val="2AFA50B9"/>
    <w:rsid w:val="2B167953"/>
    <w:rsid w:val="2B200583"/>
    <w:rsid w:val="2B8209DE"/>
    <w:rsid w:val="2C636760"/>
    <w:rsid w:val="2C6762A3"/>
    <w:rsid w:val="2E6144D8"/>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8C703B"/>
    <w:rsid w:val="37BF1123"/>
    <w:rsid w:val="383C3F15"/>
    <w:rsid w:val="38BE4696"/>
    <w:rsid w:val="3939115E"/>
    <w:rsid w:val="39B82A39"/>
    <w:rsid w:val="39C42CA8"/>
    <w:rsid w:val="39DC4FD6"/>
    <w:rsid w:val="39F03D7A"/>
    <w:rsid w:val="39F33306"/>
    <w:rsid w:val="3A164C24"/>
    <w:rsid w:val="3A2C1C67"/>
    <w:rsid w:val="3ADD7F09"/>
    <w:rsid w:val="3B1705E5"/>
    <w:rsid w:val="3B18334B"/>
    <w:rsid w:val="3B36794F"/>
    <w:rsid w:val="3B6F6EE0"/>
    <w:rsid w:val="3BCA494C"/>
    <w:rsid w:val="3C566AD6"/>
    <w:rsid w:val="3C594871"/>
    <w:rsid w:val="3C6A5B02"/>
    <w:rsid w:val="3D2757A1"/>
    <w:rsid w:val="3D3D4FC4"/>
    <w:rsid w:val="3D6328F4"/>
    <w:rsid w:val="3DDF3AB1"/>
    <w:rsid w:val="3E1D0952"/>
    <w:rsid w:val="3E42660A"/>
    <w:rsid w:val="3E7555B1"/>
    <w:rsid w:val="3E787ED9"/>
    <w:rsid w:val="3EF921A2"/>
    <w:rsid w:val="3F032E93"/>
    <w:rsid w:val="3F0527E5"/>
    <w:rsid w:val="3F694D83"/>
    <w:rsid w:val="3F885DCC"/>
    <w:rsid w:val="3FCD675E"/>
    <w:rsid w:val="3FEC3F2C"/>
    <w:rsid w:val="4004000C"/>
    <w:rsid w:val="40BD5482"/>
    <w:rsid w:val="411B6CE5"/>
    <w:rsid w:val="412070D7"/>
    <w:rsid w:val="41314E40"/>
    <w:rsid w:val="41E0734B"/>
    <w:rsid w:val="426C1EA8"/>
    <w:rsid w:val="42736402"/>
    <w:rsid w:val="42E86A87"/>
    <w:rsid w:val="43307B09"/>
    <w:rsid w:val="439A3EB9"/>
    <w:rsid w:val="43BB152F"/>
    <w:rsid w:val="43E7441A"/>
    <w:rsid w:val="43FF3BD8"/>
    <w:rsid w:val="4446026E"/>
    <w:rsid w:val="44C37687"/>
    <w:rsid w:val="45CB699A"/>
    <w:rsid w:val="46372E6F"/>
    <w:rsid w:val="465B470D"/>
    <w:rsid w:val="469767AB"/>
    <w:rsid w:val="469D6AD4"/>
    <w:rsid w:val="471E6C84"/>
    <w:rsid w:val="4748792B"/>
    <w:rsid w:val="475D719D"/>
    <w:rsid w:val="47674801"/>
    <w:rsid w:val="48225EF7"/>
    <w:rsid w:val="488F422B"/>
    <w:rsid w:val="48C773B5"/>
    <w:rsid w:val="48E36915"/>
    <w:rsid w:val="48EB6572"/>
    <w:rsid w:val="495C4A24"/>
    <w:rsid w:val="497135DF"/>
    <w:rsid w:val="4A263DF2"/>
    <w:rsid w:val="4A6F6675"/>
    <w:rsid w:val="4B135857"/>
    <w:rsid w:val="4B7951CB"/>
    <w:rsid w:val="4B7C315C"/>
    <w:rsid w:val="4BA07FE5"/>
    <w:rsid w:val="4D9C2E52"/>
    <w:rsid w:val="4DAC4ACA"/>
    <w:rsid w:val="4DBE01D2"/>
    <w:rsid w:val="4F0C6BA3"/>
    <w:rsid w:val="4F186D58"/>
    <w:rsid w:val="4FF37206"/>
    <w:rsid w:val="50F06B6E"/>
    <w:rsid w:val="51AF715A"/>
    <w:rsid w:val="51D21804"/>
    <w:rsid w:val="52234D33"/>
    <w:rsid w:val="522F6E0C"/>
    <w:rsid w:val="52463BA1"/>
    <w:rsid w:val="52F163D4"/>
    <w:rsid w:val="53191CBF"/>
    <w:rsid w:val="531A2DB4"/>
    <w:rsid w:val="53B9CCE7"/>
    <w:rsid w:val="53C0244D"/>
    <w:rsid w:val="53DD4D4E"/>
    <w:rsid w:val="53E578CE"/>
    <w:rsid w:val="541330F0"/>
    <w:rsid w:val="54272666"/>
    <w:rsid w:val="543B029D"/>
    <w:rsid w:val="54861779"/>
    <w:rsid w:val="54945E6A"/>
    <w:rsid w:val="552256E1"/>
    <w:rsid w:val="554E5773"/>
    <w:rsid w:val="555829E0"/>
    <w:rsid w:val="555A3CBC"/>
    <w:rsid w:val="5582012B"/>
    <w:rsid w:val="558E4E05"/>
    <w:rsid w:val="55BE2E85"/>
    <w:rsid w:val="55E75A61"/>
    <w:rsid w:val="56530F5D"/>
    <w:rsid w:val="567700D3"/>
    <w:rsid w:val="56FF7E9E"/>
    <w:rsid w:val="578867FC"/>
    <w:rsid w:val="5842572D"/>
    <w:rsid w:val="589A0912"/>
    <w:rsid w:val="5A3B59D6"/>
    <w:rsid w:val="5AD134D8"/>
    <w:rsid w:val="5C263CE4"/>
    <w:rsid w:val="5C5D2777"/>
    <w:rsid w:val="5CF66BF3"/>
    <w:rsid w:val="5D290C69"/>
    <w:rsid w:val="5E0823A4"/>
    <w:rsid w:val="5E2D3BB8"/>
    <w:rsid w:val="5F2D4A41"/>
    <w:rsid w:val="60C74F6C"/>
    <w:rsid w:val="61025A59"/>
    <w:rsid w:val="613D5BBC"/>
    <w:rsid w:val="61536C39"/>
    <w:rsid w:val="627E5AD9"/>
    <w:rsid w:val="62944DD7"/>
    <w:rsid w:val="6319381F"/>
    <w:rsid w:val="63C25DC5"/>
    <w:rsid w:val="63C62057"/>
    <w:rsid w:val="64427C3E"/>
    <w:rsid w:val="64571EF5"/>
    <w:rsid w:val="645C6469"/>
    <w:rsid w:val="64F9638F"/>
    <w:rsid w:val="64FB113D"/>
    <w:rsid w:val="656152C6"/>
    <w:rsid w:val="6587477F"/>
    <w:rsid w:val="658C3A08"/>
    <w:rsid w:val="65BD1D71"/>
    <w:rsid w:val="65C031CA"/>
    <w:rsid w:val="65CE6852"/>
    <w:rsid w:val="66267C04"/>
    <w:rsid w:val="663F505A"/>
    <w:rsid w:val="666F5BA1"/>
    <w:rsid w:val="66EE5541"/>
    <w:rsid w:val="6711768B"/>
    <w:rsid w:val="67924660"/>
    <w:rsid w:val="68407834"/>
    <w:rsid w:val="684C1A7C"/>
    <w:rsid w:val="6883293E"/>
    <w:rsid w:val="688412AD"/>
    <w:rsid w:val="68EB1B71"/>
    <w:rsid w:val="6A6C7940"/>
    <w:rsid w:val="6AAD2300"/>
    <w:rsid w:val="6B474EF5"/>
    <w:rsid w:val="6B5E749D"/>
    <w:rsid w:val="6C0A5AC5"/>
    <w:rsid w:val="6C4A11E8"/>
    <w:rsid w:val="6C560CAE"/>
    <w:rsid w:val="6C576495"/>
    <w:rsid w:val="6D903FF5"/>
    <w:rsid w:val="6DA955B8"/>
    <w:rsid w:val="6DE346AB"/>
    <w:rsid w:val="6DE5391A"/>
    <w:rsid w:val="6E861BF9"/>
    <w:rsid w:val="6EFD1324"/>
    <w:rsid w:val="6F5670D6"/>
    <w:rsid w:val="6F5A53AC"/>
    <w:rsid w:val="6F82198D"/>
    <w:rsid w:val="6FAC003D"/>
    <w:rsid w:val="6FE55E12"/>
    <w:rsid w:val="6FFB2E76"/>
    <w:rsid w:val="708F6F7F"/>
    <w:rsid w:val="70D94BD3"/>
    <w:rsid w:val="717408B2"/>
    <w:rsid w:val="71C34D91"/>
    <w:rsid w:val="72DB435C"/>
    <w:rsid w:val="72E2613A"/>
    <w:rsid w:val="72F771F4"/>
    <w:rsid w:val="73934AD2"/>
    <w:rsid w:val="750837F0"/>
    <w:rsid w:val="754758CF"/>
    <w:rsid w:val="75E5279A"/>
    <w:rsid w:val="764F62AB"/>
    <w:rsid w:val="765C45EC"/>
    <w:rsid w:val="767A5F4C"/>
    <w:rsid w:val="768A7619"/>
    <w:rsid w:val="772E1EBA"/>
    <w:rsid w:val="781926BC"/>
    <w:rsid w:val="796D60A4"/>
    <w:rsid w:val="79A031D5"/>
    <w:rsid w:val="7A1525F7"/>
    <w:rsid w:val="7A293062"/>
    <w:rsid w:val="7B420052"/>
    <w:rsid w:val="7BD06A28"/>
    <w:rsid w:val="7C3A7C0B"/>
    <w:rsid w:val="7C5248E4"/>
    <w:rsid w:val="7C566698"/>
    <w:rsid w:val="7C5866A3"/>
    <w:rsid w:val="7D7406BB"/>
    <w:rsid w:val="7DE94331"/>
    <w:rsid w:val="7EDFB9FB"/>
    <w:rsid w:val="7F446A19"/>
    <w:rsid w:val="7F7452B9"/>
    <w:rsid w:val="CFEF2229"/>
    <w:rsid w:val="E75B3856"/>
    <w:rsid w:val="F8FF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8859</Words>
  <Characters>10596</Characters>
  <Lines>99</Lines>
  <Paragraphs>27</Paragraphs>
  <TotalTime>2</TotalTime>
  <ScaleCrop>false</ScaleCrop>
  <LinksUpToDate>false</LinksUpToDate>
  <CharactersWithSpaces>11485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2024-07-13T02:00:00Z</dcterms:created>
  <dc:creator>Administrator</dc:creator>
  <cp:lastModifiedBy>毕欢</cp:lastModifiedBy>
  <cp:lastPrinted>2025-08-22T01:44:00Z</cp:lastPrinted>
  <dcterms:modified xsi:type="dcterms:W3CDTF">2025-09-18T11:26:43Z</dcterms:modified>
  <dc:title>垫江县归侨侨眷联合会2024年度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BF4260C842694F3B6553AD6892A4E2FE</vt:lpwstr>
  </property>
  <property fmtid="{D5CDD505-2E9C-101B-9397-08002B2CF9AE}" pid="4" name="KSOTemplateDocerSaveRecord">
    <vt:lpwstr>eyJoZGlkIjoiZGNhNzRhM2E0ZDZmODg1MjY5NjQ1OGRmNGRkMDZjMTMifQ==</vt:lpwstr>
  </property>
</Properties>
</file>