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中国共产党垫江县委党校（本级）</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一、单位基本情况</w:t>
      </w:r>
    </w:p>
    <w:p>
      <w:pPr>
        <w:pStyle w:val="6"/>
        <w:shd w:val="clear" w:color="auto" w:fill="FFFFFF"/>
        <w:spacing w:before="0" w:beforeAutospacing="0" w:after="0" w:afterAutospacing="0" w:line="594" w:lineRule="exact"/>
        <w:ind w:firstLine="420"/>
        <w:rPr>
          <w:rFonts w:hint="default" w:ascii="Times New Roman" w:hAnsi="Times New Roman" w:eastAsia="方正楷体_GBK"/>
          <w:bCs/>
          <w:sz w:val="32"/>
          <w:szCs w:val="32"/>
        </w:rPr>
      </w:pPr>
      <w:r>
        <w:rPr>
          <w:rStyle w:val="10"/>
          <w:rFonts w:hint="default" w:ascii="Times New Roman" w:hAnsi="Times New Roman" w:eastAsia="方正楷体_GBK"/>
          <w:b w:val="0"/>
          <w:bCs/>
          <w:sz w:val="32"/>
          <w:szCs w:val="32"/>
          <w:shd w:val="clear" w:color="auto" w:fill="FFFFFF"/>
        </w:rPr>
        <w:t>（一）职能职责</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1.按照《中国共产党党校</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行政学院</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工作条例》《社会主义学院工作条例》规定，培训各级党政领导干部、公务员、国有企事业领导人员、事业单位领导人员、年轻干部、理论宣传骨干、高层次人才、基层干部、党员以及党外代表人士等。</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2.加强马克思主义基本理论研究，重点研究宣传习近平新时代中国特色社会主义思想。</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3.承办县委和县政府以及相关部门举办的专题研讨班。</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4.开展重大理论和现实问题调研，承担县委和县政府决策咨询服务。</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5.开展同县内外有关机构和组织的合作与交流。</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6.参与县委关于党校(垫江行政学校)工作政策以及干部培训计划的制定工作。</w:t>
      </w:r>
    </w:p>
    <w:p>
      <w:pPr>
        <w:pStyle w:val="12"/>
        <w:autoSpaceDE w:val="0"/>
        <w:adjustRightInd w:val="0"/>
        <w:snapToGrid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7.按照国家有关规定，开展成人学历教育和其他形式的继续教育、培训工作。</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8.完成县委和县政府交办的其他任务。</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（二）机构设置</w:t>
      </w:r>
    </w:p>
    <w:p>
      <w:pPr>
        <w:pStyle w:val="6"/>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学校现有在职职工32人。设教务科、科研科、学历教育科、招生考试科、党外代表人士培训科、统一战线理论研究室、网络信息中心、办公室、总务科等9个内设机构。</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二、单位决算收支情况说明</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（一）收入支出决算总体情况说明</w:t>
      </w:r>
    </w:p>
    <w:p>
      <w:pPr>
        <w:pStyle w:val="6"/>
        <w:shd w:val="clear" w:color="auto" w:fill="FFFFFF"/>
        <w:spacing w:before="0" w:beforeAutospacing="0" w:after="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2024年度收入总计1095.86万元，支出总计</w:t>
      </w:r>
      <w:r>
        <w:rPr>
          <w:rFonts w:hint="default" w:ascii="Times New Roman" w:hAnsi="Times New Roman" w:eastAsia="方正仿宋_GBK"/>
          <w:sz w:val="32"/>
          <w:szCs w:val="32"/>
        </w:rPr>
        <w:t>1095.86</w:t>
      </w:r>
      <w:r>
        <w:rPr>
          <w:rFonts w:hint="default" w:ascii="Times New Roman" w:hAnsi="Times New Roman" w:eastAsia="方正仿宋_GBK"/>
          <w:sz w:val="32"/>
          <w:szCs w:val="32"/>
          <w:shd w:val="clear" w:color="auto" w:fill="FFFFFF"/>
        </w:rPr>
        <w:t>万元。收、支与2023年度相比，减少178.22万元，下降14.0%，主要原因是项目</w:t>
      </w:r>
      <w:r>
        <w:rPr>
          <w:rFonts w:ascii="Times New Roman" w:hAnsi="Times New Roman" w:eastAsia="方正仿宋_GBK"/>
          <w:sz w:val="32"/>
          <w:szCs w:val="32"/>
          <w:shd w:val="clear" w:color="auto" w:fill="FFFFFF"/>
        </w:rPr>
        <w:t>经费</w:t>
      </w:r>
      <w:r>
        <w:rPr>
          <w:rFonts w:hint="default" w:ascii="Times New Roman" w:hAnsi="Times New Roman" w:eastAsia="方正仿宋_GBK"/>
          <w:sz w:val="32"/>
          <w:szCs w:val="32"/>
          <w:shd w:val="clear" w:color="auto" w:fill="FFFFFF"/>
        </w:rPr>
        <w:t>减少。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2024年度收入合计1095.63万元，与2023年度相比，减少177.97万元，下降14.0%，主要原因是</w:t>
      </w:r>
      <w:r>
        <w:rPr>
          <w:rFonts w:ascii="Times New Roman" w:hAnsi="Times New Roman" w:eastAsia="方正仿宋_GBK"/>
          <w:sz w:val="32"/>
          <w:szCs w:val="32"/>
          <w:shd w:val="clear" w:color="auto" w:fill="FFFFFF"/>
        </w:rPr>
        <w:t>项目收入减少。</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1095.63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0.23</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1095.86</w:t>
      </w:r>
      <w:r>
        <w:rPr>
          <w:rFonts w:hint="default" w:ascii="Times New Roman" w:hAnsi="Times New Roman" w:eastAsia="方正仿宋_GBK"/>
          <w:sz w:val="32"/>
          <w:szCs w:val="32"/>
          <w:shd w:val="clear" w:color="auto" w:fill="FFFFFF"/>
        </w:rPr>
        <w:t>万元，与2023年度相比，减少178.22万元，下降14.0%，主要原因是项目支出减少。其中：基本支出</w:t>
      </w:r>
      <w:r>
        <w:rPr>
          <w:rFonts w:hint="default" w:ascii="Times New Roman" w:hAnsi="Times New Roman" w:eastAsia="方正仿宋_GBK"/>
          <w:sz w:val="32"/>
          <w:szCs w:val="32"/>
        </w:rPr>
        <w:t>909.85</w:t>
      </w:r>
      <w:r>
        <w:rPr>
          <w:rFonts w:hint="default" w:ascii="Times New Roman" w:hAnsi="Times New Roman" w:eastAsia="方正仿宋_GBK"/>
          <w:sz w:val="32"/>
          <w:szCs w:val="32"/>
          <w:shd w:val="clear" w:color="auto" w:fill="FFFFFF"/>
        </w:rPr>
        <w:t>万元，占83.0%；项目支出</w:t>
      </w:r>
      <w:r>
        <w:rPr>
          <w:rFonts w:hint="default" w:ascii="Times New Roman" w:hAnsi="Times New Roman" w:eastAsia="方正仿宋_GBK"/>
          <w:sz w:val="32"/>
          <w:szCs w:val="32"/>
        </w:rPr>
        <w:t>186.01</w:t>
      </w:r>
      <w:r>
        <w:rPr>
          <w:rFonts w:hint="default" w:ascii="Times New Roman" w:hAnsi="Times New Roman" w:eastAsia="方正仿宋_GBK"/>
          <w:sz w:val="32"/>
          <w:szCs w:val="32"/>
          <w:shd w:val="clear" w:color="auto" w:fill="FFFFFF"/>
        </w:rPr>
        <w:t>万元，占17.0%；经营支出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万元，与2023年度相比，无增减，主要原因是上年与今年均无结转结余。</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2024年度财政拨款收、支总计1095.86万元。与2023年相比，财政拨款收、支总计各减少178.22万元，下降14.0%。主要原因是项目收入、支出减少</w:t>
      </w:r>
      <w:r>
        <w:rPr>
          <w:rFonts w:ascii="Times New Roman" w:hAnsi="Times New Roman" w:eastAsia="方正仿宋_GBK"/>
          <w:sz w:val="32"/>
          <w:szCs w:val="32"/>
          <w:shd w:val="clear" w:color="auto" w:fill="FFFFFF"/>
        </w:rPr>
        <w:t>。</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1095.63</w:t>
      </w:r>
      <w:r>
        <w:rPr>
          <w:rFonts w:hint="default" w:ascii="Times New Roman" w:hAnsi="Times New Roman" w:eastAsia="方正仿宋_GBK"/>
          <w:sz w:val="32"/>
          <w:szCs w:val="32"/>
          <w:shd w:val="clear" w:color="auto" w:fill="FFFFFF"/>
        </w:rPr>
        <w:t>万元，与2023年度相比，减少177.97万元，下降14.0%。主要原因是</w:t>
      </w:r>
      <w:r>
        <w:rPr>
          <w:rFonts w:ascii="Times New Roman" w:hAnsi="Times New Roman" w:eastAsia="方正仿宋_GBK"/>
          <w:sz w:val="32"/>
          <w:szCs w:val="32"/>
          <w:shd w:val="clear" w:color="auto" w:fill="FFFFFF"/>
        </w:rPr>
        <w:t>项目收入减少</w:t>
      </w:r>
      <w:r>
        <w:rPr>
          <w:rFonts w:hint="default" w:ascii="Times New Roman" w:hAnsi="Times New Roman" w:eastAsia="方正仿宋_GBK"/>
          <w:sz w:val="32"/>
          <w:szCs w:val="32"/>
          <w:shd w:val="clear" w:color="auto" w:fill="FFFFFF"/>
        </w:rPr>
        <w:t>。较年初预算数增加282.25万元，增长34.7%。主要原因是</w:t>
      </w:r>
      <w:r>
        <w:rPr>
          <w:rFonts w:ascii="Times New Roman" w:hAnsi="Times New Roman" w:eastAsia="方正仿宋_GBK"/>
          <w:sz w:val="32"/>
          <w:szCs w:val="32"/>
          <w:shd w:val="clear" w:color="auto" w:fill="FFFFFF"/>
        </w:rPr>
        <w:t>年中追加项目经费。</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0.23</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1095.86</w:t>
      </w:r>
      <w:r>
        <w:rPr>
          <w:rFonts w:hint="default" w:ascii="Times New Roman" w:hAnsi="Times New Roman" w:eastAsia="方正仿宋_GBK"/>
          <w:sz w:val="32"/>
          <w:szCs w:val="32"/>
          <w:shd w:val="clear" w:color="auto" w:fill="FFFFFF"/>
        </w:rPr>
        <w:t>万元，与2023年度相比，减少178.22万元，下降14.0%。主要原因是</w:t>
      </w:r>
      <w:r>
        <w:rPr>
          <w:rFonts w:ascii="Times New Roman" w:hAnsi="Times New Roman" w:eastAsia="方正仿宋_GBK"/>
          <w:sz w:val="32"/>
          <w:szCs w:val="32"/>
          <w:shd w:val="clear" w:color="auto" w:fill="FFFFFF"/>
        </w:rPr>
        <w:t>项目支出减少</w:t>
      </w:r>
      <w:r>
        <w:rPr>
          <w:rFonts w:hint="default" w:ascii="Times New Roman" w:hAnsi="Times New Roman" w:eastAsia="方正仿宋_GBK"/>
          <w:sz w:val="32"/>
          <w:szCs w:val="32"/>
          <w:shd w:val="clear" w:color="auto" w:fill="FFFFFF"/>
        </w:rPr>
        <w:t>。较年初预算数增加282.48万元，增长34.7%。主要原因是</w:t>
      </w:r>
      <w:r>
        <w:rPr>
          <w:rFonts w:ascii="Times New Roman" w:hAnsi="Times New Roman" w:eastAsia="方正仿宋_GBK"/>
          <w:sz w:val="32"/>
          <w:szCs w:val="32"/>
          <w:shd w:val="clear" w:color="auto" w:fill="FFFFFF"/>
        </w:rPr>
        <w:t>年中追加项目经费。</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lang w:val="en-GB"/>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万元，与2023年度相比，无增减，主要原因是上年与今年均无结转结余。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26.57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w:t>
      </w:r>
      <w:r>
        <w:rPr>
          <w:rFonts w:hint="default" w:ascii="Times New Roman" w:hAnsi="Times New Roman" w:eastAsia="方正仿宋_GBK"/>
          <w:sz w:val="32"/>
          <w:szCs w:val="32"/>
          <w:shd w:val="clear" w:color="auto" w:fill="FFFFFF"/>
        </w:rPr>
        <w:t>%，较年初预算数增加26.57万元，增长100.0%，主要原因是</w:t>
      </w:r>
      <w:r>
        <w:rPr>
          <w:rFonts w:ascii="Times New Roman" w:hAnsi="Times New Roman" w:eastAsia="方正仿宋_GBK"/>
          <w:sz w:val="32"/>
          <w:szCs w:val="32"/>
          <w:shd w:val="clear" w:color="auto" w:fill="FFFFFF"/>
        </w:rPr>
        <w:t>年中追加项目经费。</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780.82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71.3</w:t>
      </w:r>
      <w:r>
        <w:rPr>
          <w:rFonts w:hint="default" w:ascii="Times New Roman" w:hAnsi="Times New Roman" w:eastAsia="方正仿宋_GBK"/>
          <w:sz w:val="32"/>
          <w:szCs w:val="32"/>
          <w:shd w:val="clear" w:color="auto" w:fill="FFFFFF"/>
        </w:rPr>
        <w:t>%，较年初预算数增加186.92万元，增长31.5%，主要原因是</w:t>
      </w:r>
      <w:r>
        <w:rPr>
          <w:rFonts w:ascii="Times New Roman" w:hAnsi="Times New Roman" w:eastAsia="方正仿宋_GBK"/>
          <w:sz w:val="32"/>
          <w:szCs w:val="32"/>
          <w:shd w:val="clear" w:color="auto" w:fill="FFFFFF"/>
        </w:rPr>
        <w:t>年中追加项目经费。</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203.76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18.6</w:t>
      </w:r>
      <w:r>
        <w:rPr>
          <w:rFonts w:hint="default" w:ascii="Times New Roman" w:hAnsi="Times New Roman" w:eastAsia="方正仿宋_GBK"/>
          <w:sz w:val="32"/>
          <w:szCs w:val="32"/>
          <w:shd w:val="clear" w:color="auto" w:fill="FFFFFF"/>
        </w:rPr>
        <w:t>%，较年初预算数增加60.10万元，增长41.8%，主要原因是</w:t>
      </w:r>
      <w:r>
        <w:rPr>
          <w:rFonts w:ascii="Times New Roman" w:hAnsi="Times New Roman" w:eastAsia="方正仿宋_GBK"/>
          <w:sz w:val="32"/>
          <w:szCs w:val="32"/>
          <w:shd w:val="clear" w:color="auto" w:fill="FFFFFF"/>
        </w:rPr>
        <w:t>年中进行了政策性补缴，收入和支出增加。</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30.19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2.8</w:t>
      </w:r>
      <w:r>
        <w:rPr>
          <w:rFonts w:hint="default" w:ascii="Times New Roman" w:hAnsi="Times New Roman" w:eastAsia="方正仿宋_GBK"/>
          <w:sz w:val="32"/>
          <w:szCs w:val="32"/>
          <w:shd w:val="clear" w:color="auto" w:fill="FFFFFF"/>
        </w:rPr>
        <w:t>%，较年初预算数减少3.45万元，下降10.3%，主要原因是</w:t>
      </w:r>
      <w:r>
        <w:rPr>
          <w:rFonts w:ascii="Times New Roman" w:hAnsi="Times New Roman" w:eastAsia="方正仿宋_GBK"/>
          <w:sz w:val="32"/>
          <w:szCs w:val="32"/>
          <w:shd w:val="clear" w:color="auto" w:fill="FFFFFF"/>
        </w:rPr>
        <w:t>人员减少</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减少</w:t>
      </w:r>
      <w:r>
        <w:rPr>
          <w:rFonts w:ascii="Times New Roman" w:hAnsi="Times New Roman" w:eastAsia="方正仿宋_GBK"/>
          <w:sz w:val="32"/>
          <w:szCs w:val="32"/>
          <w:shd w:val="clear" w:color="auto" w:fill="FFFFFF"/>
        </w:rPr>
        <w:t>。</w:t>
      </w:r>
    </w:p>
    <w:p>
      <w:pPr>
        <w:spacing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住房保障支出54.53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5.0</w:t>
      </w:r>
      <w:r>
        <w:rPr>
          <w:rFonts w:hint="default" w:ascii="Times New Roman" w:hAnsi="Times New Roman" w:eastAsia="方正仿宋_GBK"/>
          <w:sz w:val="32"/>
          <w:szCs w:val="32"/>
          <w:shd w:val="clear" w:color="auto" w:fill="FFFFFF"/>
        </w:rPr>
        <w:t>%，较年初预算数增加12.36万元，增长29.3%，主要原因是</w:t>
      </w:r>
      <w:r>
        <w:rPr>
          <w:rFonts w:ascii="Times New Roman" w:hAnsi="Times New Roman" w:eastAsia="方正仿宋_GBK"/>
          <w:sz w:val="32"/>
          <w:szCs w:val="32"/>
          <w:shd w:val="clear" w:color="auto" w:fill="FFFFFF"/>
        </w:rPr>
        <w:t>部分人员工资增加，基数调整导致支出增加。</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909.85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786.03</w:t>
      </w:r>
      <w:r>
        <w:rPr>
          <w:rFonts w:hint="default" w:ascii="Times New Roman" w:hAnsi="Times New Roman" w:eastAsia="方正仿宋_GBK"/>
          <w:sz w:val="32"/>
          <w:szCs w:val="32"/>
          <w:shd w:val="clear" w:color="auto" w:fill="FFFFFF"/>
        </w:rPr>
        <w:t>万元，与2023年度相比，减少13.60万元，下降1.7%，主要原因是</w:t>
      </w:r>
      <w:r>
        <w:rPr>
          <w:rFonts w:ascii="Times New Roman" w:hAnsi="Times New Roman" w:eastAsia="方正仿宋_GBK"/>
          <w:sz w:val="32"/>
          <w:szCs w:val="32"/>
          <w:shd w:val="clear" w:color="auto" w:fill="FFFFFF"/>
        </w:rPr>
        <w:t>在职人员减少。</w:t>
      </w:r>
      <w:r>
        <w:rPr>
          <w:rFonts w:hint="default" w:ascii="Times New Roman" w:hAnsi="Times New Roman" w:eastAsia="方正仿宋_GBK"/>
          <w:sz w:val="32"/>
          <w:szCs w:val="32"/>
          <w:shd w:val="clear" w:color="auto" w:fill="FFFFFF"/>
        </w:rPr>
        <w:t>人员经费用途主要包括</w:t>
      </w:r>
      <w:r>
        <w:rPr>
          <w:rFonts w:ascii="方正仿宋_GBK" w:hAnsi="方正仿宋_GBK" w:eastAsia="方正仿宋_GBK" w:cs="方正仿宋_GBK"/>
          <w:sz w:val="32"/>
          <w:szCs w:val="32"/>
          <w:shd w:val="clear" w:color="auto" w:fill="FFFFFF"/>
        </w:rPr>
        <w:t>基本工资、津贴补贴、奖金、社会保障缴费、公积金缴费。</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123.82</w:t>
      </w:r>
      <w:r>
        <w:rPr>
          <w:rFonts w:hint="default" w:ascii="Times New Roman" w:hAnsi="Times New Roman" w:eastAsia="方正仿宋_GBK"/>
          <w:sz w:val="32"/>
          <w:szCs w:val="32"/>
          <w:shd w:val="clear" w:color="auto" w:fill="FFFFFF"/>
        </w:rPr>
        <w:t>万元，与2023年度相比，减少21.65万元，下降14.9%，主要原因是</w:t>
      </w:r>
      <w:r>
        <w:rPr>
          <w:rFonts w:ascii="Times New Roman" w:hAnsi="Times New Roman" w:eastAsia="方正仿宋_GBK"/>
          <w:sz w:val="32"/>
          <w:szCs w:val="32"/>
          <w:shd w:val="clear" w:color="auto" w:fill="FFFFFF"/>
        </w:rPr>
        <w:t>压减</w:t>
      </w:r>
      <w:r>
        <w:rPr>
          <w:rFonts w:hint="default" w:ascii="Times New Roman" w:hAnsi="Times New Roman" w:eastAsia="方正仿宋_GBK"/>
          <w:sz w:val="32"/>
          <w:szCs w:val="32"/>
          <w:shd w:val="clear" w:color="auto" w:fill="FFFFFF"/>
        </w:rPr>
        <w:t>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公用经费用途主要包括</w:t>
      </w:r>
      <w:r>
        <w:rPr>
          <w:rFonts w:ascii="方正仿宋_GBK" w:hAnsi="方正仿宋_GBK" w:eastAsia="方正仿宋_GBK" w:cs="方正仿宋_GBK"/>
          <w:sz w:val="32"/>
          <w:szCs w:val="32"/>
          <w:shd w:val="clear" w:color="auto" w:fill="FFFFFF"/>
        </w:rPr>
        <w:t>办公费、印刷费、咨询费、手续费、水电费、电话费、差旅费、会议费、培训费、公务用车运行维护费、其他交通费用等。</w:t>
      </w:r>
    </w:p>
    <w:p>
      <w:pPr>
        <w:pStyle w:val="6"/>
        <w:snapToGrid w:val="0"/>
        <w:spacing w:before="0" w:beforeAutospacing="0" w:after="0" w:afterAutospacing="0" w:line="594" w:lineRule="exact"/>
        <w:ind w:firstLine="640" w:firstLineChars="200"/>
        <w:jc w:val="both"/>
        <w:rPr>
          <w:rFonts w:hint="default" w:ascii="Times New Roman" w:hAnsi="Times New Roman" w:eastAsia="楷体"/>
          <w:b/>
          <w:bCs/>
          <w:sz w:val="32"/>
          <w:szCs w:val="32"/>
          <w:shd w:val="clear" w:color="auto" w:fill="FFFFFF"/>
        </w:rPr>
      </w:pPr>
      <w:r>
        <w:rPr>
          <w:rStyle w:val="10"/>
          <w:rFonts w:hint="default" w:ascii="Times New Roman" w:hAnsi="Times New Roman" w:eastAsia="方正楷体_GBK"/>
          <w:b w:val="0"/>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Style w:val="10"/>
          <w:rFonts w:hint="default" w:ascii="Times New Roman" w:hAnsi="Times New Roman" w:eastAsia="方正楷体_GBK"/>
          <w:b w:val="0"/>
          <w:bCs/>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2024年度国有资本经营预算财政拨</w:t>
      </w:r>
      <w:r>
        <w:rPr>
          <w:rFonts w:hint="eastAsia" w:ascii="Times New Roman" w:hAnsi="Times New Roman" w:eastAsia="方正仿宋_GBK"/>
          <w:sz w:val="32"/>
          <w:szCs w:val="32"/>
          <w:shd w:val="clear" w:color="auto" w:fill="FFFFFF"/>
          <w:lang w:eastAsia="zh-CN"/>
        </w:rPr>
        <w:t>款</w:t>
      </w:r>
      <w:r>
        <w:rPr>
          <w:rFonts w:hint="default" w:ascii="Times New Roman" w:hAnsi="Times New Roman" w:eastAsia="方正仿宋_GBK"/>
          <w:sz w:val="32"/>
          <w:szCs w:val="32"/>
          <w:shd w:val="clear" w:color="auto" w:fill="FFFFFF"/>
        </w:rPr>
        <w:t>本年支出0.00万元，基本支出0.00万元，项目支出0.00万元。本单位2024年度无国有资本经营预算财政拨款支出。</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三、财政拨款</w:t>
      </w:r>
      <w:r>
        <w:rPr>
          <w:rStyle w:val="10"/>
          <w:rFonts w:hint="eastAsia" w:ascii="Times New Roman" w:hAnsi="Times New Roman" w:eastAsia="方正黑体_GBK"/>
          <w:b w:val="0"/>
          <w:bCs/>
          <w:sz w:val="32"/>
          <w:szCs w:val="32"/>
          <w:shd w:val="clear" w:color="auto" w:fill="FFFFFF"/>
          <w:lang w:eastAsia="zh-CN"/>
        </w:rPr>
        <w:t>三公</w:t>
      </w:r>
      <w:r>
        <w:rPr>
          <w:rStyle w:val="10"/>
          <w:rFonts w:hint="default" w:ascii="Times New Roman" w:hAnsi="Times New Roman" w:eastAsia="方正黑体_GBK"/>
          <w:b w:val="0"/>
          <w:bCs/>
          <w:sz w:val="32"/>
          <w:szCs w:val="32"/>
          <w:shd w:val="clear" w:color="auto" w:fill="FFFFFF"/>
        </w:rPr>
        <w:t>经费情况说明</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w:t>
      </w:r>
      <w:r>
        <w:rPr>
          <w:rStyle w:val="10"/>
          <w:rFonts w:hint="eastAsia" w:ascii="Times New Roman" w:hAnsi="Times New Roman" w:eastAsia="方正楷体_GBK"/>
          <w:b w:val="0"/>
          <w:bCs/>
          <w:sz w:val="32"/>
          <w:szCs w:val="32"/>
          <w:shd w:val="clear" w:color="auto" w:fill="FFFFFF"/>
          <w:lang w:eastAsia="zh-CN"/>
        </w:rPr>
        <w:t>三公</w:t>
      </w:r>
      <w:r>
        <w:rPr>
          <w:rStyle w:val="10"/>
          <w:rFonts w:hint="default" w:ascii="Times New Roman" w:hAnsi="Times New Roman" w:eastAsia="方正楷体_GBK"/>
          <w:b w:val="0"/>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4.55</w:t>
      </w:r>
      <w:r>
        <w:rPr>
          <w:rFonts w:hint="default" w:ascii="Times New Roman" w:hAnsi="Times New Roman" w:eastAsia="方正仿宋_GBK"/>
          <w:sz w:val="32"/>
          <w:szCs w:val="32"/>
          <w:shd w:val="clear" w:color="auto" w:fill="FFFFFF"/>
        </w:rPr>
        <w:t>万元，较年初预算数减少0.45万元，下降9.0%，主要原因是</w:t>
      </w:r>
      <w:r>
        <w:rPr>
          <w:rFonts w:ascii="Times New Roman" w:hAnsi="Times New Roman" w:eastAsia="方正仿宋_GBK"/>
          <w:sz w:val="32"/>
          <w:szCs w:val="32"/>
          <w:shd w:val="clear" w:color="auto" w:fill="FFFFFF"/>
        </w:rPr>
        <w:t>厉行节约，实际支出较预算减少</w:t>
      </w:r>
      <w:r>
        <w:rPr>
          <w:rFonts w:hint="default" w:ascii="Times New Roman" w:hAnsi="Times New Roman" w:eastAsia="方正仿宋_GBK"/>
          <w:sz w:val="32"/>
          <w:szCs w:val="32"/>
          <w:shd w:val="clear" w:color="auto" w:fill="FFFFFF"/>
        </w:rPr>
        <w:t>。较上年支出数增加0.46万元，增长11.3%，主要原因是</w:t>
      </w:r>
      <w:r>
        <w:rPr>
          <w:rFonts w:ascii="Times New Roman" w:hAnsi="Times New Roman" w:eastAsia="方正仿宋_GBK"/>
          <w:sz w:val="32"/>
          <w:szCs w:val="32"/>
          <w:shd w:val="clear" w:color="auto" w:fill="FFFFFF"/>
        </w:rPr>
        <w:t>本年调研、接待、公务车因公出行次数较上年增多。</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w:t>
      </w:r>
      <w:r>
        <w:rPr>
          <w:rStyle w:val="10"/>
          <w:rFonts w:hint="eastAsia" w:ascii="Times New Roman" w:hAnsi="Times New Roman" w:eastAsia="方正楷体_GBK"/>
          <w:b w:val="0"/>
          <w:bCs/>
          <w:sz w:val="32"/>
          <w:szCs w:val="32"/>
          <w:shd w:val="clear" w:color="auto" w:fill="FFFFFF"/>
          <w:lang w:eastAsia="zh-CN"/>
        </w:rPr>
        <w:t>三公</w:t>
      </w:r>
      <w:r>
        <w:rPr>
          <w:rStyle w:val="10"/>
          <w:rFonts w:hint="default" w:ascii="Times New Roman" w:hAnsi="Times New Roman" w:eastAsia="方正楷体_GBK"/>
          <w:b w:val="0"/>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2.55</w:t>
      </w:r>
      <w:r>
        <w:rPr>
          <w:rFonts w:hint="default" w:ascii="Times New Roman" w:hAnsi="Times New Roman" w:eastAsia="方正仿宋_GBK"/>
          <w:sz w:val="32"/>
          <w:szCs w:val="32"/>
          <w:shd w:val="clear" w:color="auto" w:fill="FFFFFF"/>
        </w:rPr>
        <w:t>万元，主要用于机要文件交换、市内因公出行、调研、下乡走访等工作所需车辆的燃料费、维修费、过桥过路费、保险费等。费用支出较年初预算数减少0.45万元，下降15.0%，主要原因是</w:t>
      </w:r>
      <w:r>
        <w:rPr>
          <w:rFonts w:ascii="Times New Roman" w:hAnsi="Times New Roman" w:eastAsia="方正仿宋_GBK"/>
          <w:sz w:val="32"/>
          <w:szCs w:val="32"/>
          <w:shd w:val="clear" w:color="auto" w:fill="FFFFFF"/>
        </w:rPr>
        <w:t>厉行节约，支出减少。</w:t>
      </w:r>
      <w:r>
        <w:rPr>
          <w:rFonts w:hint="default" w:ascii="Times New Roman" w:hAnsi="Times New Roman" w:eastAsia="方正仿宋_GBK"/>
          <w:sz w:val="32"/>
          <w:szCs w:val="32"/>
          <w:shd w:val="clear" w:color="auto" w:fill="FFFFFF"/>
        </w:rPr>
        <w:t>较上年支出数增加0.39万元，增长18.1%，主要原因是</w:t>
      </w:r>
      <w:r>
        <w:rPr>
          <w:rFonts w:ascii="Times New Roman" w:hAnsi="Times New Roman" w:eastAsia="方正仿宋_GBK"/>
          <w:sz w:val="32"/>
          <w:szCs w:val="32"/>
          <w:shd w:val="clear" w:color="auto" w:fill="FFFFFF"/>
        </w:rPr>
        <w:t>公务车因公出行、调研次数较去年增多，过路过桥费相应增加。</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2.00</w:t>
      </w:r>
      <w:r>
        <w:rPr>
          <w:rFonts w:hint="default" w:ascii="Times New Roman" w:hAnsi="Times New Roman" w:eastAsia="方正仿宋_GBK"/>
          <w:sz w:val="32"/>
          <w:szCs w:val="32"/>
          <w:shd w:val="clear" w:color="auto" w:fill="FFFFFF"/>
        </w:rPr>
        <w:t>万元，主要用于接待</w:t>
      </w:r>
      <w:bookmarkStart w:id="0" w:name="_GoBack"/>
      <w:bookmarkEnd w:id="0"/>
      <w:r>
        <w:rPr>
          <w:rFonts w:hint="default" w:ascii="Times New Roman" w:hAnsi="Times New Roman" w:eastAsia="方正仿宋_GBK"/>
          <w:sz w:val="32"/>
          <w:szCs w:val="32"/>
          <w:shd w:val="clear" w:color="auto" w:fill="FFFFFF"/>
        </w:rPr>
        <w:t>市级指导学院建设专家和培训老师，以及接受相关部门检查指导工作发生的接待支出。费用支出较年初预算数无增减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主要原因是严格</w:t>
      </w:r>
      <w:r>
        <w:rPr>
          <w:rFonts w:ascii="Times New Roman" w:hAnsi="Times New Roman" w:eastAsia="方正仿宋_GBK"/>
          <w:sz w:val="32"/>
          <w:szCs w:val="32"/>
          <w:shd w:val="clear" w:color="auto" w:fill="FFFFFF"/>
        </w:rPr>
        <w:t>按照</w:t>
      </w:r>
      <w:r>
        <w:rPr>
          <w:rFonts w:hint="default" w:ascii="Times New Roman" w:hAnsi="Times New Roman" w:eastAsia="方正仿宋_GBK"/>
          <w:sz w:val="32"/>
          <w:szCs w:val="32"/>
          <w:shd w:val="clear" w:color="auto" w:fill="FFFFFF"/>
        </w:rPr>
        <w:t>年初预算</w:t>
      </w:r>
      <w:r>
        <w:rPr>
          <w:rFonts w:ascii="Times New Roman" w:hAnsi="Times New Roman" w:eastAsia="方正仿宋_GBK"/>
          <w:sz w:val="32"/>
          <w:szCs w:val="32"/>
          <w:shd w:val="clear" w:color="auto" w:fill="FFFFFF"/>
        </w:rPr>
        <w:t>执行。</w:t>
      </w:r>
      <w:r>
        <w:rPr>
          <w:rFonts w:hint="default" w:ascii="Times New Roman" w:hAnsi="Times New Roman" w:eastAsia="方正仿宋_GBK"/>
          <w:sz w:val="32"/>
          <w:szCs w:val="32"/>
          <w:shd w:val="clear" w:color="auto" w:fill="FFFFFF"/>
        </w:rPr>
        <w:t>较上年支出数增加0.07万元，增长3.6%，主要原因是</w:t>
      </w:r>
      <w:r>
        <w:rPr>
          <w:rFonts w:ascii="Times New Roman" w:hAnsi="Times New Roman" w:eastAsia="方正仿宋_GBK"/>
          <w:sz w:val="32"/>
          <w:szCs w:val="32"/>
          <w:shd w:val="clear" w:color="auto" w:fill="FFFFFF"/>
        </w:rPr>
        <w:t>今年业务</w:t>
      </w:r>
      <w:r>
        <w:rPr>
          <w:rFonts w:hint="default" w:ascii="Times New Roman" w:hAnsi="Times New Roman" w:eastAsia="方正仿宋_GBK"/>
          <w:sz w:val="32"/>
          <w:szCs w:val="32"/>
          <w:shd w:val="clear" w:color="auto" w:fill="FFFFFF"/>
        </w:rPr>
        <w:t>增多，</w:t>
      </w:r>
      <w:r>
        <w:rPr>
          <w:rFonts w:ascii="Times New Roman" w:hAnsi="Times New Roman" w:eastAsia="方正仿宋_GBK"/>
          <w:sz w:val="32"/>
          <w:szCs w:val="32"/>
          <w:shd w:val="clear" w:color="auto" w:fill="FFFFFF"/>
        </w:rPr>
        <w:t>接待数量较上年增多。</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w:t>
      </w:r>
      <w:r>
        <w:rPr>
          <w:rStyle w:val="10"/>
          <w:rFonts w:hint="eastAsia" w:ascii="Times New Roman" w:hAnsi="Times New Roman" w:eastAsia="方正楷体_GBK"/>
          <w:b w:val="0"/>
          <w:bCs/>
          <w:sz w:val="32"/>
          <w:szCs w:val="32"/>
          <w:shd w:val="clear" w:color="auto" w:fill="FFFFFF"/>
          <w:lang w:eastAsia="zh-CN"/>
        </w:rPr>
        <w:t>三公</w:t>
      </w:r>
      <w:r>
        <w:rPr>
          <w:rStyle w:val="10"/>
          <w:rFonts w:hint="default" w:ascii="Times New Roman" w:hAnsi="Times New Roman" w:eastAsia="方正楷体_GBK"/>
          <w:b w:val="0"/>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21</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208</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96.27</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2.55</w:t>
      </w:r>
      <w:r>
        <w:rPr>
          <w:rFonts w:hint="default" w:ascii="Times New Roman" w:hAnsi="Times New Roman" w:eastAsia="方正仿宋_GBK"/>
          <w:sz w:val="32"/>
          <w:szCs w:val="32"/>
          <w:shd w:val="clear" w:color="auto" w:fill="FFFFFF"/>
        </w:rPr>
        <w:t>万元。</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四、其他需要说明的事项</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 xml:space="preserve">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4.74</w:t>
      </w:r>
      <w:r>
        <w:rPr>
          <w:rFonts w:hint="default" w:ascii="Times New Roman" w:hAnsi="Times New Roman" w:eastAsia="方正仿宋_GBK"/>
          <w:sz w:val="32"/>
          <w:szCs w:val="32"/>
          <w:shd w:val="clear" w:color="auto" w:fill="FFFFFF"/>
        </w:rPr>
        <w:t>万元，与2023年度相比，增加1.14万元，增长31.7%，主要原因是今年会议较去年增多，相关工作的会议费用增加。本年度培训费支出</w:t>
      </w:r>
      <w:r>
        <w:rPr>
          <w:rFonts w:hint="default" w:ascii="Times New Roman" w:hAnsi="Times New Roman" w:eastAsia="方正仿宋_GBK"/>
          <w:sz w:val="32"/>
          <w:szCs w:val="32"/>
        </w:rPr>
        <w:t>95.38</w:t>
      </w:r>
      <w:r>
        <w:rPr>
          <w:rFonts w:hint="default" w:ascii="Times New Roman" w:hAnsi="Times New Roman" w:eastAsia="方正仿宋_GBK"/>
          <w:sz w:val="32"/>
          <w:szCs w:val="32"/>
          <w:shd w:val="clear" w:color="auto" w:fill="FFFFFF"/>
        </w:rPr>
        <w:t>万元，与2023年度相比，减少79.05万元，下降45.3%，主要原因是</w:t>
      </w:r>
      <w:r>
        <w:rPr>
          <w:rFonts w:ascii="Times New Roman" w:hAnsi="Times New Roman" w:eastAsia="方正仿宋_GBK"/>
          <w:sz w:val="32"/>
          <w:szCs w:val="32"/>
          <w:shd w:val="clear" w:color="auto" w:fill="FFFFFF"/>
        </w:rPr>
        <w:t>培训减少</w:t>
      </w:r>
      <w:r>
        <w:rPr>
          <w:rFonts w:hint="default" w:ascii="Times New Roman" w:hAnsi="Times New Roman" w:eastAsia="方正仿宋_GBK"/>
          <w:sz w:val="32"/>
          <w:szCs w:val="32"/>
          <w:shd w:val="clear" w:color="auto" w:fill="FFFFFF"/>
        </w:rPr>
        <w:t>。</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123.82</w:t>
      </w:r>
      <w:r>
        <w:rPr>
          <w:rFonts w:hint="default" w:ascii="Times New Roman" w:hAnsi="Times New Roman" w:eastAsia="方正仿宋_GBK"/>
          <w:sz w:val="32"/>
          <w:szCs w:val="32"/>
          <w:shd w:val="clear" w:color="auto" w:fill="FFFFFF"/>
        </w:rPr>
        <w:t>万元，机关运行经费主要用于开支办公费、水电费、电话网络费、差旅费、维修维护费、培训费、公务接待费、其他交通费用、办公设备购置费等。机关运行经费较上年支出数减少21.65万元，下降14.9%，主要原因是</w:t>
      </w:r>
      <w:r>
        <w:rPr>
          <w:rFonts w:ascii="Times New Roman" w:hAnsi="Times New Roman" w:eastAsia="方正仿宋_GBK"/>
          <w:sz w:val="32"/>
          <w:szCs w:val="32"/>
          <w:shd w:val="clear" w:color="auto" w:fill="FFFFFF"/>
        </w:rPr>
        <w:t>厉行节约，支出减少</w:t>
      </w:r>
      <w:r>
        <w:rPr>
          <w:rFonts w:hint="default" w:ascii="Times New Roman" w:hAnsi="Times New Roman" w:eastAsia="方正仿宋_GBK"/>
          <w:sz w:val="32"/>
          <w:szCs w:val="32"/>
          <w:shd w:val="clear" w:color="auto" w:fill="FFFFFF"/>
        </w:rPr>
        <w:t>。</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政府采购支出总额0.00万元，其中：政府采购货物支出0.00万元、政府采购工程支出0.00万元、政府采购服务支出0.00万元。授予中小企业合同金额0.00万元，占政府采购支出总额的0.0%，其中：授予小微企业合同金额0.00万元，占政府采购支出总额的0.0 %。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五、2024年度预算绩效管理情况说明</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（一）单位自评情况</w:t>
      </w:r>
    </w:p>
    <w:p>
      <w:pPr>
        <w:pStyle w:val="12"/>
        <w:autoSpaceDE w:val="0"/>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根据预算绩效管理要求，我校对5个二级项目开展了绩效自评，涉及财政拨款项目支出资金</w:t>
      </w:r>
      <w:r>
        <w:rPr>
          <w:rFonts w:hint="eastAsia" w:ascii="Times New Roman" w:hAnsi="Times New Roman" w:eastAsia="方正仿宋_GBK"/>
          <w:sz w:val="32"/>
          <w:szCs w:val="32"/>
          <w:shd w:val="clear" w:color="auto" w:fill="FFFFFF"/>
        </w:rPr>
        <w:t>183.01</w:t>
      </w:r>
      <w:r>
        <w:rPr>
          <w:rFonts w:ascii="Times New Roman" w:hAnsi="Times New Roman" w:eastAsia="方正仿宋_GBK"/>
          <w:sz w:val="32"/>
          <w:szCs w:val="32"/>
          <w:shd w:val="clear" w:color="auto" w:fill="FFFFFF"/>
        </w:rPr>
        <w:t>万元。</w:t>
      </w:r>
    </w:p>
    <w:p>
      <w:pPr>
        <w:pStyle w:val="12"/>
        <w:spacing w:before="0" w:beforeAutospacing="0" w:after="0" w:afterAutospacing="0" w:line="594" w:lineRule="exact"/>
        <w:ind w:firstLine="643" w:firstLineChars="200"/>
        <w:rPr>
          <w:rFonts w:ascii="Times New Roman" w:hAnsi="Times New Roman" w:eastAsia="楷体"/>
          <w:b/>
          <w:bCs/>
          <w:sz w:val="32"/>
          <w:szCs w:val="32"/>
          <w:shd w:val="clear" w:color="auto" w:fill="FFFFFF"/>
        </w:rPr>
      </w:pPr>
      <w:r>
        <w:rPr>
          <w:rFonts w:ascii="Times New Roman" w:hAnsi="Times New Roman" w:eastAsia="方正仿宋_GBK"/>
          <w:b/>
          <w:bCs/>
          <w:sz w:val="32"/>
          <w:szCs w:val="32"/>
          <w:shd w:val="clear" w:color="auto" w:fill="FFFFFF"/>
        </w:rPr>
        <w:t>项目支出绩效自评表</w:t>
      </w:r>
    </w:p>
    <w:p>
      <w:pPr>
        <w:pStyle w:val="12"/>
        <w:autoSpaceDE w:val="0"/>
        <w:spacing w:before="0" w:beforeAutospacing="0" w:after="0" w:afterAutospacing="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drawing>
          <wp:inline distT="0" distB="0" distL="114300" distR="114300">
            <wp:extent cx="5720715" cy="3542665"/>
            <wp:effectExtent l="0" t="0" r="0" b="0"/>
            <wp:docPr id="13" name="图片 13" descr="遗属补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遗属补助"/>
                    <pic:cNvPicPr>
                      <a:picLocks noChangeAspect="1"/>
                    </pic:cNvPicPr>
                  </pic:nvPicPr>
                  <pic:blipFill>
                    <a:blip r:embed="rId7"/>
                    <a:srcRect b="5505"/>
                    <a:stretch>
                      <a:fillRect/>
                    </a:stretch>
                  </pic:blipFill>
                  <pic:spPr>
                    <a:xfrm>
                      <a:off x="0" y="0"/>
                      <a:ext cx="5720715" cy="3542665"/>
                    </a:xfrm>
                    <a:prstGeom prst="rect">
                      <a:avLst/>
                    </a:prstGeom>
                  </pic:spPr>
                </pic:pic>
              </a:graphicData>
            </a:graphic>
          </wp:inline>
        </w:drawing>
      </w:r>
    </w:p>
    <w:p>
      <w:pPr>
        <w:pStyle w:val="12"/>
        <w:autoSpaceDE w:val="0"/>
        <w:spacing w:before="0" w:beforeAutospacing="0" w:after="0" w:afterAutospacing="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drawing>
          <wp:inline distT="0" distB="0" distL="114300" distR="114300">
            <wp:extent cx="5725160" cy="3294380"/>
            <wp:effectExtent l="0" t="0" r="8890" b="1270"/>
            <wp:docPr id="14" name="图片 14" descr="退休人员管理经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退休人员管理经费"/>
                    <pic:cNvPicPr>
                      <a:picLocks noChangeAspect="1"/>
                    </pic:cNvPicPr>
                  </pic:nvPicPr>
                  <pic:blipFill>
                    <a:blip r:embed="rId8"/>
                    <a:stretch>
                      <a:fillRect/>
                    </a:stretch>
                  </pic:blipFill>
                  <pic:spPr>
                    <a:xfrm>
                      <a:off x="0" y="0"/>
                      <a:ext cx="5725160" cy="3294380"/>
                    </a:xfrm>
                    <a:prstGeom prst="rect">
                      <a:avLst/>
                    </a:prstGeom>
                  </pic:spPr>
                </pic:pic>
              </a:graphicData>
            </a:graphic>
          </wp:inline>
        </w:drawing>
      </w:r>
    </w:p>
    <w:p>
      <w:pPr>
        <w:pStyle w:val="12"/>
        <w:autoSpaceDE w:val="0"/>
        <w:spacing w:before="0" w:beforeAutospacing="0" w:after="0" w:afterAutospacing="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drawing>
          <wp:inline distT="0" distB="0" distL="114300" distR="114300">
            <wp:extent cx="5725160" cy="3517900"/>
            <wp:effectExtent l="0" t="0" r="8890" b="6350"/>
            <wp:docPr id="15" name="图片 15" descr="购买服务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购买服务人员"/>
                    <pic:cNvPicPr>
                      <a:picLocks noChangeAspect="1"/>
                    </pic:cNvPicPr>
                  </pic:nvPicPr>
                  <pic:blipFill>
                    <a:blip r:embed="rId9"/>
                    <a:stretch>
                      <a:fillRect/>
                    </a:stretch>
                  </pic:blipFill>
                  <pic:spPr>
                    <a:xfrm>
                      <a:off x="0" y="0"/>
                      <a:ext cx="5725160" cy="3517900"/>
                    </a:xfrm>
                    <a:prstGeom prst="rect">
                      <a:avLst/>
                    </a:prstGeom>
                  </pic:spPr>
                </pic:pic>
              </a:graphicData>
            </a:graphic>
          </wp:inline>
        </w:drawing>
      </w:r>
    </w:p>
    <w:p>
      <w:pPr>
        <w:pStyle w:val="12"/>
        <w:autoSpaceDE w:val="0"/>
        <w:spacing w:before="0" w:beforeAutospacing="0" w:after="0" w:afterAutospacing="0"/>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drawing>
          <wp:inline distT="0" distB="0" distL="114300" distR="114300">
            <wp:extent cx="5724525" cy="3303270"/>
            <wp:effectExtent l="0" t="0" r="9525" b="11430"/>
            <wp:docPr id="16" name="图片 16" descr="干教经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干教经费"/>
                    <pic:cNvPicPr>
                      <a:picLocks noChangeAspect="1"/>
                    </pic:cNvPicPr>
                  </pic:nvPicPr>
                  <pic:blipFill>
                    <a:blip r:embed="rId10"/>
                    <a:stretch>
                      <a:fillRect/>
                    </a:stretch>
                  </pic:blipFill>
                  <pic:spPr>
                    <a:xfrm>
                      <a:off x="0" y="0"/>
                      <a:ext cx="5724525" cy="3303270"/>
                    </a:xfrm>
                    <a:prstGeom prst="rect">
                      <a:avLst/>
                    </a:prstGeom>
                  </pic:spPr>
                </pic:pic>
              </a:graphicData>
            </a:graphic>
          </wp:inline>
        </w:drawing>
      </w:r>
    </w:p>
    <w:p>
      <w:pPr>
        <w:pStyle w:val="6"/>
        <w:shd w:val="clear" w:color="auto" w:fill="FFFFFF"/>
        <w:spacing w:before="0" w:beforeAutospacing="0" w:after="0" w:afterAutospacing="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drawing>
          <wp:inline distT="0" distB="0" distL="114300" distR="114300">
            <wp:extent cx="5725160" cy="3745230"/>
            <wp:effectExtent l="0" t="0" r="8890" b="7620"/>
            <wp:docPr id="17" name="图片 17" descr="办学经费追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办学经费追加"/>
                    <pic:cNvPicPr>
                      <a:picLocks noChangeAspect="1"/>
                    </pic:cNvPicPr>
                  </pic:nvPicPr>
                  <pic:blipFill>
                    <a:blip r:embed="rId11"/>
                    <a:stretch>
                      <a:fillRect/>
                    </a:stretch>
                  </pic:blipFill>
                  <pic:spPr>
                    <a:xfrm>
                      <a:off x="0" y="0"/>
                      <a:ext cx="5725160" cy="3745230"/>
                    </a:xfrm>
                    <a:prstGeom prst="rect">
                      <a:avLst/>
                    </a:prstGeom>
                  </pic:spPr>
                </pic:pic>
              </a:graphicData>
            </a:graphic>
          </wp:inline>
        </w:drawing>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（二）部门绩效评价情况</w:t>
      </w:r>
    </w:p>
    <w:p>
      <w:pPr>
        <w:pStyle w:val="16"/>
        <w:autoSpaceDE w:val="0"/>
        <w:spacing w:line="594"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bidi="ar"/>
        </w:rPr>
        <w:t>我单位未组织开展绩效评价。</w:t>
      </w:r>
    </w:p>
    <w:p>
      <w:pPr>
        <w:pStyle w:val="6"/>
        <w:shd w:val="clear" w:color="auto" w:fill="FFFFFF"/>
        <w:spacing w:before="0" w:beforeAutospacing="0" w:after="0" w:afterAutospacing="0" w:line="594" w:lineRule="exact"/>
        <w:ind w:firstLine="420"/>
        <w:rPr>
          <w:rStyle w:val="10"/>
          <w:rFonts w:hint="default" w:ascii="Times New Roman" w:hAnsi="Times New Roman" w:eastAsia="方正楷体_GBK"/>
          <w:b w:val="0"/>
          <w:bCs/>
          <w:sz w:val="32"/>
          <w:szCs w:val="32"/>
          <w:shd w:val="clear" w:color="auto" w:fill="FFFFFF"/>
        </w:rPr>
      </w:pPr>
      <w:r>
        <w:rPr>
          <w:rStyle w:val="10"/>
          <w:rFonts w:hint="default" w:ascii="Times New Roman" w:hAnsi="Times New Roman" w:eastAsia="方正楷体_GBK"/>
          <w:b w:val="0"/>
          <w:bCs/>
          <w:sz w:val="32"/>
          <w:szCs w:val="32"/>
          <w:shd w:val="clear" w:color="auto" w:fill="FFFFFF"/>
        </w:rPr>
        <w:t>（三）财政绩效评价情况</w:t>
      </w:r>
    </w:p>
    <w:p>
      <w:pPr>
        <w:pStyle w:val="16"/>
        <w:autoSpaceDE w:val="0"/>
        <w:spacing w:line="594"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lang w:bidi="ar"/>
        </w:rPr>
        <w:t>县财政局未委托第三方对我单位开展绩效评价。</w:t>
      </w:r>
    </w:p>
    <w:p>
      <w:pPr>
        <w:pStyle w:val="12"/>
        <w:autoSpaceDE w:val="0"/>
        <w:spacing w:before="0" w:beforeAutospacing="0" w:after="0" w:afterAutospacing="0" w:line="594" w:lineRule="exact"/>
        <w:rPr>
          <w:rFonts w:ascii="Times New Roman" w:hAnsi="Times New Roman" w:eastAsia="方正仿宋_GBK"/>
          <w:sz w:val="32"/>
          <w:szCs w:val="32"/>
        </w:rPr>
      </w:pPr>
      <w:r>
        <w:rPr>
          <w:rStyle w:val="13"/>
          <w:rFonts w:ascii="Times New Roman" w:hAnsi="Times New Roman" w:eastAsia="方正仿宋_GBK" w:cs="Times New Roman"/>
          <w:sz w:val="32"/>
          <w:szCs w:val="32"/>
          <w:shd w:val="clear" w:color="auto" w:fill="FFFFFF"/>
        </w:rPr>
        <w:t xml:space="preserve">   </w:t>
      </w:r>
      <w:r>
        <w:rPr>
          <w:rStyle w:val="10"/>
          <w:rFonts w:ascii="Times New Roman" w:hAnsi="Times New Roman" w:eastAsia="黑体"/>
          <w:sz w:val="32"/>
          <w:szCs w:val="32"/>
          <w:shd w:val="clear" w:color="auto" w:fill="FFFFFF"/>
        </w:rPr>
        <w:t xml:space="preserve"> </w:t>
      </w:r>
      <w:r>
        <w:rPr>
          <w:rStyle w:val="10"/>
          <w:rFonts w:ascii="Times New Roman" w:hAnsi="Times New Roman" w:eastAsia="方正黑体_GBK"/>
          <w:b w:val="0"/>
          <w:bCs/>
          <w:sz w:val="32"/>
          <w:szCs w:val="32"/>
          <w:shd w:val="clear" w:color="auto" w:fill="FFFFFF"/>
        </w:rPr>
        <w:t>六、专业名词解释</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（十二）</w:t>
      </w:r>
      <w:r>
        <w:rPr>
          <w:rStyle w:val="10"/>
          <w:rFonts w:hint="eastAsia" w:ascii="Times New Roman" w:hAnsi="Times New Roman" w:eastAsia="方正楷体_GBK"/>
          <w:b w:val="0"/>
          <w:bCs/>
          <w:sz w:val="32"/>
          <w:szCs w:val="32"/>
          <w:shd w:val="clear" w:color="auto" w:fill="FFFFFF"/>
          <w:lang w:eastAsia="zh-CN"/>
        </w:rPr>
        <w:t>三公</w:t>
      </w:r>
      <w:r>
        <w:rPr>
          <w:rStyle w:val="10"/>
          <w:rFonts w:ascii="Times New Roman" w:hAnsi="Times New Roman" w:eastAsia="方正楷体_GBK"/>
          <w:b w:val="0"/>
          <w:bCs/>
          <w:sz w:val="32"/>
          <w:szCs w:val="32"/>
          <w:shd w:val="clear" w:color="auto" w:fill="FFFFFF"/>
        </w:rPr>
        <w:t>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Style w:val="10"/>
          <w:rFonts w:ascii="Times New Roman" w:hAnsi="Times New Roman" w:eastAsia="方正楷体_GBK"/>
          <w:b w:val="0"/>
          <w:bCs/>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94" w:lineRule="exact"/>
        <w:ind w:firstLine="640" w:firstLineChars="200"/>
        <w:rPr>
          <w:rStyle w:val="10"/>
          <w:rFonts w:hint="default" w:ascii="Times New Roman" w:hAnsi="Times New Roman" w:eastAsia="方正黑体_GBK"/>
          <w:b w:val="0"/>
          <w:bCs/>
          <w:sz w:val="32"/>
          <w:szCs w:val="32"/>
          <w:shd w:val="clear" w:color="auto" w:fill="FFFFFF"/>
        </w:rPr>
      </w:pPr>
      <w:r>
        <w:rPr>
          <w:rStyle w:val="10"/>
          <w:rFonts w:hint="default" w:ascii="Times New Roman" w:hAnsi="Times New Roman" w:eastAsia="方正黑体_GBK"/>
          <w:b w:val="0"/>
          <w:bCs/>
          <w:sz w:val="32"/>
          <w:szCs w:val="32"/>
          <w:shd w:val="clear" w:color="auto" w:fill="FFFFFF"/>
        </w:rPr>
        <w:t>七、决算公开联系方式及信息反馈渠道</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2"/>
        <w:spacing w:before="0" w:beforeAutospacing="0" w:after="0" w:afterAutospacing="0"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张老师   023-74616090</w:t>
      </w:r>
    </w:p>
    <w:p>
      <w:pPr>
        <w:pStyle w:val="11"/>
        <w:autoSpaceDE w:val="0"/>
        <w:spacing w:line="594" w:lineRule="exact"/>
        <w:ind w:firstLine="643"/>
        <w:jc w:val="both"/>
        <w:rPr>
          <w:rStyle w:val="10"/>
          <w:rFonts w:ascii="Times New Roman" w:hAnsi="Times New Roman" w:eastAsia="方正仿宋_GBK"/>
          <w:sz w:val="32"/>
          <w:szCs w:val="32"/>
          <w:shd w:val="clear" w:color="auto" w:fill="FFFF00"/>
        </w:rPr>
        <w:sectPr>
          <w:footerReference r:id="rId3" w:type="default"/>
          <w:pgSz w:w="11915" w:h="16840"/>
          <w:pgMar w:top="1985"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中国共产党垫江县委党校（本级）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1,095.63</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780.82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1,095.63</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1,095.86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1,095.86</w:t>
            </w:r>
            <w:r>
              <w:rPr>
                <w:rFonts w:hint="default"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1,095.86</w:t>
            </w:r>
            <w:r>
              <w:rPr>
                <w:rFonts w:hint="default" w:ascii="Times New Roman" w:hAnsi="Times New Roman"/>
                <w:color w:val="000000"/>
                <w:sz w:val="20"/>
              </w:rPr>
              <w:t xml:space="preserve"> </w:t>
            </w:r>
          </w:p>
        </w:tc>
      </w:tr>
    </w:tbl>
    <w:p>
      <w:pPr>
        <w:spacing w:line="594" w:lineRule="exact"/>
        <w:rPr>
          <w:rFonts w:hint="default" w:ascii="Times New Roman" w:hAnsi="Times New Roman"/>
          <w:sz w:val="21"/>
          <w:szCs w:val="21"/>
        </w:rPr>
      </w:pPr>
    </w:p>
    <w:p>
      <w:pPr>
        <w:spacing w:line="594"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中国共产党垫江县委党校（本级）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59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1,095.63</w:t>
            </w:r>
            <w:r>
              <w:rPr>
                <w:rFonts w:hint="default"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1,095.63</w:t>
            </w:r>
            <w:r>
              <w:rPr>
                <w:rFonts w:hint="default"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780.58</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780.58</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780.58</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780.58</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干部教育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778.15</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778.15</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203.76</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203.76</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spacing w:line="594" w:lineRule="exact"/>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spacing w:line="594" w:lineRule="exact"/>
        <w:rPr>
          <w:rFonts w:hint="default" w:ascii="Times New Roman" w:hAnsi="Times New Roman"/>
          <w:sz w:val="20"/>
          <w:szCs w:val="20"/>
        </w:rPr>
      </w:pPr>
      <w:r>
        <w:rPr>
          <w:rFonts w:hint="default" w:ascii="Times New Roman" w:hAnsi="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中国共产党垫江县委党校（本级）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594"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1,095.86</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909.85</w:t>
            </w:r>
            <w:r>
              <w:rPr>
                <w:rFonts w:hint="default"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186.01</w:t>
            </w:r>
            <w:r>
              <w:rPr>
                <w:rFonts w:hint="default"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780.82</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621.49</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159.33</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780.82</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621.49</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159.33</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干部教育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778.38</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619.05</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159.33</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203.76</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spacing w:line="594" w:lineRule="exact"/>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spacing w:line="594" w:lineRule="exact"/>
        <w:rPr>
          <w:rFonts w:hint="default" w:ascii="Times New Roman" w:hAnsi="Times New Roman"/>
          <w:sz w:val="21"/>
          <w:szCs w:val="21"/>
        </w:rPr>
      </w:pPr>
      <w:r>
        <w:rPr>
          <w:rFonts w:hint="default" w:ascii="Times New Roman" w:hAnsi="Times New Roman"/>
          <w:sz w:val="21"/>
          <w:szCs w:val="21"/>
        </w:rPr>
        <w:br w:type="page"/>
      </w:r>
    </w:p>
    <w:p>
      <w:pPr>
        <w:spacing w:line="594" w:lineRule="exact"/>
        <w:rPr>
          <w:rFonts w:hint="default" w:ascii="Times New Roman" w:hAnsi="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中国共产党垫江县委党校（本级）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1,095.63</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26.57</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780.82</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30.19</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54.53</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1,095.63</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1,095.86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1,095.86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1,095.86</w:t>
            </w:r>
            <w:r>
              <w:rPr>
                <w:rFonts w:hint="default"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1,095.86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1,095.86</w:t>
            </w:r>
            <w:r>
              <w:rPr>
                <w:rFonts w:hint="default"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594"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中国共产党垫江县委党校（本级）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594"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594"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1,095.86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909.85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186.01</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621.49</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159.33</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780.82</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621.49</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159.33</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干部教育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778.38</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619.05</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159.33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203.76</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91.11</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45.76</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66.77</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30.19</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18.66</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54.53</w:t>
            </w:r>
            <w:r>
              <w:rPr>
                <w:rFonts w:hint="default"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hint="default"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spacing w:line="594" w:lineRule="exact"/>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spacing w:line="594" w:lineRule="exact"/>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中国共产党垫江县委党校（本级）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594"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594"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719.25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232.67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45.76</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57.13</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19.37</w:t>
            </w: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786.03</w:t>
            </w:r>
            <w:r>
              <w:rPr>
                <w:rFonts w:hint="default"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123.82</w:t>
            </w:r>
            <w:r>
              <w:rPr>
                <w:rFonts w:hint="default" w:ascii="Times New Roman" w:hAnsi="Times New Roman"/>
                <w:color w:val="000000"/>
                <w:sz w:val="18"/>
              </w:rPr>
              <w:t xml:space="preserve"> </w:t>
            </w:r>
          </w:p>
        </w:tc>
      </w:tr>
    </w:tbl>
    <w:p>
      <w:pPr>
        <w:spacing w:line="594"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中国共产党垫江县委党校（本级）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594"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both"/>
              <w:textAlignment w:val="center"/>
              <w:rPr>
                <w:rFonts w:hint="default" w:ascii="Times New Roman" w:hAnsi="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both"/>
              <w:textAlignment w:val="center"/>
              <w:rPr>
                <w:rFonts w:hint="default" w:ascii="Times New Roman" w:hAnsi="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spacing w:line="594" w:lineRule="exact"/>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spacing w:line="594" w:lineRule="exact"/>
        <w:rPr>
          <w:rFonts w:hint="default" w:ascii="Times New Roman" w:hAnsi="Times New Roman"/>
          <w:sz w:val="21"/>
          <w:szCs w:val="21"/>
        </w:rPr>
      </w:pPr>
      <w:r>
        <w:rPr>
          <w:rFonts w:hint="default" w:ascii="Times New Roman" w:hAnsi="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中国共产党垫江县委党校（本级）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594"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594"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94"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594"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pacing w:line="594" w:lineRule="exact"/>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spacing w:line="594" w:lineRule="exact"/>
        <w:rPr>
          <w:rFonts w:hint="default" w:ascii="Times New Roman" w:hAnsi="Times New Roman"/>
          <w:sz w:val="21"/>
          <w:szCs w:val="21"/>
        </w:rPr>
      </w:pPr>
      <w:r>
        <w:rPr>
          <w:rFonts w:hint="default" w:ascii="Times New Roman" w:hAnsi="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594"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594" w:lineRule="exact"/>
              <w:rPr>
                <w:rFonts w:hint="default" w:ascii="Times New Roman" w:hAnsi="Times New Roman"/>
                <w:color w:val="000000"/>
                <w:kern w:val="2"/>
                <w:sz w:val="20"/>
                <w:szCs w:val="20"/>
              </w:rPr>
            </w:pPr>
          </w:p>
        </w:tc>
        <w:tc>
          <w:tcPr>
            <w:tcW w:w="854" w:type="pct"/>
            <w:shd w:val="clear" w:color="auto" w:fill="auto"/>
            <w:noWrap/>
            <w:tcMar>
              <w:top w:w="15" w:type="dxa"/>
              <w:left w:w="15" w:type="dxa"/>
              <w:right w:w="15" w:type="dxa"/>
            </w:tcMar>
            <w:vAlign w:val="bottom"/>
          </w:tcPr>
          <w:p>
            <w:pPr>
              <w:spacing w:line="594" w:lineRule="exact"/>
              <w:jc w:val="center"/>
              <w:rPr>
                <w:rFonts w:hint="default" w:ascii="Times New Roman" w:hAnsi="Times New Roman"/>
                <w:color w:val="000000"/>
                <w:kern w:val="2"/>
                <w:sz w:val="20"/>
                <w:szCs w:val="20"/>
              </w:rPr>
            </w:pPr>
          </w:p>
        </w:tc>
        <w:tc>
          <w:tcPr>
            <w:tcW w:w="840" w:type="pct"/>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kern w:val="2"/>
                <w:sz w:val="20"/>
                <w:szCs w:val="20"/>
              </w:rPr>
            </w:pPr>
          </w:p>
        </w:tc>
        <w:tc>
          <w:tcPr>
            <w:tcW w:w="1299" w:type="pct"/>
            <w:shd w:val="clear" w:color="auto" w:fill="auto"/>
            <w:noWrap/>
            <w:tcMar>
              <w:top w:w="15" w:type="dxa"/>
              <w:left w:w="15" w:type="dxa"/>
              <w:right w:w="15" w:type="dxa"/>
            </w:tcMar>
            <w:vAlign w:val="bottom"/>
          </w:tcPr>
          <w:p>
            <w:pPr>
              <w:spacing w:line="594" w:lineRule="exact"/>
              <w:rPr>
                <w:rFonts w:hint="default" w:ascii="Times New Roman" w:hAnsi="Times New Roman"/>
                <w:color w:val="000000"/>
                <w:kern w:val="2"/>
                <w:sz w:val="20"/>
                <w:szCs w:val="20"/>
              </w:rPr>
            </w:pPr>
          </w:p>
        </w:tc>
        <w:tc>
          <w:tcPr>
            <w:tcW w:w="879" w:type="pct"/>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中国共产党垫江县委党校（本级）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594" w:lineRule="exact"/>
              <w:rPr>
                <w:rFonts w:hint="default" w:ascii="Times New Roman" w:hAnsi="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594"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123.82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4.55</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4.55</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123.82</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2.55</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hint="default"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208</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4.74</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95.38</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14.84</w:t>
            </w:r>
            <w:r>
              <w:rPr>
                <w:rFonts w:hint="default"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594" w:lineRule="exact"/>
              <w:rPr>
                <w:rFonts w:hint="default" w:ascii="Times New Roman" w:hAnsi="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594" w:lineRule="exact"/>
              <w:jc w:val="right"/>
              <w:rPr>
                <w:rFonts w:hint="default" w:ascii="Times New Roman" w:hAnsi="Times New Roman"/>
                <w:color w:val="000000"/>
                <w:sz w:val="16"/>
                <w:szCs w:val="16"/>
              </w:rPr>
            </w:pPr>
          </w:p>
        </w:tc>
      </w:tr>
    </w:tbl>
    <w:p>
      <w:pPr>
        <w:spacing w:line="594" w:lineRule="exact"/>
        <w:rPr>
          <w:rFonts w:hint="default" w:ascii="Times New Roman" w:hAnsi="Times New Roman"/>
          <w:sz w:val="18"/>
          <w:szCs w:val="18"/>
        </w:rPr>
      </w:pPr>
      <w:r>
        <w:rPr>
          <w:rFonts w:hint="default" w:ascii="Times New Roman" w:hAnsi="Times New Roman"/>
          <w:sz w:val="18"/>
          <w:szCs w:val="18"/>
        </w:rPr>
        <w:t>备注：1.本表反映单位本年度财政拨款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7955"/>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center;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OfXEs37AQAAAgQAAA4AAAAAAAAAAQAgAAAAIQEAAGRycy9lMm9Eb2MueG1s&#10;UEsFBgAAAAAGAAYAWQEAAI4FAAAAAA==&#10;">
              <v:fill on="f" focussize="0,0"/>
              <v:stroke on="f"/>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10"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UOo8tEAAAADAQAADwAAAAAAAAABACAAAAAiAAAAZHJzL2Rvd25yZXYueG1sUEsBAhQA&#10;FAAAAAgAh07iQHW1/Vn5AQAAAgQAAA4AAAAAAAAAAQAgAAAAIAEAAGRycy9lMm9Eb2MueG1sUEsF&#10;BgAAAAAGAAYAWQEAAIsFA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l+hQ1gAAAAkBAAAPAAAAAAAAAAEAIAAAACIAAABkcnMvZG93bnJldi54&#10;bWxQSwECFAAUAAAACACHTuJAx8XomvwBAAABBAAADgAAAAAAAAABACAAAAAlAQAAZHJzL2Uyb0Rv&#10;Yy54bWxQSwUGAAAAAAYABgBZAQAAkwU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03478F"/>
    <w:rsid w:val="00084928"/>
    <w:rsid w:val="000A248B"/>
    <w:rsid w:val="000F7BAB"/>
    <w:rsid w:val="0013427F"/>
    <w:rsid w:val="001D3BB7"/>
    <w:rsid w:val="00276E4C"/>
    <w:rsid w:val="002B254B"/>
    <w:rsid w:val="0034050A"/>
    <w:rsid w:val="0044504F"/>
    <w:rsid w:val="00466C9B"/>
    <w:rsid w:val="00486CFC"/>
    <w:rsid w:val="00491DDD"/>
    <w:rsid w:val="00550ABE"/>
    <w:rsid w:val="00596D09"/>
    <w:rsid w:val="00623A85"/>
    <w:rsid w:val="00662A9A"/>
    <w:rsid w:val="00664C88"/>
    <w:rsid w:val="00770383"/>
    <w:rsid w:val="007819D4"/>
    <w:rsid w:val="007A3FC6"/>
    <w:rsid w:val="007B419D"/>
    <w:rsid w:val="007B7C4B"/>
    <w:rsid w:val="007D3D39"/>
    <w:rsid w:val="007F3B1A"/>
    <w:rsid w:val="008D64B5"/>
    <w:rsid w:val="008F2BED"/>
    <w:rsid w:val="00900428"/>
    <w:rsid w:val="00906093"/>
    <w:rsid w:val="00984C6A"/>
    <w:rsid w:val="00994AF7"/>
    <w:rsid w:val="009B67B8"/>
    <w:rsid w:val="009C14C9"/>
    <w:rsid w:val="009D2B67"/>
    <w:rsid w:val="009E1452"/>
    <w:rsid w:val="00A31FBF"/>
    <w:rsid w:val="00A566F9"/>
    <w:rsid w:val="00AF2751"/>
    <w:rsid w:val="00B03CCD"/>
    <w:rsid w:val="00BE2B89"/>
    <w:rsid w:val="00BE7F8D"/>
    <w:rsid w:val="00BF0D89"/>
    <w:rsid w:val="00C10A0F"/>
    <w:rsid w:val="00C10E9E"/>
    <w:rsid w:val="00C20C3E"/>
    <w:rsid w:val="00C355A8"/>
    <w:rsid w:val="00C5163E"/>
    <w:rsid w:val="00CF2ACF"/>
    <w:rsid w:val="00D03AAF"/>
    <w:rsid w:val="00D37026"/>
    <w:rsid w:val="00DB46C2"/>
    <w:rsid w:val="00DD0539"/>
    <w:rsid w:val="00DF0BDD"/>
    <w:rsid w:val="00E07662"/>
    <w:rsid w:val="00E368E9"/>
    <w:rsid w:val="00E45A8B"/>
    <w:rsid w:val="00EE1E33"/>
    <w:rsid w:val="00F73F90"/>
    <w:rsid w:val="00FB4B3B"/>
    <w:rsid w:val="00FF3C00"/>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7B2EF1"/>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2A6877"/>
    <w:rsid w:val="114278C6"/>
    <w:rsid w:val="1158083A"/>
    <w:rsid w:val="11643A4B"/>
    <w:rsid w:val="11ED0F98"/>
    <w:rsid w:val="11F03528"/>
    <w:rsid w:val="12C921C4"/>
    <w:rsid w:val="13871C70"/>
    <w:rsid w:val="13A71CB4"/>
    <w:rsid w:val="13AF1D43"/>
    <w:rsid w:val="13CE1647"/>
    <w:rsid w:val="13FD55AB"/>
    <w:rsid w:val="14200702"/>
    <w:rsid w:val="14370EA1"/>
    <w:rsid w:val="145D2400"/>
    <w:rsid w:val="163A6CEE"/>
    <w:rsid w:val="173708E3"/>
    <w:rsid w:val="17C374FC"/>
    <w:rsid w:val="1824794E"/>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A185D"/>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7166B5"/>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5C7F3A"/>
    <w:rsid w:val="67924660"/>
    <w:rsid w:val="68407834"/>
    <w:rsid w:val="6883293E"/>
    <w:rsid w:val="688412AD"/>
    <w:rsid w:val="68EB1B71"/>
    <w:rsid w:val="696C0310"/>
    <w:rsid w:val="6A6C7940"/>
    <w:rsid w:val="6A9F1565"/>
    <w:rsid w:val="6AAD2300"/>
    <w:rsid w:val="6AE139CC"/>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EA0971"/>
    <w:rsid w:val="796D60A4"/>
    <w:rsid w:val="79A031D5"/>
    <w:rsid w:val="79B47FDF"/>
    <w:rsid w:val="79E569A9"/>
    <w:rsid w:val="7A1525F7"/>
    <w:rsid w:val="7B420052"/>
    <w:rsid w:val="7BD06A28"/>
    <w:rsid w:val="7C3A7C0B"/>
    <w:rsid w:val="7C5248E4"/>
    <w:rsid w:val="7C566698"/>
    <w:rsid w:val="7C5866A3"/>
    <w:rsid w:val="7D7406BB"/>
    <w:rsid w:val="7DC275FA"/>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8957</Words>
  <Characters>11887</Characters>
  <Lines>106</Lines>
  <Paragraphs>29</Paragraphs>
  <TotalTime>1</TotalTime>
  <ScaleCrop>false</ScaleCrop>
  <LinksUpToDate>false</LinksUpToDate>
  <CharactersWithSpaces>13001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2025-08-18T08:30:00Z</dcterms:created>
  <dc:creator>Administrator</dc:creator>
  <cp:lastModifiedBy>毕欢</cp:lastModifiedBy>
  <dcterms:modified xsi:type="dcterms:W3CDTF">2025-09-19T07:27:36Z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eyJoZGlkIjoiMDg1YTFmYjM4ZmJlOWViZGIwZjBjNzU3Y2IyMTRkMzMiLCJ1c2VySWQiOiI2NTgyNjIyOTMifQ==</vt:lpwstr>
  </property>
</Properties>
</file>