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4" w:lineRule="exact"/>
        <w:jc w:val="center"/>
        <w:rPr>
          <w:rFonts w:hint="default" w:ascii="Times New Roman" w:hAnsi="Times New Roman" w:eastAsia="方正小标宋_GBK"/>
          <w:sz w:val="44"/>
          <w:szCs w:val="44"/>
        </w:rPr>
      </w:pPr>
      <w:r>
        <w:rPr>
          <w:rFonts w:hint="default" w:ascii="Times New Roman" w:hAnsi="Times New Roman" w:eastAsia="方正小标宋_GBK"/>
          <w:sz w:val="44"/>
          <w:szCs w:val="44"/>
        </w:rPr>
        <w:t>中国共产党垫江县委党校</w:t>
      </w:r>
    </w:p>
    <w:p>
      <w:pPr>
        <w:pStyle w:val="6"/>
        <w:spacing w:before="0" w:beforeAutospacing="0" w:after="0" w:afterAutospacing="0" w:line="594" w:lineRule="exact"/>
        <w:jc w:val="center"/>
        <w:rPr>
          <w:rFonts w:hint="default" w:ascii="Times New Roman" w:hAnsi="Times New Roman" w:eastAsia="方正小标宋_GBK"/>
          <w:sz w:val="44"/>
          <w:szCs w:val="44"/>
          <w:shd w:val="clear" w:color="auto" w:fill="FFFFFF"/>
        </w:rPr>
      </w:pPr>
      <w:r>
        <w:rPr>
          <w:rFonts w:hint="default" w:ascii="Times New Roman" w:hAnsi="Times New Roman" w:eastAsia="方正小标宋_GBK"/>
          <w:sz w:val="44"/>
          <w:szCs w:val="44"/>
          <w:shd w:val="clear" w:color="auto" w:fill="FFFFFF"/>
        </w:rPr>
        <w:t>2024年度决算公开说明</w:t>
      </w:r>
    </w:p>
    <w:p>
      <w:pPr>
        <w:pStyle w:val="12"/>
        <w:spacing w:before="0" w:beforeAutospacing="0" w:after="0" w:afterAutospacing="0" w:line="594" w:lineRule="exact"/>
        <w:ind w:firstLine="640" w:firstLineChars="200"/>
        <w:rPr>
          <w:rStyle w:val="10"/>
          <w:rFonts w:ascii="方正黑体_GBK" w:hAnsi="方正黑体_GBK" w:eastAsia="方正黑体_GBK" w:cs="方正黑体_GBK"/>
          <w:b w:val="0"/>
          <w:bCs/>
          <w:sz w:val="32"/>
          <w:szCs w:val="32"/>
          <w:shd w:val="clear" w:color="auto" w:fill="FFFFFF"/>
        </w:rPr>
      </w:pPr>
      <w:r>
        <w:rPr>
          <w:rStyle w:val="10"/>
          <w:rFonts w:ascii="方正黑体_GBK" w:hAnsi="方正黑体_GBK" w:eastAsia="方正黑体_GBK" w:cs="方正黑体_GBK"/>
          <w:b w:val="0"/>
          <w:bCs/>
          <w:sz w:val="32"/>
          <w:szCs w:val="32"/>
          <w:shd w:val="clear" w:color="auto" w:fill="FFFFFF"/>
        </w:rPr>
        <w:t>一、部门基本情况</w:t>
      </w:r>
    </w:p>
    <w:p>
      <w:pPr>
        <w:pStyle w:val="6"/>
        <w:shd w:val="clear" w:color="auto" w:fill="FFFFFF"/>
        <w:spacing w:before="0" w:beforeAutospacing="0" w:after="0" w:afterAutospacing="0" w:line="594" w:lineRule="exact"/>
        <w:ind w:firstLine="420"/>
        <w:rPr>
          <w:rStyle w:val="10"/>
          <w:rFonts w:hint="default" w:ascii="方正楷体_GBK" w:hAnsi="方正楷体_GBK" w:eastAsia="方正楷体_GBK" w:cs="方正楷体_GBK"/>
          <w:b w:val="0"/>
          <w:bCs/>
          <w:sz w:val="32"/>
          <w:szCs w:val="32"/>
          <w:shd w:val="clear" w:color="auto" w:fill="FFFFFF"/>
        </w:rPr>
      </w:pPr>
      <w:r>
        <w:rPr>
          <w:rStyle w:val="10"/>
          <w:rFonts w:ascii="方正楷体_GBK" w:hAnsi="方正楷体_GBK" w:eastAsia="方正楷体_GBK" w:cs="方正楷体_GBK"/>
          <w:b w:val="0"/>
          <w:bCs/>
          <w:sz w:val="32"/>
          <w:szCs w:val="32"/>
          <w:shd w:val="clear" w:color="auto" w:fill="FFFFFF"/>
        </w:rPr>
        <w:t>（一）职能职责</w:t>
      </w:r>
    </w:p>
    <w:p>
      <w:pPr>
        <w:pStyle w:val="12"/>
        <w:autoSpaceDE w:val="0"/>
        <w:adjustRightInd w:val="0"/>
        <w:snapToGrid w:val="0"/>
        <w:spacing w:before="0" w:beforeAutospacing="0" w:after="0" w:afterAutospacing="0" w:line="594"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1.按照《中国共产党党校</w:t>
      </w:r>
      <w:r>
        <w:rPr>
          <w:rFonts w:hint="eastAsia" w:ascii="Times New Roman" w:hAnsi="Times New Roman" w:eastAsia="方正仿宋_GBK"/>
          <w:sz w:val="32"/>
          <w:szCs w:val="32"/>
          <w:shd w:val="clear" w:color="auto" w:fill="FFFFFF"/>
          <w:lang w:eastAsia="zh-CN"/>
        </w:rPr>
        <w:t>（</w:t>
      </w:r>
      <w:r>
        <w:rPr>
          <w:rFonts w:ascii="Times New Roman" w:hAnsi="Times New Roman" w:eastAsia="方正仿宋_GBK"/>
          <w:sz w:val="32"/>
          <w:szCs w:val="32"/>
          <w:shd w:val="clear" w:color="auto" w:fill="FFFFFF"/>
        </w:rPr>
        <w:t>行政学院</w:t>
      </w:r>
      <w:r>
        <w:rPr>
          <w:rFonts w:hint="eastAsia" w:ascii="Times New Roman" w:hAnsi="Times New Roman" w:eastAsia="方正仿宋_GBK"/>
          <w:sz w:val="32"/>
          <w:szCs w:val="32"/>
          <w:shd w:val="clear" w:color="auto" w:fill="FFFFFF"/>
          <w:lang w:eastAsia="zh-CN"/>
        </w:rPr>
        <w:t>）</w:t>
      </w:r>
      <w:r>
        <w:rPr>
          <w:rFonts w:ascii="Times New Roman" w:hAnsi="Times New Roman" w:eastAsia="方正仿宋_GBK"/>
          <w:sz w:val="32"/>
          <w:szCs w:val="32"/>
          <w:shd w:val="clear" w:color="auto" w:fill="FFFFFF"/>
        </w:rPr>
        <w:t>工作条例》《社会主义学院工作条例》规定，培训各级党政领导干部、公务员、国有企事业领导人员、事业单位领导人员、年轻干部、理论宣传骨干、高层次人才、基层干部、党员以及党外代表人士等。</w:t>
      </w:r>
    </w:p>
    <w:p>
      <w:pPr>
        <w:pStyle w:val="12"/>
        <w:autoSpaceDE w:val="0"/>
        <w:adjustRightInd w:val="0"/>
        <w:snapToGrid w:val="0"/>
        <w:spacing w:before="0" w:beforeAutospacing="0" w:after="0" w:afterAutospacing="0" w:line="594"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2.加强马克思主义基本理论研究，重点研究宣传习近平新时代中国特色社会主义思想。</w:t>
      </w:r>
    </w:p>
    <w:p>
      <w:pPr>
        <w:pStyle w:val="12"/>
        <w:autoSpaceDE w:val="0"/>
        <w:adjustRightInd w:val="0"/>
        <w:snapToGrid w:val="0"/>
        <w:spacing w:before="0" w:beforeAutospacing="0" w:after="0" w:afterAutospacing="0" w:line="594"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3.承办县委和县政府以及相关部门举办的专题研讨班。</w:t>
      </w:r>
    </w:p>
    <w:p>
      <w:pPr>
        <w:pStyle w:val="12"/>
        <w:autoSpaceDE w:val="0"/>
        <w:adjustRightInd w:val="0"/>
        <w:snapToGrid w:val="0"/>
        <w:spacing w:before="0" w:beforeAutospacing="0" w:after="0" w:afterAutospacing="0" w:line="594"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4.开展重大理论和现实问题调研，承担县委和县政府决策咨询服务。</w:t>
      </w:r>
    </w:p>
    <w:p>
      <w:pPr>
        <w:pStyle w:val="12"/>
        <w:autoSpaceDE w:val="0"/>
        <w:adjustRightInd w:val="0"/>
        <w:snapToGrid w:val="0"/>
        <w:spacing w:before="0" w:beforeAutospacing="0" w:after="0" w:afterAutospacing="0" w:line="594"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5.开展同县内外有关机构和组织的合作与交流。</w:t>
      </w:r>
    </w:p>
    <w:p>
      <w:pPr>
        <w:pStyle w:val="12"/>
        <w:autoSpaceDE w:val="0"/>
        <w:adjustRightInd w:val="0"/>
        <w:snapToGrid w:val="0"/>
        <w:spacing w:before="0" w:beforeAutospacing="0" w:after="0" w:afterAutospacing="0" w:line="594"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6.参与县委关于党校(垫江行政学校)工作政策以及干部培训计划的制定工作。</w:t>
      </w:r>
    </w:p>
    <w:p>
      <w:pPr>
        <w:pStyle w:val="12"/>
        <w:autoSpaceDE w:val="0"/>
        <w:adjustRightInd w:val="0"/>
        <w:snapToGrid w:val="0"/>
        <w:spacing w:before="0" w:beforeAutospacing="0" w:after="0" w:afterAutospacing="0" w:line="594"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7.按照国家有关规定，开展成人学历教育和其他形式的继续教育、培训工作。</w:t>
      </w:r>
    </w:p>
    <w:p>
      <w:pPr>
        <w:pStyle w:val="6"/>
        <w:shd w:val="clear" w:color="auto" w:fill="FFFFFF"/>
        <w:spacing w:beforeAutospacing="0" w:afterAutospacing="0" w:line="594" w:lineRule="exact"/>
        <w:ind w:firstLine="42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8.完成县委和县政府交办的其他任务。</w:t>
      </w:r>
    </w:p>
    <w:p>
      <w:pPr>
        <w:pStyle w:val="6"/>
        <w:shd w:val="clear" w:color="auto" w:fill="FFFFFF"/>
        <w:spacing w:before="0" w:beforeAutospacing="0" w:after="0" w:afterAutospacing="0" w:line="594" w:lineRule="exact"/>
        <w:ind w:firstLine="420"/>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（二）机构设置</w:t>
      </w:r>
    </w:p>
    <w:p>
      <w:pPr>
        <w:pStyle w:val="6"/>
        <w:shd w:val="clear" w:color="auto" w:fill="FFFFFF"/>
        <w:spacing w:before="0" w:beforeAutospacing="0" w:after="0" w:afterAutospacing="0" w:line="594"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学校现有在职职工32人。设教务科、科研科、学历教育科、招生考试科、党外代表人士培训科、统一战线理论研究室、网络信息中心、办公室、总务科等9个内设机构。</w:t>
      </w:r>
    </w:p>
    <w:p>
      <w:pPr>
        <w:pStyle w:val="12"/>
        <w:spacing w:before="0" w:beforeAutospacing="0" w:after="0" w:afterAutospacing="0" w:line="594" w:lineRule="exact"/>
        <w:ind w:firstLine="640" w:firstLineChars="200"/>
        <w:rPr>
          <w:rStyle w:val="10"/>
          <w:rFonts w:ascii="方正黑体_GBK" w:hAnsi="方正黑体_GBK" w:eastAsia="方正黑体_GBK" w:cs="方正黑体_GBK"/>
          <w:b w:val="0"/>
          <w:bCs/>
          <w:sz w:val="32"/>
          <w:szCs w:val="32"/>
          <w:shd w:val="clear" w:color="auto" w:fill="FFFFFF"/>
        </w:rPr>
      </w:pPr>
      <w:r>
        <w:rPr>
          <w:rStyle w:val="10"/>
          <w:rFonts w:ascii="方正黑体_GBK" w:hAnsi="方正黑体_GBK" w:eastAsia="方正黑体_GBK" w:cs="方正黑体_GBK"/>
          <w:b w:val="0"/>
          <w:bCs/>
          <w:sz w:val="32"/>
          <w:szCs w:val="32"/>
          <w:shd w:val="clear" w:color="auto" w:fill="FFFFFF"/>
        </w:rPr>
        <w:t>二、部门决算收支情况说明</w:t>
      </w:r>
    </w:p>
    <w:p>
      <w:pPr>
        <w:pStyle w:val="6"/>
        <w:shd w:val="clear" w:color="auto" w:fill="FFFFFF"/>
        <w:spacing w:before="0" w:beforeAutospacing="0" w:after="0" w:afterAutospacing="0" w:line="594" w:lineRule="exact"/>
        <w:ind w:firstLine="420"/>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（一）收入支出决算总体情况说明</w:t>
      </w:r>
    </w:p>
    <w:p>
      <w:pPr>
        <w:pStyle w:val="6"/>
        <w:shd w:val="clear" w:color="auto" w:fill="FFFFFF"/>
        <w:spacing w:before="0" w:beforeAutospacing="0" w:after="0" w:afterAutospacing="0" w:line="594" w:lineRule="exact"/>
        <w:ind w:firstLine="643" w:firstLineChars="200"/>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1.总体情况。</w:t>
      </w:r>
      <w:r>
        <w:rPr>
          <w:rFonts w:hint="default" w:ascii="Times New Roman" w:hAnsi="Times New Roman" w:eastAsia="方正仿宋_GBK"/>
          <w:sz w:val="32"/>
          <w:szCs w:val="32"/>
          <w:shd w:val="clear" w:color="auto" w:fill="FFFFFF"/>
        </w:rPr>
        <w:t>2024年度收入总计1095.86万元，支出总计</w:t>
      </w:r>
      <w:r>
        <w:rPr>
          <w:rFonts w:hint="default" w:ascii="Times New Roman" w:hAnsi="Times New Roman" w:eastAsia="方正仿宋_GBK"/>
          <w:sz w:val="32"/>
          <w:szCs w:val="32"/>
        </w:rPr>
        <w:t>1095.86</w:t>
      </w:r>
      <w:r>
        <w:rPr>
          <w:rFonts w:hint="default" w:ascii="Times New Roman" w:hAnsi="Times New Roman" w:eastAsia="方正仿宋_GBK"/>
          <w:sz w:val="32"/>
          <w:szCs w:val="32"/>
          <w:shd w:val="clear" w:color="auto" w:fill="FFFFFF"/>
        </w:rPr>
        <w:t>万元。收、支与2023年度相比，减少178.22万元，下降14.0%，主要原因是项目</w:t>
      </w:r>
      <w:r>
        <w:rPr>
          <w:rFonts w:ascii="Times New Roman" w:hAnsi="Times New Roman" w:eastAsia="方正仿宋_GBK"/>
          <w:sz w:val="32"/>
          <w:szCs w:val="32"/>
          <w:shd w:val="clear" w:color="auto" w:fill="FFFFFF"/>
        </w:rPr>
        <w:t>经费</w:t>
      </w:r>
      <w:r>
        <w:rPr>
          <w:rFonts w:hint="default" w:ascii="Times New Roman" w:hAnsi="Times New Roman" w:eastAsia="方正仿宋_GBK"/>
          <w:sz w:val="32"/>
          <w:szCs w:val="32"/>
          <w:shd w:val="clear" w:color="auto" w:fill="FFFFFF"/>
        </w:rPr>
        <w:t>减少。</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2.收入情况。</w:t>
      </w:r>
      <w:r>
        <w:rPr>
          <w:rFonts w:hint="default" w:ascii="Times New Roman" w:hAnsi="Times New Roman" w:eastAsia="方正仿宋_GBK"/>
          <w:sz w:val="32"/>
          <w:szCs w:val="32"/>
          <w:shd w:val="clear" w:color="auto" w:fill="FFFFFF"/>
        </w:rPr>
        <w:t>2024年度收入合计1095.63万元，与2023年度相比，减少177.97万元，下降14.0%，主要原因是</w:t>
      </w:r>
      <w:r>
        <w:rPr>
          <w:rFonts w:ascii="Times New Roman" w:hAnsi="Times New Roman" w:eastAsia="方正仿宋_GBK"/>
          <w:sz w:val="32"/>
          <w:szCs w:val="32"/>
          <w:shd w:val="clear" w:color="auto" w:fill="FFFFFF"/>
        </w:rPr>
        <w:t>项目收入减少。</w:t>
      </w:r>
      <w:r>
        <w:rPr>
          <w:rFonts w:hint="default" w:ascii="Times New Roman" w:hAnsi="Times New Roman" w:eastAsia="方正仿宋_GBK"/>
          <w:sz w:val="32"/>
          <w:szCs w:val="32"/>
          <w:shd w:val="clear" w:color="auto" w:fill="FFFFFF"/>
        </w:rPr>
        <w:t>其中：财政拨款收入</w:t>
      </w:r>
      <w:r>
        <w:rPr>
          <w:rFonts w:hint="default" w:ascii="Times New Roman" w:hAnsi="Times New Roman" w:eastAsia="方正仿宋_GBK"/>
          <w:sz w:val="32"/>
          <w:szCs w:val="32"/>
        </w:rPr>
        <w:t>1095.63</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100.0</w:t>
      </w:r>
      <w:r>
        <w:rPr>
          <w:rFonts w:hint="default" w:ascii="Times New Roman" w:hAnsi="Times New Roman" w:eastAsia="方正仿宋_GBK"/>
          <w:sz w:val="32"/>
          <w:szCs w:val="32"/>
          <w:shd w:val="clear" w:color="auto" w:fill="FFFFFF"/>
        </w:rPr>
        <w:t>%；事业收入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万元，占0.0%；经营收入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万元，占0.0%；其他收入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万元，占0.0%。此外，使用非财政拨款结余和专用结余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万元，年初结转和结余</w:t>
      </w:r>
      <w:r>
        <w:rPr>
          <w:rFonts w:hint="default" w:ascii="Times New Roman" w:hAnsi="Times New Roman" w:eastAsia="方正仿宋_GBK"/>
          <w:sz w:val="32"/>
          <w:szCs w:val="32"/>
        </w:rPr>
        <w:t>0.23</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3.支出情况。</w:t>
      </w:r>
      <w:r>
        <w:rPr>
          <w:rFonts w:hint="default" w:ascii="Times New Roman" w:hAnsi="Times New Roman" w:eastAsia="方正仿宋_GBK"/>
          <w:sz w:val="32"/>
          <w:szCs w:val="32"/>
          <w:shd w:val="clear" w:color="auto" w:fill="FFFFFF"/>
        </w:rPr>
        <w:t>2024年度支出合计</w:t>
      </w:r>
      <w:r>
        <w:rPr>
          <w:rFonts w:hint="default" w:ascii="Times New Roman" w:hAnsi="Times New Roman" w:eastAsia="方正仿宋_GBK"/>
          <w:sz w:val="32"/>
          <w:szCs w:val="32"/>
        </w:rPr>
        <w:t>1095.86</w:t>
      </w:r>
      <w:r>
        <w:rPr>
          <w:rFonts w:hint="default" w:ascii="Times New Roman" w:hAnsi="Times New Roman" w:eastAsia="方正仿宋_GBK"/>
          <w:sz w:val="32"/>
          <w:szCs w:val="32"/>
          <w:shd w:val="clear" w:color="auto" w:fill="FFFFFF"/>
        </w:rPr>
        <w:t>万元，与2023年度相比，减少178.22万元，下降14.0%，主要原因是项目支出减少。其中：基本支出</w:t>
      </w:r>
      <w:r>
        <w:rPr>
          <w:rFonts w:hint="default" w:ascii="Times New Roman" w:hAnsi="Times New Roman" w:eastAsia="方正仿宋_GBK"/>
          <w:sz w:val="32"/>
          <w:szCs w:val="32"/>
        </w:rPr>
        <w:t>909.85</w:t>
      </w:r>
      <w:r>
        <w:rPr>
          <w:rFonts w:hint="default" w:ascii="Times New Roman" w:hAnsi="Times New Roman" w:eastAsia="方正仿宋_GBK"/>
          <w:sz w:val="32"/>
          <w:szCs w:val="32"/>
          <w:shd w:val="clear" w:color="auto" w:fill="FFFFFF"/>
        </w:rPr>
        <w:t>万元，占83.0%；项目支出</w:t>
      </w:r>
      <w:r>
        <w:rPr>
          <w:rFonts w:hint="default" w:ascii="Times New Roman" w:hAnsi="Times New Roman" w:eastAsia="方正仿宋_GBK"/>
          <w:sz w:val="32"/>
          <w:szCs w:val="32"/>
        </w:rPr>
        <w:t>186.01</w:t>
      </w:r>
      <w:r>
        <w:rPr>
          <w:rFonts w:hint="default" w:ascii="Times New Roman" w:hAnsi="Times New Roman" w:eastAsia="方正仿宋_GBK"/>
          <w:sz w:val="32"/>
          <w:szCs w:val="32"/>
          <w:shd w:val="clear" w:color="auto" w:fill="FFFFFF"/>
        </w:rPr>
        <w:t>万元，占17.0%；经营支出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万元，占0.0%。此外，结余分配</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4.结转结余情况。</w:t>
      </w:r>
      <w:r>
        <w:rPr>
          <w:rFonts w:hint="default" w:ascii="Times New Roman" w:hAnsi="Times New Roman" w:eastAsia="方正仿宋_GBK"/>
          <w:sz w:val="32"/>
          <w:szCs w:val="32"/>
          <w:shd w:val="clear" w:color="auto" w:fill="FFFFFF"/>
        </w:rPr>
        <w:t>2024年度年末结转和结余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万元，与2023年度相比，无增减，主要原因是上年与今年均无结转结余。</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2024年度财政拨款收、支总计1095.86万元。与2023年相比，财政拨款收、支总计各减少178.22万元，下降14.0%。主要原因是项目收入、支出减少</w:t>
      </w:r>
      <w:r>
        <w:rPr>
          <w:rFonts w:ascii="Times New Roman" w:hAnsi="Times New Roman" w:eastAsia="方正仿宋_GBK"/>
          <w:sz w:val="32"/>
          <w:szCs w:val="32"/>
          <w:shd w:val="clear" w:color="auto" w:fill="FFFFFF"/>
        </w:rPr>
        <w:t>。</w:t>
      </w:r>
    </w:p>
    <w:p>
      <w:pPr>
        <w:pStyle w:val="6"/>
        <w:snapToGrid w:val="0"/>
        <w:spacing w:before="0" w:beforeAutospacing="0" w:after="0" w:afterAutospacing="0" w:line="594" w:lineRule="exact"/>
        <w:ind w:firstLine="640" w:firstLineChars="200"/>
        <w:jc w:val="both"/>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（三）一般公共预算财政拨款收入支出决算情况说明</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2024年度一般公共预算财政拨款收入</w:t>
      </w:r>
      <w:r>
        <w:rPr>
          <w:rFonts w:hint="default" w:ascii="Times New Roman" w:hAnsi="Times New Roman" w:eastAsia="方正仿宋_GBK"/>
          <w:sz w:val="32"/>
          <w:szCs w:val="32"/>
        </w:rPr>
        <w:t>1095.63</w:t>
      </w:r>
      <w:r>
        <w:rPr>
          <w:rFonts w:hint="default" w:ascii="Times New Roman" w:hAnsi="Times New Roman" w:eastAsia="方正仿宋_GBK"/>
          <w:sz w:val="32"/>
          <w:szCs w:val="32"/>
          <w:shd w:val="clear" w:color="auto" w:fill="FFFFFF"/>
        </w:rPr>
        <w:t>万元，与2023年度相比，减少177.97万元，下降14.0%。主要原因是</w:t>
      </w:r>
      <w:r>
        <w:rPr>
          <w:rFonts w:ascii="Times New Roman" w:hAnsi="Times New Roman" w:eastAsia="方正仿宋_GBK"/>
          <w:sz w:val="32"/>
          <w:szCs w:val="32"/>
          <w:shd w:val="clear" w:color="auto" w:fill="FFFFFF"/>
        </w:rPr>
        <w:t>项目收入减少</w:t>
      </w:r>
      <w:r>
        <w:rPr>
          <w:rFonts w:hint="default" w:ascii="Times New Roman" w:hAnsi="Times New Roman" w:eastAsia="方正仿宋_GBK"/>
          <w:sz w:val="32"/>
          <w:szCs w:val="32"/>
          <w:shd w:val="clear" w:color="auto" w:fill="FFFFFF"/>
        </w:rPr>
        <w:t>。较年初预算数增加282.25万元，增长34.7%。主要原因是</w:t>
      </w:r>
      <w:r>
        <w:rPr>
          <w:rFonts w:ascii="Times New Roman" w:hAnsi="Times New Roman" w:eastAsia="方正仿宋_GBK"/>
          <w:sz w:val="32"/>
          <w:szCs w:val="32"/>
          <w:shd w:val="clear" w:color="auto" w:fill="FFFFFF"/>
        </w:rPr>
        <w:t>年中追加项目经费。</w:t>
      </w:r>
      <w:r>
        <w:rPr>
          <w:rFonts w:hint="default" w:ascii="Times New Roman" w:hAnsi="Times New Roman" w:eastAsia="方正仿宋_GBK"/>
          <w:sz w:val="32"/>
          <w:szCs w:val="32"/>
          <w:shd w:val="clear" w:color="auto" w:fill="FFFFFF"/>
        </w:rPr>
        <w:t>此外，年初财政拨款结转和结余</w:t>
      </w:r>
      <w:r>
        <w:rPr>
          <w:rFonts w:hint="default" w:ascii="Times New Roman" w:hAnsi="Times New Roman" w:eastAsia="方正仿宋_GBK"/>
          <w:sz w:val="32"/>
          <w:szCs w:val="32"/>
        </w:rPr>
        <w:t>0.23</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2024年度一般公共预算财政拨款支出</w:t>
      </w:r>
      <w:r>
        <w:rPr>
          <w:rFonts w:hint="default" w:ascii="Times New Roman" w:hAnsi="Times New Roman" w:eastAsia="方正仿宋_GBK"/>
          <w:sz w:val="32"/>
          <w:szCs w:val="32"/>
        </w:rPr>
        <w:t>1095.86</w:t>
      </w:r>
      <w:r>
        <w:rPr>
          <w:rFonts w:hint="default" w:ascii="Times New Roman" w:hAnsi="Times New Roman" w:eastAsia="方正仿宋_GBK"/>
          <w:sz w:val="32"/>
          <w:szCs w:val="32"/>
          <w:shd w:val="clear" w:color="auto" w:fill="FFFFFF"/>
        </w:rPr>
        <w:t>万元，与2023年度相比，减少178.22万元，下降14.0%。主要原因是</w:t>
      </w:r>
      <w:r>
        <w:rPr>
          <w:rFonts w:ascii="Times New Roman" w:hAnsi="Times New Roman" w:eastAsia="方正仿宋_GBK"/>
          <w:sz w:val="32"/>
          <w:szCs w:val="32"/>
          <w:shd w:val="clear" w:color="auto" w:fill="FFFFFF"/>
        </w:rPr>
        <w:t>项目支出减少</w:t>
      </w:r>
      <w:r>
        <w:rPr>
          <w:rFonts w:hint="default" w:ascii="Times New Roman" w:hAnsi="Times New Roman" w:eastAsia="方正仿宋_GBK"/>
          <w:sz w:val="32"/>
          <w:szCs w:val="32"/>
          <w:shd w:val="clear" w:color="auto" w:fill="FFFFFF"/>
        </w:rPr>
        <w:t>。较年初预算数增加282.48万元，增长34.7%。主要原因是</w:t>
      </w:r>
      <w:r>
        <w:rPr>
          <w:rFonts w:ascii="Times New Roman" w:hAnsi="Times New Roman" w:eastAsia="方正仿宋_GBK"/>
          <w:sz w:val="32"/>
          <w:szCs w:val="32"/>
          <w:shd w:val="clear" w:color="auto" w:fill="FFFFFF"/>
        </w:rPr>
        <w:t>年中追加项目经费。</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2024年度年末一般公共预算财政拨款结转和结余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万元，与2023年度相比，无增减，主要原因是</w:t>
      </w:r>
      <w:r>
        <w:rPr>
          <w:rFonts w:ascii="Times New Roman" w:hAnsi="Times New Roman" w:eastAsia="方正仿宋_GBK"/>
          <w:sz w:val="32"/>
          <w:szCs w:val="32"/>
          <w:shd w:val="clear" w:color="auto" w:fill="FFFFFF"/>
        </w:rPr>
        <w:t>年中追加项目经费。</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color w:val="FF0000"/>
          <w:sz w:val="32"/>
          <w:szCs w:val="32"/>
          <w:highlight w:val="cyan"/>
          <w:shd w:val="clear" w:color="auto" w:fill="FFFFFF"/>
        </w:rPr>
      </w:pPr>
      <w:r>
        <w:rPr>
          <w:rStyle w:val="10"/>
          <w:rFonts w:hint="default" w:ascii="Times New Roman" w:hAnsi="Times New Roman" w:eastAsia="方正仿宋_GBK"/>
          <w:sz w:val="32"/>
          <w:szCs w:val="32"/>
          <w:shd w:val="clear" w:color="auto" w:fill="FFFFFF"/>
        </w:rPr>
        <w:t>4.比较情况。</w:t>
      </w:r>
      <w:r>
        <w:rPr>
          <w:rFonts w:hint="default" w:ascii="Times New Roman" w:hAnsi="Times New Roman" w:eastAsia="方正仿宋_GBK"/>
          <w:sz w:val="32"/>
          <w:szCs w:val="32"/>
          <w:shd w:val="clear" w:color="auto" w:fill="FFFFFF"/>
        </w:rPr>
        <w:t>本部门2024年度一般公共预算财政拨款支出主要用于以下几个方面：</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（1）一般公共服务支出</w:t>
      </w:r>
      <w:r>
        <w:rPr>
          <w:rFonts w:hint="default" w:ascii="Times New Roman" w:hAnsi="Times New Roman" w:eastAsia="方正仿宋_GBK"/>
          <w:sz w:val="32"/>
          <w:szCs w:val="32"/>
        </w:rPr>
        <w:t>26.57</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2.4</w:t>
      </w:r>
      <w:r>
        <w:rPr>
          <w:rFonts w:hint="default" w:ascii="Times New Roman" w:hAnsi="Times New Roman" w:eastAsia="方正仿宋_GBK"/>
          <w:sz w:val="32"/>
          <w:szCs w:val="32"/>
          <w:shd w:val="clear" w:color="auto" w:fill="FFFFFF"/>
        </w:rPr>
        <w:t>%，较年初预算数增加26.57万元，增长100.0%，主要原因是</w:t>
      </w:r>
      <w:r>
        <w:rPr>
          <w:rFonts w:ascii="Times New Roman" w:hAnsi="Times New Roman" w:eastAsia="方正仿宋_GBK"/>
          <w:sz w:val="32"/>
          <w:szCs w:val="32"/>
          <w:shd w:val="clear" w:color="auto" w:fill="FFFFFF"/>
        </w:rPr>
        <w:t>年中追加项目经费。</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2</w:t>
      </w:r>
      <w:r>
        <w:rPr>
          <w:rFonts w:hint="default" w:ascii="Times New Roman" w:hAnsi="Times New Roman" w:eastAsia="方正仿宋_GBK"/>
          <w:sz w:val="32"/>
          <w:szCs w:val="32"/>
          <w:shd w:val="clear" w:color="auto" w:fill="FFFFFF"/>
        </w:rPr>
        <w:t>）教育支出</w:t>
      </w:r>
      <w:r>
        <w:rPr>
          <w:rFonts w:hint="default" w:ascii="Times New Roman" w:hAnsi="Times New Roman" w:eastAsia="方正仿宋_GBK"/>
          <w:sz w:val="32"/>
          <w:szCs w:val="32"/>
        </w:rPr>
        <w:t>780.82</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71.3</w:t>
      </w:r>
      <w:r>
        <w:rPr>
          <w:rFonts w:hint="default" w:ascii="Times New Roman" w:hAnsi="Times New Roman" w:eastAsia="方正仿宋_GBK"/>
          <w:sz w:val="32"/>
          <w:szCs w:val="32"/>
          <w:shd w:val="clear" w:color="auto" w:fill="FFFFFF"/>
        </w:rPr>
        <w:t>%，较年初预算数增加186.92万元，增长31.5%，主要原因是</w:t>
      </w:r>
      <w:r>
        <w:rPr>
          <w:rFonts w:ascii="Times New Roman" w:hAnsi="Times New Roman" w:eastAsia="方正仿宋_GBK"/>
          <w:sz w:val="32"/>
          <w:szCs w:val="32"/>
          <w:shd w:val="clear" w:color="auto" w:fill="FFFFFF"/>
        </w:rPr>
        <w:t>年中追加项目经费。</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3</w:t>
      </w:r>
      <w:r>
        <w:rPr>
          <w:rFonts w:hint="default" w:ascii="Times New Roman" w:hAnsi="Times New Roman" w:eastAsia="方正仿宋_GBK"/>
          <w:sz w:val="32"/>
          <w:szCs w:val="32"/>
          <w:shd w:val="clear" w:color="auto" w:fill="FFFFFF"/>
        </w:rPr>
        <w:t>）社会保障与就业支出</w:t>
      </w:r>
      <w:r>
        <w:rPr>
          <w:rFonts w:hint="default" w:ascii="Times New Roman" w:hAnsi="Times New Roman" w:eastAsia="方正仿宋_GBK"/>
          <w:sz w:val="32"/>
          <w:szCs w:val="32"/>
        </w:rPr>
        <w:t>203.76</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18.6</w:t>
      </w:r>
      <w:r>
        <w:rPr>
          <w:rFonts w:hint="default" w:ascii="Times New Roman" w:hAnsi="Times New Roman" w:eastAsia="方正仿宋_GBK"/>
          <w:sz w:val="32"/>
          <w:szCs w:val="32"/>
          <w:shd w:val="clear" w:color="auto" w:fill="FFFFFF"/>
        </w:rPr>
        <w:t>%，较年初预算数增加60.10万元，增长41.8%，主要原因是</w:t>
      </w:r>
      <w:r>
        <w:rPr>
          <w:rFonts w:ascii="Times New Roman" w:hAnsi="Times New Roman" w:eastAsia="方正仿宋_GBK"/>
          <w:sz w:val="32"/>
          <w:szCs w:val="32"/>
          <w:shd w:val="clear" w:color="auto" w:fill="FFFFFF"/>
        </w:rPr>
        <w:t>年中进行了政策性补缴，收入和支出增加。</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）卫生健康支出</w:t>
      </w:r>
      <w:r>
        <w:rPr>
          <w:rFonts w:hint="default" w:ascii="Times New Roman" w:hAnsi="Times New Roman" w:eastAsia="方正仿宋_GBK"/>
          <w:sz w:val="32"/>
          <w:szCs w:val="32"/>
        </w:rPr>
        <w:t>30.19</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2.8</w:t>
      </w:r>
      <w:r>
        <w:rPr>
          <w:rFonts w:hint="default" w:ascii="Times New Roman" w:hAnsi="Times New Roman" w:eastAsia="方正仿宋_GBK"/>
          <w:sz w:val="32"/>
          <w:szCs w:val="32"/>
          <w:shd w:val="clear" w:color="auto" w:fill="FFFFFF"/>
        </w:rPr>
        <w:t>%，较年初预算数减少3.45万元，下降10.3%，主要原因是</w:t>
      </w:r>
      <w:r>
        <w:rPr>
          <w:rFonts w:ascii="Times New Roman" w:hAnsi="Times New Roman" w:eastAsia="方正仿宋_GBK"/>
          <w:sz w:val="32"/>
          <w:szCs w:val="32"/>
          <w:shd w:val="clear" w:color="auto" w:fill="FFFFFF"/>
        </w:rPr>
        <w:t>人员变动。</w:t>
      </w:r>
    </w:p>
    <w:p>
      <w:pPr>
        <w:spacing w:line="594"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5</w:t>
      </w:r>
      <w:r>
        <w:rPr>
          <w:rFonts w:hint="default" w:ascii="Times New Roman" w:hAnsi="Times New Roman" w:eastAsia="方正仿宋_GBK"/>
          <w:sz w:val="32"/>
          <w:szCs w:val="32"/>
          <w:shd w:val="clear" w:color="auto" w:fill="FFFFFF"/>
        </w:rPr>
        <w:t>）</w:t>
      </w:r>
      <w:r>
        <w:rPr>
          <w:rFonts w:hint="default" w:ascii="Times New Roman" w:hAnsi="Times New Roman" w:eastAsia="方正仿宋_GBK"/>
          <w:sz w:val="32"/>
          <w:szCs w:val="32"/>
        </w:rPr>
        <w:t>住房保障支出54.53</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5.0</w:t>
      </w:r>
      <w:r>
        <w:rPr>
          <w:rFonts w:hint="default" w:ascii="Times New Roman" w:hAnsi="Times New Roman" w:eastAsia="方正仿宋_GBK"/>
          <w:sz w:val="32"/>
          <w:szCs w:val="32"/>
          <w:shd w:val="clear" w:color="auto" w:fill="FFFFFF"/>
        </w:rPr>
        <w:t>%，较年初预算数增加12.36万元，增长29.3%，主要原因是</w:t>
      </w:r>
      <w:r>
        <w:rPr>
          <w:rFonts w:ascii="Times New Roman" w:hAnsi="Times New Roman" w:eastAsia="方正仿宋_GBK"/>
          <w:sz w:val="32"/>
          <w:szCs w:val="32"/>
          <w:shd w:val="clear" w:color="auto" w:fill="FFFFFF"/>
        </w:rPr>
        <w:t>部分人员工资增加，基数调整导致支出增加。</w:t>
      </w:r>
    </w:p>
    <w:p>
      <w:pPr>
        <w:pStyle w:val="6"/>
        <w:snapToGrid w:val="0"/>
        <w:spacing w:before="0" w:beforeAutospacing="0" w:after="0" w:afterAutospacing="0" w:line="594" w:lineRule="exact"/>
        <w:ind w:firstLine="640" w:firstLineChars="200"/>
        <w:jc w:val="both"/>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（四）一般公共预算财政拨款基本支出决算情况说明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2024年度一般公共财政拨款基本支出</w:t>
      </w:r>
      <w:r>
        <w:rPr>
          <w:rFonts w:hint="default" w:ascii="Times New Roman" w:hAnsi="Times New Roman" w:eastAsia="方正仿宋_GBK"/>
          <w:sz w:val="32"/>
          <w:szCs w:val="32"/>
        </w:rPr>
        <w:t>909.85</w:t>
      </w:r>
      <w:r>
        <w:rPr>
          <w:rFonts w:hint="default" w:ascii="Times New Roman" w:hAnsi="Times New Roman" w:eastAsia="方正仿宋_GBK"/>
          <w:sz w:val="32"/>
          <w:szCs w:val="32"/>
          <w:shd w:val="clear" w:color="auto" w:fill="FFFFFF"/>
        </w:rPr>
        <w:t>万元。其中：人员经费</w:t>
      </w:r>
      <w:r>
        <w:rPr>
          <w:rFonts w:hint="default" w:ascii="Times New Roman" w:hAnsi="Times New Roman" w:eastAsia="方正仿宋_GBK"/>
          <w:sz w:val="32"/>
          <w:szCs w:val="32"/>
        </w:rPr>
        <w:t>786.03</w:t>
      </w:r>
      <w:r>
        <w:rPr>
          <w:rFonts w:hint="default" w:ascii="Times New Roman" w:hAnsi="Times New Roman" w:eastAsia="方正仿宋_GBK"/>
          <w:sz w:val="32"/>
          <w:szCs w:val="32"/>
          <w:shd w:val="clear" w:color="auto" w:fill="FFFFFF"/>
        </w:rPr>
        <w:t>万元，与2023年度相比，减少13.60万元，下降1.7%，主要原因是</w:t>
      </w:r>
      <w:r>
        <w:rPr>
          <w:rFonts w:ascii="Times New Roman" w:hAnsi="Times New Roman" w:eastAsia="方正仿宋_GBK"/>
          <w:sz w:val="32"/>
          <w:szCs w:val="32"/>
          <w:shd w:val="clear" w:color="auto" w:fill="FFFFFF"/>
        </w:rPr>
        <w:t>在职人员减少。</w:t>
      </w:r>
      <w:r>
        <w:rPr>
          <w:rFonts w:hint="default" w:ascii="Times New Roman" w:hAnsi="Times New Roman" w:eastAsia="方正仿宋_GBK"/>
          <w:sz w:val="32"/>
          <w:szCs w:val="32"/>
          <w:shd w:val="clear" w:color="auto" w:fill="FFFFFF"/>
        </w:rPr>
        <w:t>人员经费用途主要包括</w:t>
      </w:r>
      <w:r>
        <w:rPr>
          <w:rFonts w:ascii="方正仿宋_GBK" w:hAnsi="方正仿宋_GBK" w:eastAsia="方正仿宋_GBK" w:cs="方正仿宋_GBK"/>
          <w:sz w:val="32"/>
          <w:szCs w:val="32"/>
          <w:shd w:val="clear" w:color="auto" w:fill="FFFFFF"/>
        </w:rPr>
        <w:t>基本工资、津贴补贴、奖金、社会保障缴费、公积金缴费。</w:t>
      </w:r>
      <w:r>
        <w:rPr>
          <w:rFonts w:hint="default" w:ascii="Times New Roman" w:hAnsi="Times New Roman" w:eastAsia="方正仿宋_GBK"/>
          <w:sz w:val="32"/>
          <w:szCs w:val="32"/>
          <w:shd w:val="clear" w:color="auto" w:fill="FFFFFF"/>
        </w:rPr>
        <w:t>公用经费</w:t>
      </w:r>
      <w:r>
        <w:rPr>
          <w:rFonts w:hint="default" w:ascii="Times New Roman" w:hAnsi="Times New Roman" w:eastAsia="方正仿宋_GBK"/>
          <w:sz w:val="32"/>
          <w:szCs w:val="32"/>
        </w:rPr>
        <w:t>123.82</w:t>
      </w:r>
      <w:r>
        <w:rPr>
          <w:rFonts w:hint="default" w:ascii="Times New Roman" w:hAnsi="Times New Roman" w:eastAsia="方正仿宋_GBK"/>
          <w:sz w:val="32"/>
          <w:szCs w:val="32"/>
          <w:shd w:val="clear" w:color="auto" w:fill="FFFFFF"/>
        </w:rPr>
        <w:t>万元，与2023年度相比，减少21.65万元，下降14.9%，主要原因是</w:t>
      </w:r>
      <w:r>
        <w:rPr>
          <w:rFonts w:ascii="Times New Roman" w:hAnsi="Times New Roman" w:eastAsia="方正仿宋_GBK"/>
          <w:sz w:val="32"/>
          <w:szCs w:val="32"/>
          <w:shd w:val="clear" w:color="auto" w:fill="FFFFFF"/>
        </w:rPr>
        <w:t>每人预算数减少</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公用经费用途主要包括</w:t>
      </w:r>
      <w:r>
        <w:rPr>
          <w:rFonts w:ascii="方正仿宋_GBK" w:hAnsi="方正仿宋_GBK" w:eastAsia="方正仿宋_GBK" w:cs="方正仿宋_GBK"/>
          <w:sz w:val="32"/>
          <w:szCs w:val="32"/>
          <w:shd w:val="clear" w:color="auto" w:fill="FFFFFF"/>
        </w:rPr>
        <w:t>办公费、印刷费、咨询费、手续费、水电费、电话费、差旅费、会议费、培训费、公务用车运行维护费、其他交通费用等。</w:t>
      </w:r>
    </w:p>
    <w:p>
      <w:pPr>
        <w:pStyle w:val="6"/>
        <w:snapToGrid w:val="0"/>
        <w:spacing w:before="0" w:beforeAutospacing="0" w:after="0" w:afterAutospacing="0" w:line="594" w:lineRule="exact"/>
        <w:ind w:firstLine="640" w:firstLineChars="200"/>
        <w:jc w:val="both"/>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（五）政府性基金预算收支决算情况说明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政府性基金预算财政拨款年初结转结余0.00万元，年末结转结余0.00万元。本年收入0.00万元，与2023年度相比，无增减，主要原因是本年度无政府性基金预算财政拨款收入。本年支出0.00万元，与2023年度相比，无增减，主要原因</w:t>
      </w:r>
      <w:bookmarkStart w:id="0" w:name="_GoBack"/>
      <w:bookmarkEnd w:id="0"/>
      <w:r>
        <w:rPr>
          <w:rFonts w:hint="default" w:ascii="Times New Roman" w:hAnsi="Times New Roman" w:eastAsia="方正仿宋_GBK"/>
          <w:sz w:val="32"/>
          <w:szCs w:val="32"/>
          <w:shd w:val="clear" w:color="auto" w:fill="FFFFFF"/>
        </w:rPr>
        <w:t>是本年度无政府性基金预算财政拨款支出。本</w:t>
      </w:r>
      <w:r>
        <w:rPr>
          <w:rFonts w:ascii="Times New Roman" w:hAnsi="Times New Roman" w:eastAsia="方正仿宋_GBK"/>
          <w:sz w:val="32"/>
          <w:szCs w:val="32"/>
          <w:shd w:val="clear" w:color="auto" w:fill="FFFFFF"/>
        </w:rPr>
        <w:t>部门</w:t>
      </w:r>
      <w:r>
        <w:rPr>
          <w:rFonts w:hint="default" w:ascii="Times New Roman" w:hAnsi="Times New Roman" w:eastAsia="方正仿宋_GBK"/>
          <w:sz w:val="32"/>
          <w:szCs w:val="32"/>
          <w:shd w:val="clear" w:color="auto" w:fill="FFFFFF"/>
        </w:rPr>
        <w:t>2024年度无政府性基金预算财政拨款收支。</w:t>
      </w:r>
    </w:p>
    <w:p>
      <w:pPr>
        <w:pStyle w:val="6"/>
        <w:snapToGrid w:val="0"/>
        <w:spacing w:before="0" w:beforeAutospacing="0" w:after="0" w:afterAutospacing="0" w:line="594" w:lineRule="exact"/>
        <w:ind w:firstLine="640" w:firstLineChars="200"/>
        <w:jc w:val="both"/>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（六）国有资本经营预算财政拨款支出决算情况说明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 2024年度国有资本经营预算财政拨</w:t>
      </w:r>
      <w:r>
        <w:rPr>
          <w:rFonts w:hint="eastAsia" w:ascii="Times New Roman" w:hAnsi="Times New Roman" w:eastAsia="方正仿宋_GBK"/>
          <w:sz w:val="32"/>
          <w:szCs w:val="32"/>
          <w:shd w:val="clear" w:color="auto" w:fill="FFFFFF"/>
          <w:lang w:eastAsia="zh-CN"/>
        </w:rPr>
        <w:t>款</w:t>
      </w:r>
      <w:r>
        <w:rPr>
          <w:rFonts w:hint="default" w:ascii="Times New Roman" w:hAnsi="Times New Roman" w:eastAsia="方正仿宋_GBK"/>
          <w:sz w:val="32"/>
          <w:szCs w:val="32"/>
          <w:shd w:val="clear" w:color="auto" w:fill="FFFFFF"/>
        </w:rPr>
        <w:t>本年支出0.00万元，基本支出0.00万元，项目支出0.00万元。本</w:t>
      </w:r>
      <w:r>
        <w:rPr>
          <w:rFonts w:ascii="Times New Roman" w:hAnsi="Times New Roman" w:eastAsia="方正仿宋_GBK"/>
          <w:sz w:val="32"/>
          <w:szCs w:val="32"/>
          <w:shd w:val="clear" w:color="auto" w:fill="FFFFFF"/>
        </w:rPr>
        <w:t>部门</w:t>
      </w:r>
      <w:r>
        <w:rPr>
          <w:rFonts w:hint="default" w:ascii="Times New Roman" w:hAnsi="Times New Roman" w:eastAsia="方正仿宋_GBK"/>
          <w:sz w:val="32"/>
          <w:szCs w:val="32"/>
          <w:shd w:val="clear" w:color="auto" w:fill="FFFFFF"/>
        </w:rPr>
        <w:t>2024年度无国有资本经营预算财政拨款支出。</w:t>
      </w:r>
    </w:p>
    <w:p>
      <w:pPr>
        <w:pStyle w:val="6"/>
        <w:snapToGrid w:val="0"/>
        <w:spacing w:before="0" w:beforeAutospacing="0" w:after="0" w:afterAutospacing="0" w:line="594" w:lineRule="exact"/>
        <w:ind w:firstLine="640" w:firstLineChars="200"/>
        <w:jc w:val="both"/>
        <w:rPr>
          <w:rStyle w:val="10"/>
          <w:rFonts w:hint="default" w:ascii="方正黑体_GBK" w:hAnsi="方正黑体_GBK" w:eastAsia="方正黑体_GBK" w:cs="方正黑体_GBK"/>
          <w:b w:val="0"/>
          <w:bCs/>
          <w:sz w:val="32"/>
          <w:szCs w:val="32"/>
          <w:shd w:val="clear" w:color="auto" w:fill="FFFFFF"/>
        </w:rPr>
      </w:pPr>
      <w:r>
        <w:rPr>
          <w:rStyle w:val="10"/>
          <w:rFonts w:hint="default" w:ascii="方正黑体_GBK" w:hAnsi="方正黑体_GBK" w:eastAsia="方正黑体_GBK" w:cs="方正黑体_GBK"/>
          <w:b w:val="0"/>
          <w:bCs/>
          <w:sz w:val="32"/>
          <w:szCs w:val="32"/>
          <w:shd w:val="clear" w:color="auto" w:fill="FFFFFF"/>
        </w:rPr>
        <w:t>三、财政拨款</w:t>
      </w:r>
      <w:r>
        <w:rPr>
          <w:rStyle w:val="10"/>
          <w:rFonts w:hint="eastAsia" w:ascii="方正黑体_GBK" w:hAnsi="方正黑体_GBK" w:eastAsia="方正黑体_GBK" w:cs="方正黑体_GBK"/>
          <w:b w:val="0"/>
          <w:bCs/>
          <w:sz w:val="32"/>
          <w:szCs w:val="32"/>
          <w:shd w:val="clear" w:color="auto" w:fill="FFFFFF"/>
          <w:lang w:eastAsia="zh-CN"/>
        </w:rPr>
        <w:t>三公</w:t>
      </w:r>
      <w:r>
        <w:rPr>
          <w:rStyle w:val="10"/>
          <w:rFonts w:hint="default" w:ascii="方正黑体_GBK" w:hAnsi="方正黑体_GBK" w:eastAsia="方正黑体_GBK" w:cs="方正黑体_GBK"/>
          <w:b w:val="0"/>
          <w:bCs/>
          <w:sz w:val="32"/>
          <w:szCs w:val="32"/>
          <w:shd w:val="clear" w:color="auto" w:fill="FFFFFF"/>
        </w:rPr>
        <w:t>经费情况说明</w:t>
      </w:r>
    </w:p>
    <w:p>
      <w:pPr>
        <w:pStyle w:val="6"/>
        <w:shd w:val="clear" w:color="auto" w:fill="FFFFFF"/>
        <w:spacing w:before="0" w:beforeAutospacing="0" w:after="0" w:afterAutospacing="0" w:line="594" w:lineRule="exact"/>
        <w:ind w:firstLine="420"/>
        <w:rPr>
          <w:rStyle w:val="10"/>
          <w:rFonts w:hint="default" w:ascii="方正楷体_GB2312" w:hAnsi="方正楷体_GB2312" w:eastAsia="方正楷体_GB2312" w:cs="方正楷体_GB2312"/>
          <w:b w:val="0"/>
          <w:bCs/>
          <w:sz w:val="32"/>
          <w:szCs w:val="32"/>
          <w:shd w:val="clear" w:color="auto" w:fill="FFFFFF"/>
        </w:rPr>
      </w:pPr>
      <w:r>
        <w:rPr>
          <w:rStyle w:val="10"/>
          <w:rFonts w:hint="default" w:ascii="方正楷体_GB2312" w:hAnsi="方正楷体_GB2312" w:eastAsia="方正楷体_GB2312" w:cs="方正楷体_GB2312"/>
          <w:b w:val="0"/>
          <w:bCs/>
          <w:sz w:val="32"/>
          <w:szCs w:val="32"/>
          <w:shd w:val="clear" w:color="auto" w:fill="FFFFFF"/>
        </w:rPr>
        <w:t xml:space="preserve"> </w:t>
      </w:r>
      <w:r>
        <w:rPr>
          <w:rStyle w:val="10"/>
          <w:rFonts w:hint="default" w:ascii="方正楷体_GBK" w:hAnsi="方正楷体_GBK" w:eastAsia="方正楷体_GBK" w:cs="方正楷体_GBK"/>
          <w:b w:val="0"/>
          <w:bCs/>
          <w:sz w:val="32"/>
          <w:szCs w:val="32"/>
          <w:shd w:val="clear" w:color="auto" w:fill="FFFFFF"/>
        </w:rPr>
        <w:t>（一）</w:t>
      </w:r>
      <w:r>
        <w:rPr>
          <w:rStyle w:val="10"/>
          <w:rFonts w:hint="eastAsia" w:ascii="方正楷体_GBK" w:hAnsi="方正楷体_GBK" w:eastAsia="方正楷体_GBK" w:cs="方正楷体_GBK"/>
          <w:b w:val="0"/>
          <w:bCs/>
          <w:sz w:val="32"/>
          <w:szCs w:val="32"/>
          <w:shd w:val="clear" w:color="auto" w:fill="FFFFFF"/>
          <w:lang w:eastAsia="zh-CN"/>
        </w:rPr>
        <w:t>三公</w:t>
      </w:r>
      <w:r>
        <w:rPr>
          <w:rStyle w:val="10"/>
          <w:rFonts w:hint="default" w:ascii="方正楷体_GBK" w:hAnsi="方正楷体_GBK" w:eastAsia="方正楷体_GBK" w:cs="方正楷体_GBK"/>
          <w:b w:val="0"/>
          <w:bCs/>
          <w:sz w:val="32"/>
          <w:szCs w:val="32"/>
          <w:shd w:val="clear" w:color="auto" w:fill="FFFFFF"/>
        </w:rPr>
        <w:t>经费支出总体情况说明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w:t>
      </w:r>
      <w:r>
        <w:rPr>
          <w:rFonts w:hint="eastAsia" w:ascii="Times New Roman" w:hAnsi="Times New Roman" w:eastAsia="方正仿宋_GBK"/>
          <w:sz w:val="32"/>
          <w:szCs w:val="32"/>
          <w:shd w:val="clear" w:color="auto" w:fill="FFFFFF"/>
          <w:lang w:eastAsia="zh-CN"/>
        </w:rPr>
        <w:t>三公</w:t>
      </w:r>
      <w:r>
        <w:rPr>
          <w:rFonts w:hint="default" w:ascii="Times New Roman" w:hAnsi="Times New Roman" w:eastAsia="方正仿宋_GBK"/>
          <w:sz w:val="32"/>
          <w:szCs w:val="32"/>
          <w:shd w:val="clear" w:color="auto" w:fill="FFFFFF"/>
        </w:rPr>
        <w:t>经费支出共计</w:t>
      </w:r>
      <w:r>
        <w:rPr>
          <w:rFonts w:hint="default" w:ascii="Times New Roman" w:hAnsi="Times New Roman" w:eastAsia="方正仿宋_GBK"/>
          <w:sz w:val="32"/>
          <w:szCs w:val="32"/>
        </w:rPr>
        <w:t>4.55</w:t>
      </w:r>
      <w:r>
        <w:rPr>
          <w:rFonts w:hint="default" w:ascii="Times New Roman" w:hAnsi="Times New Roman" w:eastAsia="方正仿宋_GBK"/>
          <w:sz w:val="32"/>
          <w:szCs w:val="32"/>
          <w:shd w:val="clear" w:color="auto" w:fill="FFFFFF"/>
        </w:rPr>
        <w:t>万元，较年初预算数减少0.45万元，下降9.0%，主要原因是</w:t>
      </w:r>
      <w:r>
        <w:rPr>
          <w:rFonts w:ascii="Times New Roman" w:hAnsi="Times New Roman" w:eastAsia="方正仿宋_GBK"/>
          <w:sz w:val="32"/>
          <w:szCs w:val="32"/>
          <w:shd w:val="clear" w:color="auto" w:fill="FFFFFF"/>
        </w:rPr>
        <w:t>厉行节约，实际支出较预算减少</w:t>
      </w:r>
      <w:r>
        <w:rPr>
          <w:rFonts w:hint="default" w:ascii="Times New Roman" w:hAnsi="Times New Roman" w:eastAsia="方正仿宋_GBK"/>
          <w:sz w:val="32"/>
          <w:szCs w:val="32"/>
          <w:shd w:val="clear" w:color="auto" w:fill="FFFFFF"/>
        </w:rPr>
        <w:t>。较上年支出数增加0.46万元，增长11.3%，主要原因是</w:t>
      </w:r>
      <w:r>
        <w:rPr>
          <w:rFonts w:ascii="Times New Roman" w:hAnsi="Times New Roman" w:eastAsia="方正仿宋_GBK"/>
          <w:sz w:val="32"/>
          <w:szCs w:val="32"/>
          <w:shd w:val="clear" w:color="auto" w:fill="FFFFFF"/>
        </w:rPr>
        <w:t>本年调研、接待、公务车因公出行次数较上年增多。</w:t>
      </w:r>
    </w:p>
    <w:p>
      <w:pPr>
        <w:pStyle w:val="6"/>
        <w:snapToGrid w:val="0"/>
        <w:spacing w:before="0" w:beforeAutospacing="0" w:after="0" w:afterAutospacing="0" w:line="594" w:lineRule="exact"/>
        <w:ind w:firstLine="640" w:firstLineChars="200"/>
        <w:jc w:val="both"/>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（二）</w:t>
      </w:r>
      <w:r>
        <w:rPr>
          <w:rStyle w:val="10"/>
          <w:rFonts w:hint="eastAsia" w:ascii="方正楷体_GBK" w:hAnsi="方正楷体_GBK" w:eastAsia="方正楷体_GBK" w:cs="方正楷体_GBK"/>
          <w:b w:val="0"/>
          <w:bCs/>
          <w:sz w:val="32"/>
          <w:szCs w:val="32"/>
          <w:shd w:val="clear" w:color="auto" w:fill="FFFFFF"/>
          <w:lang w:eastAsia="zh-CN"/>
        </w:rPr>
        <w:t>三公</w:t>
      </w:r>
      <w:r>
        <w:rPr>
          <w:rStyle w:val="10"/>
          <w:rFonts w:hint="default" w:ascii="方正楷体_GBK" w:hAnsi="方正楷体_GBK" w:eastAsia="方正楷体_GBK" w:cs="方正楷体_GBK"/>
          <w:b w:val="0"/>
          <w:bCs/>
          <w:sz w:val="32"/>
          <w:szCs w:val="32"/>
          <w:shd w:val="clear" w:color="auto" w:fill="FFFFFF"/>
        </w:rPr>
        <w:t>经费分项支出情况</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2024年度本</w:t>
      </w:r>
      <w:r>
        <w:rPr>
          <w:rFonts w:ascii="Times New Roman" w:hAnsi="Times New Roman" w:eastAsia="方正仿宋_GBK"/>
          <w:sz w:val="32"/>
          <w:szCs w:val="32"/>
          <w:shd w:val="clear" w:color="auto" w:fill="FFFFFF"/>
        </w:rPr>
        <w:t>部门</w:t>
      </w:r>
      <w:r>
        <w:rPr>
          <w:rFonts w:hint="default" w:ascii="Times New Roman" w:hAnsi="Times New Roman" w:eastAsia="方正仿宋_GBK"/>
          <w:sz w:val="32"/>
          <w:szCs w:val="32"/>
          <w:shd w:val="clear" w:color="auto" w:fill="FFFFFF"/>
        </w:rPr>
        <w:t>因公出国（境）费用0.00万元。费用支出较年初预算数无增减，主要原因是年初预算未安排因公出国（境）费用，也未发生因公出国（境）费用。较上年支出数无增减，主要原因是上年和本年均未发生因公出国（境）费用。 公务车购置费</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万元，费用支出较年初预算数无增减。与2023年度相比，无增减，主要原因是去年和今年均未购置公务车辆。</w:t>
      </w:r>
    </w:p>
    <w:p>
      <w:pPr>
        <w:pStyle w:val="6"/>
        <w:snapToGrid w:val="0"/>
        <w:spacing w:before="0" w:beforeAutospacing="0" w:after="0" w:afterAutospacing="0" w:line="594"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公务车购置费</w:t>
      </w:r>
      <w:r>
        <w:rPr>
          <w:rFonts w:hint="default" w:ascii="Times New Roman" w:hAnsi="Times New Roman" w:eastAsia="方正仿宋_GBK"/>
          <w:sz w:val="32"/>
          <w:szCs w:val="32"/>
        </w:rPr>
        <w:t>0.00万元。费用支出较年初预算数无增减，主要原因是年初预算未安排且本年未发生公务车购置费用。较上年支出数无增减，主要原因是上年和本年均未发生公务车购置费用。</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公务车运行维护费</w:t>
      </w:r>
      <w:r>
        <w:rPr>
          <w:rFonts w:hint="default" w:ascii="Times New Roman" w:hAnsi="Times New Roman" w:eastAsia="方正仿宋_GBK"/>
          <w:sz w:val="32"/>
          <w:szCs w:val="32"/>
        </w:rPr>
        <w:t>2.55</w:t>
      </w:r>
      <w:r>
        <w:rPr>
          <w:rFonts w:hint="default" w:ascii="Times New Roman" w:hAnsi="Times New Roman" w:eastAsia="方正仿宋_GBK"/>
          <w:sz w:val="32"/>
          <w:szCs w:val="32"/>
          <w:shd w:val="clear" w:color="auto" w:fill="FFFFFF"/>
        </w:rPr>
        <w:t>万元，主要用于机要文件交换、市内因公出行、调研、下乡走访等工作所需车辆的燃料费、维修费、过桥过路费、保险费等。费用支出较年初预算数减少0.45万元，下降15.0%，主要原因是</w:t>
      </w:r>
      <w:r>
        <w:rPr>
          <w:rFonts w:ascii="Times New Roman" w:hAnsi="Times New Roman" w:eastAsia="方正仿宋_GBK"/>
          <w:sz w:val="32"/>
          <w:szCs w:val="32"/>
          <w:shd w:val="clear" w:color="auto" w:fill="FFFFFF"/>
        </w:rPr>
        <w:t>厉行节约，支出减少。</w:t>
      </w:r>
      <w:r>
        <w:rPr>
          <w:rFonts w:hint="default" w:ascii="Times New Roman" w:hAnsi="Times New Roman" w:eastAsia="方正仿宋_GBK"/>
          <w:sz w:val="32"/>
          <w:szCs w:val="32"/>
          <w:shd w:val="clear" w:color="auto" w:fill="FFFFFF"/>
        </w:rPr>
        <w:t>较上年支出数增加0.39万元，增长18.1%，主要原因是</w:t>
      </w:r>
      <w:r>
        <w:rPr>
          <w:rFonts w:ascii="Times New Roman" w:hAnsi="Times New Roman" w:eastAsia="方正仿宋_GBK"/>
          <w:sz w:val="32"/>
          <w:szCs w:val="32"/>
          <w:shd w:val="clear" w:color="auto" w:fill="FFFFFF"/>
        </w:rPr>
        <w:t>因公出行、调研次数较去年增多，过路过桥费相应增加。</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公务接待费</w:t>
      </w:r>
      <w:r>
        <w:rPr>
          <w:rFonts w:hint="default" w:ascii="Times New Roman" w:hAnsi="Times New Roman" w:eastAsia="方正仿宋_GBK"/>
          <w:sz w:val="32"/>
          <w:szCs w:val="32"/>
        </w:rPr>
        <w:t>2.00</w:t>
      </w:r>
      <w:r>
        <w:rPr>
          <w:rFonts w:hint="default" w:ascii="Times New Roman" w:hAnsi="Times New Roman" w:eastAsia="方正仿宋_GBK"/>
          <w:sz w:val="32"/>
          <w:szCs w:val="32"/>
          <w:shd w:val="clear" w:color="auto" w:fill="FFFFFF"/>
        </w:rPr>
        <w:t>万元，主要用于接待市级指导学院建设专家和培训老师，以及接受相关部门检查指导工作发生的接待支出。费用支出较年初预算数无增减</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较上年支出数增加0.07万元，增长3.6%，主要原因是</w:t>
      </w:r>
      <w:r>
        <w:rPr>
          <w:rFonts w:ascii="Times New Roman" w:hAnsi="Times New Roman" w:eastAsia="方正仿宋_GBK"/>
          <w:sz w:val="32"/>
          <w:szCs w:val="32"/>
          <w:shd w:val="clear" w:color="auto" w:fill="FFFFFF"/>
        </w:rPr>
        <w:t>今年业务</w:t>
      </w:r>
      <w:r>
        <w:rPr>
          <w:rFonts w:hint="default" w:ascii="Times New Roman" w:hAnsi="Times New Roman" w:eastAsia="方正仿宋_GBK"/>
          <w:sz w:val="32"/>
          <w:szCs w:val="32"/>
          <w:shd w:val="clear" w:color="auto" w:fill="FFFFFF"/>
        </w:rPr>
        <w:t>增加，</w:t>
      </w:r>
      <w:r>
        <w:rPr>
          <w:rFonts w:ascii="Times New Roman" w:hAnsi="Times New Roman" w:eastAsia="方正仿宋_GBK"/>
          <w:sz w:val="32"/>
          <w:szCs w:val="32"/>
          <w:shd w:val="clear" w:color="auto" w:fill="FFFFFF"/>
        </w:rPr>
        <w:t>接待数量较上年增多。</w:t>
      </w:r>
    </w:p>
    <w:p>
      <w:pPr>
        <w:pStyle w:val="6"/>
        <w:snapToGrid w:val="0"/>
        <w:spacing w:before="0" w:beforeAutospacing="0" w:after="0" w:afterAutospacing="0" w:line="594" w:lineRule="exact"/>
        <w:ind w:firstLine="640" w:firstLineChars="200"/>
        <w:jc w:val="both"/>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（三）</w:t>
      </w:r>
      <w:r>
        <w:rPr>
          <w:rStyle w:val="10"/>
          <w:rFonts w:hint="eastAsia" w:ascii="方正楷体_GBK" w:hAnsi="方正楷体_GBK" w:eastAsia="方正楷体_GBK" w:cs="方正楷体_GBK"/>
          <w:b w:val="0"/>
          <w:bCs/>
          <w:sz w:val="32"/>
          <w:szCs w:val="32"/>
          <w:shd w:val="clear" w:color="auto" w:fill="FFFFFF"/>
          <w:lang w:eastAsia="zh-CN"/>
        </w:rPr>
        <w:t>三公</w:t>
      </w:r>
      <w:r>
        <w:rPr>
          <w:rStyle w:val="10"/>
          <w:rFonts w:hint="default" w:ascii="方正楷体_GBK" w:hAnsi="方正楷体_GBK" w:eastAsia="方正楷体_GBK" w:cs="方正楷体_GBK"/>
          <w:b w:val="0"/>
          <w:bCs/>
          <w:sz w:val="32"/>
          <w:szCs w:val="32"/>
          <w:shd w:val="clear" w:color="auto" w:fill="FFFFFF"/>
        </w:rPr>
        <w:t>经费实物量情况</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2024年度本部门因公出国（境）共计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人；公务用车购置</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辆，公务车保有量为</w:t>
      </w:r>
      <w:r>
        <w:rPr>
          <w:rFonts w:hint="default" w:ascii="Times New Roman" w:hAnsi="Times New Roman" w:eastAsia="方正仿宋_GBK"/>
          <w:sz w:val="32"/>
          <w:szCs w:val="32"/>
        </w:rPr>
        <w:t>1</w:t>
      </w:r>
      <w:r>
        <w:rPr>
          <w:rFonts w:hint="default" w:ascii="Times New Roman" w:hAnsi="Times New Roman" w:eastAsia="方正仿宋_GBK"/>
          <w:sz w:val="32"/>
          <w:szCs w:val="32"/>
          <w:shd w:val="clear" w:color="auto" w:fill="FFFFFF"/>
        </w:rPr>
        <w:t>辆；国内公务接待</w:t>
      </w:r>
      <w:r>
        <w:rPr>
          <w:rFonts w:hint="default" w:ascii="Times New Roman" w:hAnsi="Times New Roman" w:eastAsia="方正仿宋_GBK"/>
          <w:sz w:val="32"/>
          <w:szCs w:val="32"/>
        </w:rPr>
        <w:t>21</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208</w:t>
      </w:r>
      <w:r>
        <w:rPr>
          <w:rFonts w:hint="default" w:ascii="Times New Roman" w:hAnsi="Times New Roman"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人。2024年本部门人均接待费</w:t>
      </w:r>
      <w:r>
        <w:rPr>
          <w:rFonts w:hint="default" w:ascii="Times New Roman" w:hAnsi="Times New Roman" w:eastAsia="方正仿宋_GBK"/>
          <w:sz w:val="32"/>
          <w:szCs w:val="32"/>
        </w:rPr>
        <w:t>96.27</w:t>
      </w:r>
      <w:r>
        <w:rPr>
          <w:rFonts w:hint="default" w:ascii="Times New Roman" w:hAnsi="Times New Roman" w:eastAsia="方正仿宋_GBK"/>
          <w:sz w:val="32"/>
          <w:szCs w:val="32"/>
          <w:shd w:val="clear" w:color="auto" w:fill="FFFFFF"/>
        </w:rPr>
        <w:t>元，车均购置费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万元，车均维护费</w:t>
      </w:r>
      <w:r>
        <w:rPr>
          <w:rFonts w:hint="default" w:ascii="Times New Roman" w:hAnsi="Times New Roman" w:eastAsia="方正仿宋_GBK"/>
          <w:sz w:val="32"/>
          <w:szCs w:val="32"/>
        </w:rPr>
        <w:t>2.55</w:t>
      </w:r>
      <w:r>
        <w:rPr>
          <w:rFonts w:hint="default" w:ascii="Times New Roman" w:hAnsi="Times New Roman" w:eastAsia="方正仿宋_GBK"/>
          <w:sz w:val="32"/>
          <w:szCs w:val="32"/>
          <w:shd w:val="clear" w:color="auto" w:fill="FFFFFF"/>
        </w:rPr>
        <w:t>万元。</w:t>
      </w:r>
    </w:p>
    <w:p>
      <w:pPr>
        <w:pStyle w:val="12"/>
        <w:spacing w:before="0" w:beforeAutospacing="0" w:after="0" w:afterAutospacing="0" w:line="594" w:lineRule="exact"/>
        <w:ind w:firstLine="640" w:firstLineChars="200"/>
        <w:rPr>
          <w:rStyle w:val="10"/>
          <w:rFonts w:ascii="方正黑体_GBK" w:hAnsi="方正黑体_GBK" w:eastAsia="方正黑体_GBK" w:cs="方正黑体_GBK"/>
          <w:b w:val="0"/>
          <w:bCs/>
          <w:sz w:val="32"/>
          <w:szCs w:val="32"/>
          <w:shd w:val="clear" w:color="auto" w:fill="FFFFFF"/>
        </w:rPr>
      </w:pPr>
      <w:r>
        <w:rPr>
          <w:rStyle w:val="10"/>
          <w:rFonts w:ascii="方正黑体_GBK" w:hAnsi="方正黑体_GBK" w:eastAsia="方正黑体_GBK" w:cs="方正黑体_GBK"/>
          <w:b w:val="0"/>
          <w:bCs/>
          <w:sz w:val="32"/>
          <w:szCs w:val="32"/>
          <w:shd w:val="clear" w:color="auto" w:fill="FFFFFF"/>
        </w:rPr>
        <w:t>四、其他需要说明的事项</w:t>
      </w:r>
    </w:p>
    <w:p>
      <w:pPr>
        <w:pStyle w:val="6"/>
        <w:snapToGrid w:val="0"/>
        <w:spacing w:before="0" w:beforeAutospacing="0" w:after="0" w:afterAutospacing="0" w:line="594" w:lineRule="exact"/>
        <w:ind w:firstLine="640" w:firstLineChars="200"/>
        <w:jc w:val="both"/>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（一）财政拨款会议费和培训费情况说明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本年度会议费支出</w:t>
      </w:r>
      <w:r>
        <w:rPr>
          <w:rFonts w:hint="default" w:ascii="Times New Roman" w:hAnsi="Times New Roman" w:eastAsia="方正仿宋_GBK"/>
          <w:sz w:val="32"/>
          <w:szCs w:val="32"/>
        </w:rPr>
        <w:t>4.74</w:t>
      </w:r>
      <w:r>
        <w:rPr>
          <w:rFonts w:hint="default" w:ascii="Times New Roman" w:hAnsi="Times New Roman" w:eastAsia="方正仿宋_GBK"/>
          <w:sz w:val="32"/>
          <w:szCs w:val="32"/>
          <w:shd w:val="clear" w:color="auto" w:fill="FFFFFF"/>
        </w:rPr>
        <w:t>万元，与2023年度相比，增加1.14万元，增长31.7%，主要原因是今年会议较去年增多。本年度培训费支出</w:t>
      </w:r>
      <w:r>
        <w:rPr>
          <w:rFonts w:hint="default" w:ascii="Times New Roman" w:hAnsi="Times New Roman" w:eastAsia="方正仿宋_GBK"/>
          <w:sz w:val="32"/>
          <w:szCs w:val="32"/>
        </w:rPr>
        <w:t>95.38</w:t>
      </w:r>
      <w:r>
        <w:rPr>
          <w:rFonts w:hint="default" w:ascii="Times New Roman" w:hAnsi="Times New Roman" w:eastAsia="方正仿宋_GBK"/>
          <w:sz w:val="32"/>
          <w:szCs w:val="32"/>
          <w:shd w:val="clear" w:color="auto" w:fill="FFFFFF"/>
        </w:rPr>
        <w:t>万元，与2023年度相比，减少79.05万元，下降45.3%，主要原因是</w:t>
      </w:r>
      <w:r>
        <w:rPr>
          <w:rFonts w:ascii="Times New Roman" w:hAnsi="Times New Roman" w:eastAsia="方正仿宋_GBK"/>
          <w:sz w:val="32"/>
          <w:szCs w:val="32"/>
          <w:shd w:val="clear" w:color="auto" w:fill="FFFFFF"/>
        </w:rPr>
        <w:t>培训减少</w:t>
      </w:r>
      <w:r>
        <w:rPr>
          <w:rFonts w:hint="default" w:ascii="Times New Roman" w:hAnsi="Times New Roman" w:eastAsia="方正仿宋_GBK"/>
          <w:sz w:val="32"/>
          <w:szCs w:val="32"/>
          <w:shd w:val="clear" w:color="auto" w:fill="FFFFFF"/>
        </w:rPr>
        <w:t>。</w:t>
      </w:r>
    </w:p>
    <w:p>
      <w:pPr>
        <w:pStyle w:val="6"/>
        <w:snapToGrid w:val="0"/>
        <w:spacing w:before="0" w:beforeAutospacing="0" w:after="0" w:afterAutospacing="0" w:line="594" w:lineRule="exact"/>
        <w:ind w:firstLine="640" w:firstLineChars="200"/>
        <w:jc w:val="both"/>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（二）机关运行经费情况说明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2024年度本部门机关运行经费支出</w:t>
      </w:r>
      <w:r>
        <w:rPr>
          <w:rFonts w:hint="default" w:ascii="Times New Roman" w:hAnsi="Times New Roman" w:eastAsia="方正仿宋_GBK"/>
          <w:sz w:val="32"/>
          <w:szCs w:val="32"/>
        </w:rPr>
        <w:t>123.82</w:t>
      </w:r>
      <w:r>
        <w:rPr>
          <w:rFonts w:hint="default" w:ascii="Times New Roman" w:hAnsi="Times New Roman" w:eastAsia="方正仿宋_GBK"/>
          <w:sz w:val="32"/>
          <w:szCs w:val="32"/>
          <w:shd w:val="clear" w:color="auto" w:fill="FFFFFF"/>
        </w:rPr>
        <w:t>万元，机关运行经费主要用于开支办公费、水电费、电话网络费、差旅费、维修维护费、培训费、公务接待费、其他交通费用、办公设备购置费等。机关运行经费较上年支出数减少21.65万元，下降14.9%，主要原因是</w:t>
      </w:r>
      <w:r>
        <w:rPr>
          <w:rFonts w:ascii="Times New Roman" w:hAnsi="Times New Roman" w:eastAsia="方正仿宋_GBK"/>
          <w:sz w:val="32"/>
          <w:szCs w:val="32"/>
          <w:shd w:val="clear" w:color="auto" w:fill="FFFFFF"/>
        </w:rPr>
        <w:t>厉行节约，支出减少</w:t>
      </w:r>
      <w:r>
        <w:rPr>
          <w:rFonts w:hint="default" w:ascii="Times New Roman" w:hAnsi="Times New Roman" w:eastAsia="方正仿宋_GBK"/>
          <w:sz w:val="32"/>
          <w:szCs w:val="32"/>
          <w:shd w:val="clear" w:color="auto" w:fill="FFFFFF"/>
        </w:rPr>
        <w:t>。</w:t>
      </w:r>
    </w:p>
    <w:p>
      <w:pPr>
        <w:pStyle w:val="6"/>
        <w:snapToGrid w:val="0"/>
        <w:spacing w:before="0" w:beforeAutospacing="0" w:after="0" w:afterAutospacing="0" w:line="594" w:lineRule="exact"/>
        <w:ind w:firstLine="640" w:firstLineChars="200"/>
        <w:jc w:val="both"/>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（三）国有资产占用情况说明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截至2024年12月31日，本部门共有车辆</w:t>
      </w:r>
      <w:r>
        <w:rPr>
          <w:rFonts w:hint="default" w:ascii="Times New Roman" w:hAnsi="Times New Roman" w:eastAsia="方正仿宋_GBK"/>
          <w:sz w:val="32"/>
          <w:szCs w:val="32"/>
        </w:rPr>
        <w:t>1</w:t>
      </w:r>
      <w:r>
        <w:rPr>
          <w:rFonts w:hint="default" w:ascii="Times New Roman" w:hAnsi="Times New Roman" w:eastAsia="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辆、主要负责人用车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辆、机要通信用车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辆、应急保障用车</w:t>
      </w:r>
      <w:r>
        <w:rPr>
          <w:rFonts w:hint="default" w:ascii="Times New Roman" w:hAnsi="Times New Roman" w:eastAsia="方正仿宋_GBK"/>
          <w:sz w:val="32"/>
          <w:szCs w:val="32"/>
        </w:rPr>
        <w:t>1</w:t>
      </w:r>
      <w:r>
        <w:rPr>
          <w:rFonts w:hint="default" w:ascii="Times New Roman" w:hAnsi="Times New Roman" w:eastAsia="方正仿宋_GBK"/>
          <w:sz w:val="32"/>
          <w:szCs w:val="32"/>
          <w:shd w:val="clear" w:color="auto" w:fill="FFFFFF"/>
        </w:rPr>
        <w:t>辆、执法执勤用车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辆，特种专业技术用车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辆，离退休干部用车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辆。单价100万元（含）以上专用设备</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台（套）。</w:t>
      </w:r>
    </w:p>
    <w:p>
      <w:pPr>
        <w:pStyle w:val="6"/>
        <w:snapToGrid w:val="0"/>
        <w:spacing w:before="0" w:beforeAutospacing="0" w:after="0" w:afterAutospacing="0" w:line="594" w:lineRule="exact"/>
        <w:ind w:firstLine="640" w:firstLineChars="200"/>
        <w:jc w:val="both"/>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（四）政府采购支出情况说明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2024年度本部门政府采购支出总额0.00万元，其中：政府采购货物支出0.00万元、政府采购工程支出0.00万元、政府采购服务支出0.00万元。授予中小企业合同金额0.00万元，占政府采购支出总额的0.0%，其中：授予小微企业合同金额0.00万元，占政府采购支出总额的0.0 %。2024年度我</w:t>
      </w:r>
      <w:r>
        <w:rPr>
          <w:rFonts w:ascii="Times New Roman" w:hAnsi="Times New Roman" w:eastAsia="方正仿宋_GBK"/>
          <w:sz w:val="32"/>
          <w:szCs w:val="32"/>
          <w:shd w:val="clear" w:color="auto" w:fill="FFFFFF"/>
        </w:rPr>
        <w:t>部门</w:t>
      </w:r>
      <w:r>
        <w:rPr>
          <w:rFonts w:hint="default" w:ascii="Times New Roman" w:hAnsi="Times New Roman" w:eastAsia="方正仿宋_GBK"/>
          <w:sz w:val="32"/>
          <w:szCs w:val="32"/>
          <w:shd w:val="clear" w:color="auto" w:fill="FFFFFF"/>
        </w:rPr>
        <w:t>未发生政府采购事项，无相关经费支出。</w:t>
      </w:r>
    </w:p>
    <w:p>
      <w:pPr>
        <w:pStyle w:val="12"/>
        <w:spacing w:before="0" w:beforeAutospacing="0" w:after="0" w:afterAutospacing="0" w:line="594" w:lineRule="exact"/>
        <w:ind w:firstLine="640" w:firstLineChars="200"/>
        <w:rPr>
          <w:rStyle w:val="10"/>
          <w:rFonts w:ascii="方正黑体_GBK" w:hAnsi="方正黑体_GBK" w:eastAsia="方正黑体_GBK" w:cs="方正黑体_GBK"/>
          <w:b w:val="0"/>
          <w:bCs/>
          <w:sz w:val="32"/>
          <w:szCs w:val="32"/>
          <w:shd w:val="clear" w:color="auto" w:fill="FFFFFF"/>
        </w:rPr>
      </w:pPr>
      <w:r>
        <w:rPr>
          <w:rStyle w:val="10"/>
          <w:rFonts w:ascii="方正黑体_GBK" w:hAnsi="方正黑体_GBK" w:eastAsia="方正黑体_GBK" w:cs="方正黑体_GBK"/>
          <w:b w:val="0"/>
          <w:bCs/>
          <w:sz w:val="32"/>
          <w:szCs w:val="32"/>
          <w:shd w:val="clear" w:color="auto" w:fill="FFFFFF"/>
        </w:rPr>
        <w:t>五、2024年度预算绩效管理情况说明</w:t>
      </w:r>
    </w:p>
    <w:p>
      <w:pPr>
        <w:pStyle w:val="6"/>
        <w:snapToGrid w:val="0"/>
        <w:spacing w:before="0" w:beforeAutospacing="0" w:after="0" w:afterAutospacing="0" w:line="594" w:lineRule="exact"/>
        <w:ind w:firstLine="640" w:firstLineChars="200"/>
        <w:jc w:val="both"/>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（一）</w:t>
      </w:r>
      <w:r>
        <w:rPr>
          <w:rStyle w:val="10"/>
          <w:rFonts w:ascii="方正楷体_GBK" w:hAnsi="方正楷体_GBK" w:eastAsia="方正楷体_GBK" w:cs="方正楷体_GBK"/>
          <w:b w:val="0"/>
          <w:bCs/>
          <w:sz w:val="32"/>
          <w:szCs w:val="32"/>
          <w:shd w:val="clear" w:color="auto" w:fill="FFFFFF"/>
        </w:rPr>
        <w:t>部门</w:t>
      </w:r>
      <w:r>
        <w:rPr>
          <w:rStyle w:val="10"/>
          <w:rFonts w:hint="default" w:ascii="方正楷体_GBK" w:hAnsi="方正楷体_GBK" w:eastAsia="方正楷体_GBK" w:cs="方正楷体_GBK"/>
          <w:b w:val="0"/>
          <w:bCs/>
          <w:sz w:val="32"/>
          <w:szCs w:val="32"/>
          <w:shd w:val="clear" w:color="auto" w:fill="FFFFFF"/>
        </w:rPr>
        <w:t>自评情况</w:t>
      </w:r>
    </w:p>
    <w:p>
      <w:pPr>
        <w:pStyle w:val="12"/>
        <w:autoSpaceDE w:val="0"/>
        <w:spacing w:before="0" w:beforeAutospacing="0" w:after="0" w:afterAutospacing="0" w:line="594"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根据预算绩效管理要求，我校对部门整体和5个二级项目开展了绩效自评，涉及财政拨款项目支出资金1095.6万元。</w:t>
      </w:r>
    </w:p>
    <w:p>
      <w:pPr>
        <w:pStyle w:val="12"/>
        <w:spacing w:before="0" w:beforeAutospacing="0" w:after="0" w:afterAutospacing="0" w:line="594" w:lineRule="exact"/>
        <w:ind w:firstLine="643" w:firstLineChars="200"/>
        <w:rPr>
          <w:rFonts w:ascii="Times New Roman" w:hAnsi="Times New Roman" w:eastAsia="方正仿宋_GBK"/>
          <w:b/>
          <w:bCs/>
          <w:sz w:val="32"/>
          <w:szCs w:val="32"/>
          <w:shd w:val="clear" w:color="auto" w:fill="FFFFFF"/>
        </w:rPr>
      </w:pPr>
      <w:r>
        <w:rPr>
          <w:rFonts w:ascii="Times New Roman" w:hAnsi="Times New Roman" w:eastAsia="方正仿宋_GBK"/>
          <w:b/>
          <w:bCs/>
          <w:sz w:val="32"/>
          <w:szCs w:val="32"/>
          <w:shd w:val="clear" w:color="auto" w:fill="FFFFFF"/>
        </w:rPr>
        <w:t>部门整体绩效自评表</w:t>
      </w:r>
    </w:p>
    <w:p>
      <w:pPr>
        <w:pStyle w:val="12"/>
        <w:spacing w:before="0" w:beforeAutospacing="0" w:after="0" w:afterAutospacing="0"/>
        <w:rPr>
          <w:rFonts w:ascii="Times New Roman" w:hAnsi="Times New Roman" w:eastAsia="方正仿宋_GBK"/>
          <w:b/>
          <w:bCs/>
          <w:sz w:val="32"/>
          <w:szCs w:val="32"/>
          <w:shd w:val="clear" w:color="auto" w:fill="FFFFFF"/>
        </w:rPr>
      </w:pPr>
      <w:r>
        <w:rPr>
          <w:rFonts w:hint="eastAsia" w:ascii="Times New Roman" w:hAnsi="Times New Roman" w:eastAsia="方正仿宋_GBK"/>
          <w:b/>
          <w:bCs/>
          <w:sz w:val="32"/>
          <w:szCs w:val="32"/>
          <w:shd w:val="clear" w:color="auto" w:fill="FFFFFF"/>
        </w:rPr>
        <w:drawing>
          <wp:inline distT="0" distB="0" distL="114300" distR="114300">
            <wp:extent cx="5720715" cy="3967480"/>
            <wp:effectExtent l="0" t="0" r="13335" b="13970"/>
            <wp:docPr id="5" name="图片 5" descr="整体绩效自评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整体绩效自评表"/>
                    <pic:cNvPicPr>
                      <a:picLocks noChangeAspect="1"/>
                    </pic:cNvPicPr>
                  </pic:nvPicPr>
                  <pic:blipFill>
                    <a:blip r:embed="rId7"/>
                    <a:stretch>
                      <a:fillRect/>
                    </a:stretch>
                  </pic:blipFill>
                  <pic:spPr>
                    <a:xfrm>
                      <a:off x="0" y="0"/>
                      <a:ext cx="5720715" cy="3967480"/>
                    </a:xfrm>
                    <a:prstGeom prst="rect">
                      <a:avLst/>
                    </a:prstGeom>
                  </pic:spPr>
                </pic:pic>
              </a:graphicData>
            </a:graphic>
          </wp:inline>
        </w:drawing>
      </w:r>
    </w:p>
    <w:p>
      <w:pPr>
        <w:pStyle w:val="12"/>
        <w:spacing w:before="0" w:beforeAutospacing="0" w:after="0" w:afterAutospacing="0" w:line="594" w:lineRule="exact"/>
        <w:ind w:firstLine="643" w:firstLineChars="200"/>
        <w:rPr>
          <w:rFonts w:ascii="Times New Roman" w:hAnsi="Times New Roman" w:eastAsia="方正仿宋_GBK"/>
          <w:b/>
          <w:bCs/>
          <w:sz w:val="32"/>
          <w:szCs w:val="32"/>
          <w:shd w:val="clear" w:color="auto" w:fill="FFFFFF"/>
        </w:rPr>
      </w:pPr>
      <w:r>
        <w:rPr>
          <w:rFonts w:ascii="Times New Roman" w:hAnsi="Times New Roman" w:eastAsia="方正仿宋_GBK"/>
          <w:b/>
          <w:bCs/>
          <w:sz w:val="32"/>
          <w:szCs w:val="32"/>
          <w:shd w:val="clear" w:color="auto" w:fill="FFFFFF"/>
        </w:rPr>
        <w:t>项目支出绩效自评表</w:t>
      </w:r>
    </w:p>
    <w:p>
      <w:pPr>
        <w:pStyle w:val="12"/>
        <w:autoSpaceDE w:val="0"/>
        <w:spacing w:before="0" w:beforeAutospacing="0" w:after="0" w:afterAutospacing="0"/>
        <w:rPr>
          <w:rFonts w:ascii="Times New Roman" w:hAnsi="Times New Roman" w:eastAsia="楷体"/>
          <w:b/>
          <w:bCs/>
          <w:sz w:val="32"/>
          <w:szCs w:val="32"/>
          <w:shd w:val="clear" w:color="auto" w:fill="FFFFFF"/>
        </w:rPr>
      </w:pPr>
      <w:r>
        <w:rPr>
          <w:rFonts w:hint="eastAsia" w:ascii="Times New Roman" w:hAnsi="Times New Roman" w:eastAsia="楷体"/>
          <w:b/>
          <w:bCs/>
          <w:sz w:val="32"/>
          <w:szCs w:val="32"/>
          <w:shd w:val="clear" w:color="auto" w:fill="FFFFFF"/>
        </w:rPr>
        <w:drawing>
          <wp:inline distT="0" distB="0" distL="114300" distR="114300">
            <wp:extent cx="5725160" cy="3745230"/>
            <wp:effectExtent l="0" t="0" r="8890" b="7620"/>
            <wp:docPr id="6" name="图片 6" descr="办学经费追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办学经费追加"/>
                    <pic:cNvPicPr>
                      <a:picLocks noChangeAspect="1"/>
                    </pic:cNvPicPr>
                  </pic:nvPicPr>
                  <pic:blipFill>
                    <a:blip r:embed="rId8"/>
                    <a:stretch>
                      <a:fillRect/>
                    </a:stretch>
                  </pic:blipFill>
                  <pic:spPr>
                    <a:xfrm>
                      <a:off x="0" y="0"/>
                      <a:ext cx="5725160" cy="3745230"/>
                    </a:xfrm>
                    <a:prstGeom prst="rect">
                      <a:avLst/>
                    </a:prstGeom>
                  </pic:spPr>
                </pic:pic>
              </a:graphicData>
            </a:graphic>
          </wp:inline>
        </w:drawing>
      </w:r>
    </w:p>
    <w:p>
      <w:pPr>
        <w:pStyle w:val="12"/>
        <w:autoSpaceDE w:val="0"/>
        <w:spacing w:before="0" w:beforeAutospacing="0" w:after="0" w:afterAutospacing="0"/>
        <w:rPr>
          <w:rFonts w:ascii="Times New Roman" w:hAnsi="Times New Roman" w:eastAsia="楷体"/>
          <w:b/>
          <w:bCs/>
          <w:sz w:val="32"/>
          <w:szCs w:val="32"/>
          <w:shd w:val="clear" w:color="auto" w:fill="FFFFFF"/>
        </w:rPr>
      </w:pPr>
      <w:r>
        <w:rPr>
          <w:rFonts w:hint="eastAsia" w:ascii="Times New Roman" w:hAnsi="Times New Roman" w:eastAsia="楷体"/>
          <w:b/>
          <w:bCs/>
          <w:sz w:val="32"/>
          <w:szCs w:val="32"/>
          <w:shd w:val="clear" w:color="auto" w:fill="FFFFFF"/>
        </w:rPr>
        <w:drawing>
          <wp:inline distT="0" distB="0" distL="114300" distR="114300">
            <wp:extent cx="5724525" cy="3303270"/>
            <wp:effectExtent l="0" t="0" r="9525" b="11430"/>
            <wp:docPr id="7" name="图片 7" descr="干教经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干教经费"/>
                    <pic:cNvPicPr>
                      <a:picLocks noChangeAspect="1"/>
                    </pic:cNvPicPr>
                  </pic:nvPicPr>
                  <pic:blipFill>
                    <a:blip r:embed="rId9"/>
                    <a:stretch>
                      <a:fillRect/>
                    </a:stretch>
                  </pic:blipFill>
                  <pic:spPr>
                    <a:xfrm>
                      <a:off x="0" y="0"/>
                      <a:ext cx="5724525" cy="3303270"/>
                    </a:xfrm>
                    <a:prstGeom prst="rect">
                      <a:avLst/>
                    </a:prstGeom>
                  </pic:spPr>
                </pic:pic>
              </a:graphicData>
            </a:graphic>
          </wp:inline>
        </w:drawing>
      </w:r>
    </w:p>
    <w:p>
      <w:pPr>
        <w:pStyle w:val="12"/>
        <w:autoSpaceDE w:val="0"/>
        <w:spacing w:before="0" w:beforeAutospacing="0" w:after="0" w:afterAutospacing="0"/>
        <w:rPr>
          <w:rFonts w:ascii="Times New Roman" w:hAnsi="Times New Roman" w:eastAsia="楷体"/>
          <w:b/>
          <w:bCs/>
          <w:sz w:val="32"/>
          <w:szCs w:val="32"/>
          <w:shd w:val="clear" w:color="auto" w:fill="FFFFFF"/>
        </w:rPr>
      </w:pPr>
      <w:r>
        <w:rPr>
          <w:rFonts w:hint="eastAsia" w:ascii="Times New Roman" w:hAnsi="Times New Roman" w:eastAsia="楷体"/>
          <w:b/>
          <w:bCs/>
          <w:sz w:val="32"/>
          <w:szCs w:val="32"/>
          <w:shd w:val="clear" w:color="auto" w:fill="FFFFFF"/>
        </w:rPr>
        <w:drawing>
          <wp:inline distT="0" distB="0" distL="114300" distR="114300">
            <wp:extent cx="5725160" cy="3517900"/>
            <wp:effectExtent l="0" t="0" r="8890" b="6350"/>
            <wp:docPr id="8" name="图片 8" descr="购买服务人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购买服务人员"/>
                    <pic:cNvPicPr>
                      <a:picLocks noChangeAspect="1"/>
                    </pic:cNvPicPr>
                  </pic:nvPicPr>
                  <pic:blipFill>
                    <a:blip r:embed="rId10"/>
                    <a:stretch>
                      <a:fillRect/>
                    </a:stretch>
                  </pic:blipFill>
                  <pic:spPr>
                    <a:xfrm>
                      <a:off x="0" y="0"/>
                      <a:ext cx="5725160" cy="3517900"/>
                    </a:xfrm>
                    <a:prstGeom prst="rect">
                      <a:avLst/>
                    </a:prstGeom>
                  </pic:spPr>
                </pic:pic>
              </a:graphicData>
            </a:graphic>
          </wp:inline>
        </w:drawing>
      </w:r>
    </w:p>
    <w:p>
      <w:pPr>
        <w:pStyle w:val="12"/>
        <w:autoSpaceDE w:val="0"/>
        <w:spacing w:before="0" w:beforeAutospacing="0" w:after="0" w:afterAutospacing="0"/>
        <w:rPr>
          <w:rFonts w:ascii="Times New Roman" w:hAnsi="Times New Roman" w:eastAsia="楷体"/>
          <w:b/>
          <w:bCs/>
          <w:sz w:val="32"/>
          <w:szCs w:val="32"/>
          <w:shd w:val="clear" w:color="auto" w:fill="FFFFFF"/>
        </w:rPr>
      </w:pPr>
      <w:r>
        <w:rPr>
          <w:rFonts w:hint="eastAsia" w:ascii="Times New Roman" w:hAnsi="Times New Roman" w:eastAsia="楷体"/>
          <w:b/>
          <w:bCs/>
          <w:sz w:val="32"/>
          <w:szCs w:val="32"/>
          <w:shd w:val="clear" w:color="auto" w:fill="FFFFFF"/>
        </w:rPr>
        <w:drawing>
          <wp:inline distT="0" distB="0" distL="114300" distR="114300">
            <wp:extent cx="5725160" cy="3294380"/>
            <wp:effectExtent l="0" t="0" r="8890" b="1270"/>
            <wp:docPr id="9" name="图片 9" descr="退休人员管理经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退休人员管理经费"/>
                    <pic:cNvPicPr>
                      <a:picLocks noChangeAspect="1"/>
                    </pic:cNvPicPr>
                  </pic:nvPicPr>
                  <pic:blipFill>
                    <a:blip r:embed="rId11"/>
                    <a:stretch>
                      <a:fillRect/>
                    </a:stretch>
                  </pic:blipFill>
                  <pic:spPr>
                    <a:xfrm>
                      <a:off x="0" y="0"/>
                      <a:ext cx="5725160" cy="3294380"/>
                    </a:xfrm>
                    <a:prstGeom prst="rect">
                      <a:avLst/>
                    </a:prstGeom>
                  </pic:spPr>
                </pic:pic>
              </a:graphicData>
            </a:graphic>
          </wp:inline>
        </w:drawing>
      </w:r>
    </w:p>
    <w:p>
      <w:pPr>
        <w:pStyle w:val="12"/>
        <w:autoSpaceDE w:val="0"/>
        <w:spacing w:before="0" w:beforeAutospacing="0" w:after="0" w:afterAutospacing="0"/>
        <w:rPr>
          <w:rFonts w:ascii="Times New Roman" w:hAnsi="Times New Roman" w:eastAsia="楷体"/>
          <w:b/>
          <w:bCs/>
          <w:sz w:val="32"/>
          <w:szCs w:val="32"/>
          <w:shd w:val="clear" w:color="auto" w:fill="FFFFFF"/>
        </w:rPr>
      </w:pPr>
      <w:r>
        <w:rPr>
          <w:rFonts w:hint="eastAsia" w:ascii="Times New Roman" w:hAnsi="Times New Roman" w:eastAsia="楷体"/>
          <w:b/>
          <w:bCs/>
          <w:sz w:val="32"/>
          <w:szCs w:val="32"/>
          <w:shd w:val="clear" w:color="auto" w:fill="FFFFFF"/>
        </w:rPr>
        <w:drawing>
          <wp:inline distT="0" distB="0" distL="114300" distR="114300">
            <wp:extent cx="5725160" cy="3294380"/>
            <wp:effectExtent l="0" t="0" r="8890" b="1270"/>
            <wp:docPr id="10" name="图片 10" descr="退休人员管理经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退休人员管理经费"/>
                    <pic:cNvPicPr>
                      <a:picLocks noChangeAspect="1"/>
                    </pic:cNvPicPr>
                  </pic:nvPicPr>
                  <pic:blipFill>
                    <a:blip r:embed="rId11"/>
                    <a:stretch>
                      <a:fillRect/>
                    </a:stretch>
                  </pic:blipFill>
                  <pic:spPr>
                    <a:xfrm>
                      <a:off x="0" y="0"/>
                      <a:ext cx="5725160" cy="3294380"/>
                    </a:xfrm>
                    <a:prstGeom prst="rect">
                      <a:avLst/>
                    </a:prstGeom>
                  </pic:spPr>
                </pic:pic>
              </a:graphicData>
            </a:graphic>
          </wp:inline>
        </w:drawing>
      </w:r>
    </w:p>
    <w:p>
      <w:pPr>
        <w:pStyle w:val="12"/>
        <w:autoSpaceDE w:val="0"/>
        <w:spacing w:before="0" w:beforeAutospacing="0" w:after="0" w:afterAutospacing="0"/>
        <w:rPr>
          <w:rFonts w:ascii="Times New Roman" w:hAnsi="Times New Roman" w:eastAsia="楷体"/>
          <w:b/>
          <w:bCs/>
          <w:sz w:val="32"/>
          <w:szCs w:val="32"/>
          <w:shd w:val="clear" w:color="auto" w:fill="FFFFFF"/>
        </w:rPr>
      </w:pPr>
      <w:r>
        <w:rPr>
          <w:rFonts w:hint="eastAsia" w:ascii="Times New Roman" w:hAnsi="Times New Roman" w:eastAsia="楷体"/>
          <w:b/>
          <w:bCs/>
          <w:sz w:val="32"/>
          <w:szCs w:val="32"/>
          <w:shd w:val="clear" w:color="auto" w:fill="FFFFFF"/>
        </w:rPr>
        <w:drawing>
          <wp:inline distT="0" distB="0" distL="114300" distR="114300">
            <wp:extent cx="5720715" cy="3749040"/>
            <wp:effectExtent l="0" t="0" r="13335" b="3810"/>
            <wp:docPr id="11" name="图片 11" descr="遗属补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遗属补助"/>
                    <pic:cNvPicPr>
                      <a:picLocks noChangeAspect="1"/>
                    </pic:cNvPicPr>
                  </pic:nvPicPr>
                  <pic:blipFill>
                    <a:blip r:embed="rId12"/>
                    <a:stretch>
                      <a:fillRect/>
                    </a:stretch>
                  </pic:blipFill>
                  <pic:spPr>
                    <a:xfrm>
                      <a:off x="0" y="0"/>
                      <a:ext cx="5720715" cy="3749040"/>
                    </a:xfrm>
                    <a:prstGeom prst="rect">
                      <a:avLst/>
                    </a:prstGeom>
                  </pic:spPr>
                </pic:pic>
              </a:graphicData>
            </a:graphic>
          </wp:inline>
        </w:drawing>
      </w:r>
    </w:p>
    <w:p>
      <w:pPr>
        <w:pStyle w:val="6"/>
        <w:snapToGrid w:val="0"/>
        <w:spacing w:before="0" w:beforeAutospacing="0" w:after="0" w:afterAutospacing="0" w:line="594" w:lineRule="exact"/>
        <w:ind w:firstLine="640" w:firstLineChars="200"/>
        <w:jc w:val="both"/>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（二）部门绩效评价情况</w:t>
      </w:r>
    </w:p>
    <w:p>
      <w:pPr>
        <w:pStyle w:val="16"/>
        <w:autoSpaceDE w:val="0"/>
        <w:spacing w:line="594" w:lineRule="exact"/>
        <w:ind w:firstLine="64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lang w:bidi="ar"/>
        </w:rPr>
        <w:t>我</w:t>
      </w:r>
      <w:r>
        <w:rPr>
          <w:rFonts w:ascii="Times New Roman" w:hAnsi="Times New Roman" w:eastAsia="方正仿宋_GBK"/>
          <w:sz w:val="32"/>
          <w:szCs w:val="32"/>
          <w:shd w:val="clear" w:color="auto" w:fill="FFFFFF"/>
          <w:lang w:bidi="ar"/>
        </w:rPr>
        <w:t>部门</w:t>
      </w:r>
      <w:r>
        <w:rPr>
          <w:rFonts w:hint="default" w:ascii="Times New Roman" w:hAnsi="Times New Roman" w:eastAsia="方正仿宋_GBK"/>
          <w:sz w:val="32"/>
          <w:szCs w:val="32"/>
          <w:shd w:val="clear" w:color="auto" w:fill="FFFFFF"/>
          <w:lang w:bidi="ar"/>
        </w:rPr>
        <w:t>未组织开展绩效评价。</w:t>
      </w:r>
    </w:p>
    <w:p>
      <w:pPr>
        <w:pStyle w:val="6"/>
        <w:snapToGrid w:val="0"/>
        <w:spacing w:before="0" w:beforeAutospacing="0" w:after="0" w:afterAutospacing="0" w:line="594" w:lineRule="exact"/>
        <w:ind w:firstLine="640" w:firstLineChars="200"/>
        <w:jc w:val="both"/>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（三）财政绩效评价情况</w:t>
      </w:r>
    </w:p>
    <w:p>
      <w:pPr>
        <w:pStyle w:val="16"/>
        <w:autoSpaceDE w:val="0"/>
        <w:spacing w:line="594" w:lineRule="exact"/>
        <w:ind w:firstLine="64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lang w:bidi="ar"/>
        </w:rPr>
        <w:t>县财政局未委托第三方对我</w:t>
      </w:r>
      <w:r>
        <w:rPr>
          <w:rFonts w:ascii="Times New Roman" w:hAnsi="Times New Roman" w:eastAsia="方正仿宋_GBK"/>
          <w:sz w:val="32"/>
          <w:szCs w:val="32"/>
          <w:shd w:val="clear" w:color="auto" w:fill="FFFFFF"/>
          <w:lang w:bidi="ar"/>
        </w:rPr>
        <w:t>部门</w:t>
      </w:r>
      <w:r>
        <w:rPr>
          <w:rFonts w:hint="default" w:ascii="Times New Roman" w:hAnsi="Times New Roman" w:eastAsia="方正仿宋_GBK"/>
          <w:sz w:val="32"/>
          <w:szCs w:val="32"/>
          <w:shd w:val="clear" w:color="auto" w:fill="FFFFFF"/>
          <w:lang w:bidi="ar"/>
        </w:rPr>
        <w:t>开展绩效评价。</w:t>
      </w:r>
    </w:p>
    <w:p>
      <w:pPr>
        <w:pStyle w:val="12"/>
        <w:autoSpaceDE w:val="0"/>
        <w:spacing w:before="0" w:beforeAutospacing="0" w:after="0" w:afterAutospacing="0" w:line="594" w:lineRule="exact"/>
        <w:rPr>
          <w:rFonts w:ascii="Times New Roman" w:hAnsi="Times New Roman" w:eastAsia="方正仿宋_GBK"/>
          <w:sz w:val="32"/>
          <w:szCs w:val="32"/>
        </w:rPr>
      </w:pPr>
      <w:r>
        <w:rPr>
          <w:rStyle w:val="13"/>
          <w:rFonts w:ascii="Times New Roman" w:hAnsi="Times New Roman" w:eastAsia="方正仿宋_GBK" w:cs="Times New Roman"/>
          <w:sz w:val="32"/>
          <w:szCs w:val="32"/>
          <w:shd w:val="clear" w:color="auto" w:fill="FFFFFF"/>
        </w:rPr>
        <w:t xml:space="preserve">   </w:t>
      </w:r>
      <w:r>
        <w:rPr>
          <w:rStyle w:val="10"/>
          <w:rFonts w:ascii="Times New Roman" w:hAnsi="Times New Roman" w:eastAsia="黑体"/>
          <w:sz w:val="32"/>
          <w:szCs w:val="32"/>
          <w:shd w:val="clear" w:color="auto" w:fill="FFFFFF"/>
        </w:rPr>
        <w:t xml:space="preserve"> </w:t>
      </w:r>
      <w:r>
        <w:rPr>
          <w:rStyle w:val="10"/>
          <w:rFonts w:ascii="方正黑体_GBK" w:hAnsi="方正黑体_GBK" w:eastAsia="方正黑体_GBK" w:cs="方正黑体_GBK"/>
          <w:b w:val="0"/>
          <w:bCs/>
          <w:sz w:val="32"/>
          <w:szCs w:val="32"/>
          <w:shd w:val="clear" w:color="auto" w:fill="FFFFFF"/>
        </w:rPr>
        <w:t>六、专业名词解释</w:t>
      </w:r>
    </w:p>
    <w:p>
      <w:pPr>
        <w:pStyle w:val="12"/>
        <w:spacing w:before="0" w:beforeAutospacing="0" w:after="0" w:afterAutospacing="0" w:line="594" w:lineRule="exact"/>
        <w:ind w:firstLine="640" w:firstLineChars="200"/>
        <w:rPr>
          <w:rFonts w:ascii="Times New Roman" w:hAnsi="Times New Roman" w:eastAsia="方正仿宋_GBK"/>
          <w:sz w:val="32"/>
          <w:szCs w:val="32"/>
        </w:rPr>
      </w:pPr>
      <w:r>
        <w:rPr>
          <w:rStyle w:val="10"/>
          <w:rFonts w:ascii="方正楷体_GBK" w:hAnsi="方正楷体_GBK" w:eastAsia="方正楷体_GBK" w:cs="方正楷体_GBK"/>
          <w:b w:val="0"/>
          <w:bCs/>
          <w:sz w:val="32"/>
          <w:szCs w:val="32"/>
          <w:shd w:val="clear" w:color="auto" w:fill="FFFFFF"/>
        </w:rPr>
        <w:t>（一）财政拨款收入：</w:t>
      </w:r>
      <w:r>
        <w:rPr>
          <w:rFonts w:ascii="Times New Roman" w:hAnsi="Times New Roman" w:eastAsia="方正仿宋_GBK"/>
          <w:sz w:val="32"/>
          <w:szCs w:val="32"/>
          <w:shd w:val="clear" w:color="auto" w:fill="FFFFFF"/>
        </w:rPr>
        <w:t>指本年度从本级财政部门取得的财政拨款，包括一般公共预算财政拨款和政府性基金预算财政拨款。</w:t>
      </w:r>
    </w:p>
    <w:p>
      <w:pPr>
        <w:pStyle w:val="12"/>
        <w:spacing w:before="0" w:beforeAutospacing="0" w:after="0" w:afterAutospacing="0" w:line="594" w:lineRule="exact"/>
        <w:ind w:firstLine="640" w:firstLineChars="200"/>
        <w:rPr>
          <w:rFonts w:ascii="Times New Roman" w:hAnsi="Times New Roman" w:eastAsia="方正仿宋_GBK"/>
          <w:sz w:val="32"/>
          <w:szCs w:val="32"/>
        </w:rPr>
      </w:pPr>
      <w:r>
        <w:rPr>
          <w:rStyle w:val="10"/>
          <w:rFonts w:ascii="方正楷体_GBK" w:hAnsi="方正楷体_GBK" w:eastAsia="方正楷体_GBK" w:cs="方正楷体_GBK"/>
          <w:b w:val="0"/>
          <w:bCs/>
          <w:sz w:val="32"/>
          <w:szCs w:val="32"/>
          <w:shd w:val="clear" w:color="auto" w:fill="FFFFFF"/>
        </w:rPr>
        <w:t>（二）事业收入：</w:t>
      </w:r>
      <w:r>
        <w:rPr>
          <w:rStyle w:val="10"/>
          <w:rFonts w:ascii="方正楷体_GB2312" w:hAnsi="方正楷体_GB2312" w:eastAsia="方正楷体_GB2312" w:cs="方正楷体_GB2312"/>
          <w:b w:val="0"/>
          <w:bCs/>
          <w:sz w:val="32"/>
          <w:szCs w:val="32"/>
          <w:shd w:val="clear" w:color="auto" w:fill="FFFFFF"/>
        </w:rPr>
        <w:t>指事业单位开展专业业务活动及其辅助活动</w:t>
      </w:r>
      <w:r>
        <w:rPr>
          <w:rFonts w:ascii="Times New Roman" w:hAnsi="Times New Roman" w:eastAsia="方正仿宋_GBK"/>
          <w:sz w:val="32"/>
          <w:szCs w:val="32"/>
          <w:shd w:val="clear" w:color="auto" w:fill="FFFFFF"/>
        </w:rPr>
        <w:t>取得的现金流入；事业单位收到的财政专户实际核拨的教育收费等资金在此反映。</w:t>
      </w:r>
    </w:p>
    <w:p>
      <w:pPr>
        <w:pStyle w:val="12"/>
        <w:spacing w:before="0" w:beforeAutospacing="0" w:after="0" w:afterAutospacing="0" w:line="594" w:lineRule="exact"/>
        <w:ind w:firstLine="640" w:firstLineChars="200"/>
        <w:rPr>
          <w:rFonts w:ascii="Times New Roman" w:hAnsi="Times New Roman" w:eastAsia="方正仿宋_GBK"/>
          <w:sz w:val="32"/>
          <w:szCs w:val="32"/>
        </w:rPr>
      </w:pPr>
      <w:r>
        <w:rPr>
          <w:rStyle w:val="10"/>
          <w:rFonts w:ascii="方正楷体_GBK" w:hAnsi="方正楷体_GBK" w:eastAsia="方正楷体_GBK" w:cs="方正楷体_GBK"/>
          <w:b w:val="0"/>
          <w:bCs/>
          <w:sz w:val="32"/>
          <w:szCs w:val="32"/>
          <w:shd w:val="clear" w:color="auto" w:fill="FFFFFF"/>
        </w:rPr>
        <w:t>（三）经营收入：</w:t>
      </w:r>
      <w:r>
        <w:rPr>
          <w:rFonts w:ascii="Times New Roman" w:hAnsi="Times New Roman" w:eastAsia="方正仿宋_GBK"/>
          <w:sz w:val="32"/>
          <w:szCs w:val="32"/>
          <w:shd w:val="clear" w:color="auto" w:fill="FFFFFF"/>
        </w:rPr>
        <w:t>指事业单位在专业业务活动及其辅助活动之外开展非独立核算经营活动取得的现金流入。</w:t>
      </w:r>
    </w:p>
    <w:p>
      <w:pPr>
        <w:pStyle w:val="12"/>
        <w:spacing w:before="0" w:beforeAutospacing="0" w:after="0" w:afterAutospacing="0" w:line="594" w:lineRule="exact"/>
        <w:ind w:firstLine="640" w:firstLineChars="200"/>
        <w:rPr>
          <w:rFonts w:ascii="Times New Roman" w:hAnsi="Times New Roman" w:eastAsia="方正仿宋_GBK"/>
          <w:sz w:val="32"/>
          <w:szCs w:val="32"/>
        </w:rPr>
      </w:pPr>
      <w:r>
        <w:rPr>
          <w:rStyle w:val="10"/>
          <w:rFonts w:ascii="方正楷体_GBK" w:hAnsi="方正楷体_GBK" w:eastAsia="方正楷体_GBK" w:cs="方正楷体_GBK"/>
          <w:b w:val="0"/>
          <w:bCs/>
          <w:sz w:val="32"/>
          <w:szCs w:val="32"/>
          <w:shd w:val="clear" w:color="auto" w:fill="FFFFFF"/>
        </w:rPr>
        <w:t>（四）其他收入：</w:t>
      </w:r>
      <w:r>
        <w:rPr>
          <w:rFonts w:ascii="Times New Roman" w:hAnsi="Times New Roman"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spacing w:before="0" w:beforeAutospacing="0" w:after="0" w:afterAutospacing="0" w:line="594" w:lineRule="exact"/>
        <w:ind w:firstLine="640" w:firstLineChars="200"/>
        <w:rPr>
          <w:rFonts w:ascii="Times New Roman" w:hAnsi="Times New Roman" w:eastAsia="方正仿宋_GBK"/>
          <w:sz w:val="32"/>
          <w:szCs w:val="32"/>
        </w:rPr>
      </w:pPr>
      <w:r>
        <w:rPr>
          <w:rStyle w:val="10"/>
          <w:rFonts w:ascii="方正楷体_GBK" w:hAnsi="方正楷体_GBK" w:eastAsia="方正楷体_GBK" w:cs="方正楷体_GBK"/>
          <w:b w:val="0"/>
          <w:bCs/>
          <w:sz w:val="32"/>
          <w:szCs w:val="32"/>
          <w:shd w:val="clear" w:color="auto" w:fill="FFFFFF"/>
        </w:rPr>
        <w:t>（五）使用非财政拨款结余：</w:t>
      </w:r>
      <w:r>
        <w:rPr>
          <w:rFonts w:ascii="Times New Roman" w:hAnsi="Times New Roman" w:eastAsia="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2"/>
        <w:spacing w:before="0" w:beforeAutospacing="0" w:after="0" w:afterAutospacing="0" w:line="594" w:lineRule="exact"/>
        <w:ind w:firstLine="640" w:firstLineChars="200"/>
        <w:rPr>
          <w:rFonts w:ascii="Times New Roman" w:hAnsi="Times New Roman" w:eastAsia="方正仿宋_GBK"/>
          <w:sz w:val="32"/>
          <w:szCs w:val="32"/>
        </w:rPr>
      </w:pPr>
      <w:r>
        <w:rPr>
          <w:rStyle w:val="10"/>
          <w:rFonts w:ascii="方正楷体_GBK" w:hAnsi="方正楷体_GBK" w:eastAsia="方正楷体_GBK" w:cs="方正楷体_GBK"/>
          <w:b w:val="0"/>
          <w:bCs/>
          <w:sz w:val="32"/>
          <w:szCs w:val="32"/>
          <w:shd w:val="clear" w:color="auto" w:fill="FFFFFF"/>
        </w:rPr>
        <w:t>（六）年初结转和结余：</w:t>
      </w:r>
      <w:r>
        <w:rPr>
          <w:rFonts w:ascii="Times New Roman" w:hAnsi="Times New Roman" w:eastAsia="方正仿宋_GBK"/>
          <w:sz w:val="32"/>
          <w:szCs w:val="32"/>
          <w:shd w:val="clear" w:color="auto" w:fill="FFFFFF"/>
        </w:rPr>
        <w:t>指单位上年结转本年使用的基本支出结转、项目支出结转和结余、经营结余。</w:t>
      </w:r>
    </w:p>
    <w:p>
      <w:pPr>
        <w:pStyle w:val="12"/>
        <w:spacing w:before="0" w:beforeAutospacing="0" w:after="0" w:afterAutospacing="0" w:line="594" w:lineRule="exact"/>
        <w:ind w:firstLine="640" w:firstLineChars="200"/>
        <w:rPr>
          <w:rFonts w:ascii="Times New Roman" w:hAnsi="Times New Roman" w:eastAsia="方正仿宋_GBK"/>
          <w:sz w:val="32"/>
          <w:szCs w:val="32"/>
        </w:rPr>
      </w:pPr>
      <w:r>
        <w:rPr>
          <w:rStyle w:val="10"/>
          <w:rFonts w:ascii="方正楷体_GBK" w:hAnsi="方正楷体_GBK" w:eastAsia="方正楷体_GBK" w:cs="方正楷体_GBK"/>
          <w:b w:val="0"/>
          <w:bCs/>
          <w:sz w:val="32"/>
          <w:szCs w:val="32"/>
          <w:shd w:val="clear" w:color="auto" w:fill="FFFFFF"/>
        </w:rPr>
        <w:t>（七）结余分配：</w:t>
      </w:r>
      <w:r>
        <w:rPr>
          <w:rFonts w:ascii="Times New Roman" w:hAnsi="Times New Roman" w:eastAsia="方正仿宋_GBK"/>
          <w:sz w:val="32"/>
          <w:szCs w:val="32"/>
          <w:shd w:val="clear" w:color="auto" w:fill="FFFFFF"/>
        </w:rPr>
        <w:t>指单位按照国家有关规定，缴纳所得税、提取专用基金、转入非财政拨款结余等当年结余的分配情况。</w:t>
      </w:r>
    </w:p>
    <w:p>
      <w:pPr>
        <w:pStyle w:val="12"/>
        <w:spacing w:before="0" w:beforeAutospacing="0" w:after="0" w:afterAutospacing="0" w:line="594" w:lineRule="exact"/>
        <w:ind w:firstLine="640" w:firstLineChars="200"/>
        <w:rPr>
          <w:rFonts w:ascii="Times New Roman" w:hAnsi="Times New Roman" w:eastAsia="方正仿宋_GBK"/>
          <w:sz w:val="32"/>
          <w:szCs w:val="32"/>
        </w:rPr>
      </w:pPr>
      <w:r>
        <w:rPr>
          <w:rStyle w:val="10"/>
          <w:rFonts w:ascii="方正楷体_GBK" w:hAnsi="方正楷体_GBK" w:eastAsia="方正楷体_GBK" w:cs="方正楷体_GBK"/>
          <w:b w:val="0"/>
          <w:bCs/>
          <w:sz w:val="32"/>
          <w:szCs w:val="32"/>
          <w:shd w:val="clear" w:color="auto" w:fill="FFFFFF"/>
        </w:rPr>
        <w:t>（八）年末结转和结余：</w:t>
      </w:r>
      <w:r>
        <w:rPr>
          <w:rFonts w:ascii="Times New Roman" w:hAnsi="Times New Roman" w:eastAsia="方正仿宋_GBK"/>
          <w:sz w:val="32"/>
          <w:szCs w:val="32"/>
          <w:shd w:val="clear" w:color="auto" w:fill="FFFFFF"/>
        </w:rPr>
        <w:t>指单位结转下年的基本支出结转、项目支出结转和结余、经营结余。</w:t>
      </w:r>
    </w:p>
    <w:p>
      <w:pPr>
        <w:pStyle w:val="12"/>
        <w:spacing w:before="0" w:beforeAutospacing="0" w:after="0" w:afterAutospacing="0" w:line="594" w:lineRule="exact"/>
        <w:ind w:firstLine="640" w:firstLineChars="200"/>
        <w:rPr>
          <w:rFonts w:ascii="Times New Roman" w:hAnsi="Times New Roman" w:eastAsia="方正仿宋_GBK"/>
          <w:sz w:val="32"/>
          <w:szCs w:val="32"/>
        </w:rPr>
      </w:pPr>
      <w:r>
        <w:rPr>
          <w:rStyle w:val="10"/>
          <w:rFonts w:ascii="方正楷体_GBK" w:hAnsi="方正楷体_GBK" w:eastAsia="方正楷体_GBK" w:cs="方正楷体_GBK"/>
          <w:b w:val="0"/>
          <w:bCs/>
          <w:sz w:val="32"/>
          <w:szCs w:val="32"/>
          <w:shd w:val="clear" w:color="auto" w:fill="FFFFFF"/>
        </w:rPr>
        <w:t>（九）基本支出：</w:t>
      </w:r>
      <w:r>
        <w:rPr>
          <w:rFonts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spacing w:before="0" w:beforeAutospacing="0" w:after="0" w:afterAutospacing="0" w:line="594" w:lineRule="exact"/>
        <w:ind w:firstLine="640" w:firstLineChars="200"/>
        <w:rPr>
          <w:rFonts w:ascii="Times New Roman" w:hAnsi="Times New Roman" w:eastAsia="方正仿宋_GBK"/>
          <w:sz w:val="32"/>
          <w:szCs w:val="32"/>
        </w:rPr>
      </w:pPr>
      <w:r>
        <w:rPr>
          <w:rStyle w:val="10"/>
          <w:rFonts w:ascii="方正楷体_GBK" w:hAnsi="方正楷体_GBK" w:eastAsia="方正楷体_GBK" w:cs="方正楷体_GBK"/>
          <w:b w:val="0"/>
          <w:bCs/>
          <w:sz w:val="32"/>
          <w:szCs w:val="32"/>
          <w:shd w:val="clear" w:color="auto" w:fill="FFFFFF"/>
        </w:rPr>
        <w:t>（十）项目支出：</w:t>
      </w:r>
      <w:r>
        <w:rPr>
          <w:rFonts w:ascii="Times New Roman" w:hAnsi="Times New Roman" w:eastAsia="方正仿宋_GBK"/>
          <w:sz w:val="32"/>
          <w:szCs w:val="32"/>
          <w:shd w:val="clear" w:color="auto" w:fill="FFFFFF"/>
        </w:rPr>
        <w:t>指在基本支出之外为完成特定行政任务和事业发展目标所发生的支出。</w:t>
      </w:r>
    </w:p>
    <w:p>
      <w:pPr>
        <w:pStyle w:val="12"/>
        <w:spacing w:before="0" w:beforeAutospacing="0" w:after="0" w:afterAutospacing="0" w:line="594" w:lineRule="exact"/>
        <w:ind w:firstLine="640" w:firstLineChars="200"/>
        <w:rPr>
          <w:rFonts w:ascii="Times New Roman" w:hAnsi="Times New Roman" w:eastAsia="方正仿宋_GBK"/>
          <w:sz w:val="32"/>
          <w:szCs w:val="32"/>
        </w:rPr>
      </w:pPr>
      <w:r>
        <w:rPr>
          <w:rStyle w:val="10"/>
          <w:rFonts w:ascii="方正楷体_GBK" w:hAnsi="方正楷体_GBK" w:eastAsia="方正楷体_GBK" w:cs="方正楷体_GBK"/>
          <w:b w:val="0"/>
          <w:bCs/>
          <w:sz w:val="32"/>
          <w:szCs w:val="32"/>
          <w:shd w:val="clear" w:color="auto" w:fill="FFFFFF"/>
        </w:rPr>
        <w:t>（十一）经营支出：</w:t>
      </w:r>
      <w:r>
        <w:rPr>
          <w:rFonts w:ascii="Times New Roman" w:hAnsi="Times New Roman" w:eastAsia="方正仿宋_GBK"/>
          <w:sz w:val="32"/>
          <w:szCs w:val="32"/>
          <w:shd w:val="clear" w:color="auto" w:fill="FFFFFF"/>
        </w:rPr>
        <w:t>指事业单位在专业业务活动及其辅助活动之外开展非独立核算经营活动发生的支出。</w:t>
      </w:r>
    </w:p>
    <w:p>
      <w:pPr>
        <w:pStyle w:val="12"/>
        <w:spacing w:before="0" w:beforeAutospacing="0" w:after="0" w:afterAutospacing="0" w:line="594" w:lineRule="exact"/>
        <w:ind w:firstLine="640" w:firstLineChars="200"/>
        <w:rPr>
          <w:rFonts w:ascii="Times New Roman" w:hAnsi="Times New Roman" w:eastAsia="方正仿宋_GBK"/>
          <w:sz w:val="32"/>
          <w:szCs w:val="32"/>
        </w:rPr>
      </w:pPr>
      <w:r>
        <w:rPr>
          <w:rStyle w:val="10"/>
          <w:rFonts w:ascii="方正楷体_GBK" w:hAnsi="方正楷体_GBK" w:eastAsia="方正楷体_GBK" w:cs="方正楷体_GBK"/>
          <w:b w:val="0"/>
          <w:bCs/>
          <w:sz w:val="32"/>
          <w:szCs w:val="32"/>
          <w:shd w:val="clear" w:color="auto" w:fill="FFFFFF"/>
        </w:rPr>
        <w:t>（十二）</w:t>
      </w:r>
      <w:r>
        <w:rPr>
          <w:rStyle w:val="10"/>
          <w:rFonts w:hint="eastAsia" w:ascii="方正楷体_GBK" w:hAnsi="方正楷体_GBK" w:eastAsia="方正楷体_GBK" w:cs="方正楷体_GBK"/>
          <w:b w:val="0"/>
          <w:bCs/>
          <w:sz w:val="32"/>
          <w:szCs w:val="32"/>
          <w:shd w:val="clear" w:color="auto" w:fill="FFFFFF"/>
          <w:lang w:eastAsia="zh-CN"/>
        </w:rPr>
        <w:t>三公</w:t>
      </w:r>
      <w:r>
        <w:rPr>
          <w:rStyle w:val="10"/>
          <w:rFonts w:ascii="方正楷体_GBK" w:hAnsi="方正楷体_GBK" w:eastAsia="方正楷体_GBK" w:cs="方正楷体_GBK"/>
          <w:b w:val="0"/>
          <w:bCs/>
          <w:sz w:val="32"/>
          <w:szCs w:val="32"/>
          <w:shd w:val="clear" w:color="auto" w:fill="FFFFFF"/>
        </w:rPr>
        <w:t>经费：</w:t>
      </w:r>
      <w:r>
        <w:rPr>
          <w:rFonts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spacing w:before="0" w:beforeAutospacing="0" w:after="0" w:afterAutospacing="0" w:line="594" w:lineRule="exact"/>
        <w:ind w:firstLine="640" w:firstLineChars="200"/>
        <w:rPr>
          <w:rFonts w:ascii="Times New Roman" w:hAnsi="Times New Roman" w:eastAsia="方正仿宋_GBK"/>
          <w:sz w:val="32"/>
          <w:szCs w:val="32"/>
        </w:rPr>
      </w:pPr>
      <w:r>
        <w:rPr>
          <w:rStyle w:val="10"/>
          <w:rFonts w:ascii="方正楷体_GBK" w:hAnsi="方正楷体_GBK" w:eastAsia="方正楷体_GBK" w:cs="方正楷体_GBK"/>
          <w:b w:val="0"/>
          <w:bCs/>
          <w:sz w:val="32"/>
          <w:szCs w:val="32"/>
          <w:shd w:val="clear" w:color="auto" w:fill="FFFFFF"/>
        </w:rPr>
        <w:t>（十三）机关运行经费：</w:t>
      </w:r>
      <w:r>
        <w:rPr>
          <w:rFonts w:ascii="Times New Roman"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spacing w:before="0" w:beforeAutospacing="0" w:after="0" w:afterAutospacing="0" w:line="594" w:lineRule="exact"/>
        <w:ind w:firstLine="640" w:firstLineChars="200"/>
        <w:rPr>
          <w:rFonts w:ascii="Times New Roman" w:hAnsi="Times New Roman" w:eastAsia="方正仿宋_GBK"/>
          <w:sz w:val="32"/>
          <w:szCs w:val="32"/>
        </w:rPr>
      </w:pPr>
      <w:r>
        <w:rPr>
          <w:rStyle w:val="10"/>
          <w:rFonts w:ascii="方正楷体_GBK" w:hAnsi="方正楷体_GBK" w:eastAsia="方正楷体_GBK" w:cs="方正楷体_GBK"/>
          <w:b w:val="0"/>
          <w:bCs/>
          <w:sz w:val="32"/>
          <w:szCs w:val="32"/>
          <w:shd w:val="clear" w:color="auto" w:fill="FFFFFF"/>
        </w:rPr>
        <w:t>（十四）工资福利支出（支出经济分类科目类级）：</w:t>
      </w:r>
      <w:r>
        <w:rPr>
          <w:rFonts w:ascii="Times New Roman" w:hAnsi="Times New Roman" w:eastAsia="方正仿宋_GBK"/>
          <w:sz w:val="32"/>
          <w:szCs w:val="32"/>
          <w:shd w:val="clear" w:color="auto" w:fill="FFFFFF"/>
        </w:rPr>
        <w:t>反映单位开支的在职职工和编制外长期聘用人员的各类劳动报酬，以及为上述人员缴纳的各项社会保险费等。</w:t>
      </w:r>
    </w:p>
    <w:p>
      <w:pPr>
        <w:pStyle w:val="12"/>
        <w:spacing w:before="0" w:beforeAutospacing="0" w:after="0" w:afterAutospacing="0" w:line="594" w:lineRule="exact"/>
        <w:ind w:firstLine="640" w:firstLineChars="200"/>
        <w:rPr>
          <w:rFonts w:ascii="Times New Roman" w:hAnsi="Times New Roman" w:eastAsia="方正仿宋_GBK"/>
          <w:sz w:val="32"/>
          <w:szCs w:val="32"/>
        </w:rPr>
      </w:pPr>
      <w:r>
        <w:rPr>
          <w:rStyle w:val="10"/>
          <w:rFonts w:ascii="方正楷体_GBK" w:hAnsi="方正楷体_GBK" w:eastAsia="方正楷体_GBK" w:cs="方正楷体_GBK"/>
          <w:b w:val="0"/>
          <w:bCs/>
          <w:sz w:val="32"/>
          <w:szCs w:val="32"/>
          <w:shd w:val="clear" w:color="auto" w:fill="FFFFFF"/>
        </w:rPr>
        <w:t>（十五）商品和服务支出（支出经济分类科目类级）：</w:t>
      </w:r>
      <w:r>
        <w:rPr>
          <w:rFonts w:ascii="Times New Roman" w:hAnsi="Times New Roman" w:eastAsia="方正仿宋_GBK"/>
          <w:sz w:val="32"/>
          <w:szCs w:val="32"/>
          <w:shd w:val="clear" w:color="auto" w:fill="FFFFFF"/>
        </w:rPr>
        <w:t>反映单位购买商品和服务的支出（不包括用于购置固定资产的支出、战略性和应急储备支出）。</w:t>
      </w:r>
    </w:p>
    <w:p>
      <w:pPr>
        <w:pStyle w:val="12"/>
        <w:spacing w:before="0" w:beforeAutospacing="0" w:after="0" w:afterAutospacing="0" w:line="594" w:lineRule="exact"/>
        <w:ind w:firstLine="640" w:firstLineChars="200"/>
        <w:rPr>
          <w:rFonts w:ascii="Times New Roman" w:hAnsi="Times New Roman" w:eastAsia="方正仿宋_GBK"/>
          <w:sz w:val="32"/>
          <w:szCs w:val="32"/>
        </w:rPr>
      </w:pPr>
      <w:r>
        <w:rPr>
          <w:rStyle w:val="10"/>
          <w:rFonts w:ascii="方正楷体_GBK" w:hAnsi="方正楷体_GBK" w:eastAsia="方正楷体_GBK" w:cs="方正楷体_GBK"/>
          <w:b w:val="0"/>
          <w:bCs/>
          <w:sz w:val="32"/>
          <w:szCs w:val="32"/>
          <w:shd w:val="clear" w:color="auto" w:fill="FFFFFF"/>
        </w:rPr>
        <w:t>（十六）对个人和家庭的补助（支出经济分类科目类级）：</w:t>
      </w:r>
      <w:r>
        <w:rPr>
          <w:rFonts w:ascii="Times New Roman" w:hAnsi="Times New Roman" w:eastAsia="方正仿宋_GBK"/>
          <w:sz w:val="32"/>
          <w:szCs w:val="32"/>
          <w:shd w:val="clear" w:color="auto" w:fill="FFFFFF"/>
        </w:rPr>
        <w:t>反映用于对个人和家庭的补助支出。</w:t>
      </w:r>
    </w:p>
    <w:p>
      <w:pPr>
        <w:pStyle w:val="12"/>
        <w:spacing w:before="0" w:beforeAutospacing="0" w:after="0" w:afterAutospacing="0" w:line="594" w:lineRule="exact"/>
        <w:ind w:firstLine="640" w:firstLineChars="200"/>
        <w:rPr>
          <w:rFonts w:ascii="Times New Roman" w:hAnsi="Times New Roman" w:eastAsia="方正仿宋_GBK"/>
          <w:sz w:val="32"/>
          <w:szCs w:val="32"/>
        </w:rPr>
      </w:pPr>
      <w:r>
        <w:rPr>
          <w:rStyle w:val="10"/>
          <w:rFonts w:ascii="方正楷体_GBK" w:hAnsi="方正楷体_GBK" w:eastAsia="方正楷体_GBK" w:cs="方正楷体_GBK"/>
          <w:b w:val="0"/>
          <w:bCs/>
          <w:sz w:val="32"/>
          <w:szCs w:val="32"/>
          <w:shd w:val="clear" w:color="auto" w:fill="FFFFFF"/>
        </w:rPr>
        <w:t>（十七）其他资本性支出（支出经济分类科目类级）：</w:t>
      </w:r>
      <w:r>
        <w:rPr>
          <w:rFonts w:ascii="Times New Roman"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2"/>
        <w:spacing w:before="0" w:beforeAutospacing="0" w:after="0" w:afterAutospacing="0" w:line="594" w:lineRule="exact"/>
        <w:ind w:firstLine="640" w:firstLineChars="200"/>
        <w:rPr>
          <w:rFonts w:ascii="Times New Roman" w:hAnsi="Times New Roman" w:eastAsia="方正仿宋_GBK"/>
          <w:sz w:val="32"/>
          <w:szCs w:val="32"/>
        </w:rPr>
      </w:pPr>
      <w:r>
        <w:rPr>
          <w:rStyle w:val="10"/>
          <w:rFonts w:hint="eastAsia" w:ascii="方正黑体_GBK" w:hAnsi="方正黑体_GBK" w:eastAsia="方正黑体_GBK" w:cs="方正黑体_GBK"/>
          <w:b w:val="0"/>
          <w:bCs/>
          <w:sz w:val="32"/>
          <w:szCs w:val="32"/>
          <w:shd w:val="clear" w:color="auto" w:fill="FFFFFF"/>
        </w:rPr>
        <w:t>七、决算公开联系方式及信息反馈渠道</w:t>
      </w:r>
    </w:p>
    <w:p>
      <w:pPr>
        <w:pStyle w:val="12"/>
        <w:spacing w:before="0" w:beforeAutospacing="0" w:after="0" w:afterAutospacing="0" w:line="594"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本单位决算公开信息反馈和联系方式：</w:t>
      </w:r>
    </w:p>
    <w:p>
      <w:pPr>
        <w:pStyle w:val="12"/>
        <w:spacing w:before="0" w:beforeAutospacing="0" w:after="0" w:afterAutospacing="0" w:line="594" w:lineRule="exact"/>
        <w:ind w:firstLine="640" w:firstLineChars="200"/>
        <w:rPr>
          <w:rStyle w:val="13"/>
          <w:rFonts w:ascii="Times New Roman" w:hAnsi="Times New Roman" w:eastAsia="方正仿宋_GBK" w:cs="Times New Roman"/>
          <w:sz w:val="32"/>
          <w:szCs w:val="32"/>
          <w:shd w:val="clear" w:color="auto" w:fill="FFFF00"/>
        </w:rPr>
      </w:pPr>
      <w:r>
        <w:rPr>
          <w:rFonts w:hint="eastAsia" w:ascii="Times New Roman" w:hAnsi="Times New Roman" w:eastAsia="方正仿宋_GBK"/>
          <w:sz w:val="32"/>
          <w:szCs w:val="32"/>
          <w:shd w:val="clear" w:color="auto" w:fill="FFFFFF"/>
        </w:rPr>
        <w:t>张老师</w:t>
      </w:r>
      <w:r>
        <w:rPr>
          <w:rFonts w:ascii="Times New Roman" w:hAnsi="Times New Roman" w:eastAsia="方正仿宋_GBK"/>
          <w:sz w:val="32"/>
          <w:szCs w:val="32"/>
          <w:shd w:val="clear" w:color="auto" w:fill="FFFFFF"/>
        </w:rPr>
        <w:t xml:space="preserve">   023-</w:t>
      </w:r>
      <w:r>
        <w:rPr>
          <w:rFonts w:hint="eastAsia" w:ascii="Times New Roman" w:hAnsi="Times New Roman" w:eastAsia="方正仿宋_GBK"/>
          <w:sz w:val="32"/>
          <w:szCs w:val="32"/>
          <w:shd w:val="clear" w:color="auto" w:fill="FFFFFF"/>
        </w:rPr>
        <w:t>74616090</w:t>
      </w:r>
    </w:p>
    <w:p>
      <w:pPr>
        <w:pStyle w:val="11"/>
        <w:autoSpaceDE w:val="0"/>
        <w:spacing w:line="594" w:lineRule="exact"/>
        <w:ind w:firstLine="0" w:firstLineChars="0"/>
        <w:jc w:val="both"/>
        <w:rPr>
          <w:rStyle w:val="13"/>
          <w:rFonts w:ascii="Times New Roman" w:hAnsi="Times New Roman" w:eastAsia="方正仿宋_GBK" w:cs="Times New Roman"/>
          <w:sz w:val="32"/>
          <w:szCs w:val="32"/>
          <w:shd w:val="clear" w:color="auto" w:fill="FFFF00"/>
        </w:rPr>
      </w:pPr>
    </w:p>
    <w:p>
      <w:pPr>
        <w:pStyle w:val="11"/>
        <w:autoSpaceDE w:val="0"/>
        <w:spacing w:line="594" w:lineRule="exact"/>
        <w:ind w:firstLine="0" w:firstLineChars="0"/>
        <w:jc w:val="both"/>
        <w:rPr>
          <w:rStyle w:val="13"/>
          <w:rFonts w:hint="eastAsia" w:ascii="Times New Roman" w:hAnsi="Times New Roman" w:eastAsia="方正仿宋_GBK" w:cs="Times New Roman"/>
          <w:sz w:val="32"/>
          <w:szCs w:val="32"/>
          <w:shd w:val="clear" w:color="auto" w:fill="FFFF00"/>
        </w:rPr>
        <w:sectPr>
          <w:footerReference r:id="rId3" w:type="default"/>
          <w:pgSz w:w="11915" w:h="16840"/>
          <w:pgMar w:top="1984" w:right="1446" w:bottom="1644" w:left="1446"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594"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594" w:lineRule="exact"/>
              <w:jc w:val="right"/>
              <w:rPr>
                <w:rFonts w:hint="default" w:ascii="Times New Roman" w:hAnsi="Times New Roman"/>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公开01表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2"/>
                <w:szCs w:val="22"/>
              </w:rPr>
            </w:pPr>
            <w:r>
              <w:rPr>
                <w:rFonts w:hint="default" w:ascii="Times New Roman" w:hAnsi="Times New Roman"/>
                <w:sz w:val="20"/>
                <w:szCs w:val="20"/>
              </w:rPr>
              <w:t>部门：</w:t>
            </w:r>
            <w:r>
              <w:rPr>
                <w:rFonts w:hint="default" w:ascii="Times New Roman" w:hAnsi="Times New Roman"/>
                <w:sz w:val="20"/>
              </w:rPr>
              <w:t>中国共产党垫江县委党校</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1,095.63</w:t>
            </w:r>
            <w:r>
              <w:rPr>
                <w:rFonts w:hint="default"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26.57</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780.82</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203.76</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594"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30.19</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594"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594"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594"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54.53</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rPr>
                <w:rFonts w:hint="default" w:ascii="Times New Roman" w:hAnsi="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1,095.63</w:t>
            </w:r>
            <w:r>
              <w:rPr>
                <w:rFonts w:hint="default"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1,095.86</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0.23</w:t>
            </w:r>
            <w:r>
              <w:rPr>
                <w:rFonts w:hint="default"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1,095.86</w:t>
            </w:r>
            <w:r>
              <w:rPr>
                <w:rFonts w:hint="default"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1,095.86</w:t>
            </w:r>
            <w:r>
              <w:rPr>
                <w:rFonts w:hint="default" w:ascii="Times New Roman" w:hAnsi="Times New Roman"/>
                <w:color w:val="000000"/>
                <w:sz w:val="20"/>
              </w:rPr>
              <w:t xml:space="preserve"> </w:t>
            </w:r>
          </w:p>
        </w:tc>
      </w:tr>
    </w:tbl>
    <w:p>
      <w:pPr>
        <w:spacing w:line="594" w:lineRule="exact"/>
        <w:rPr>
          <w:rFonts w:hint="default" w:ascii="Times New Roman" w:hAnsi="Times New Roman"/>
          <w:sz w:val="21"/>
          <w:szCs w:val="21"/>
        </w:rPr>
      </w:pPr>
    </w:p>
    <w:p>
      <w:pPr>
        <w:spacing w:line="594" w:lineRule="exact"/>
        <w:rPr>
          <w:rFonts w:hint="default" w:ascii="Times New Roman" w:hAnsi="Times New Roman"/>
          <w:sz w:val="20"/>
          <w:szCs w:val="20"/>
        </w:rPr>
      </w:pPr>
      <w:r>
        <w:rPr>
          <w:rFonts w:hint="default" w:ascii="Times New Roman" w:hAnsi="Times New Roman"/>
          <w:sz w:val="20"/>
          <w:szCs w:val="20"/>
        </w:rPr>
        <w:t>备注：1.本表反映部门本年度的总收支和年末结转结余情况。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362"/>
        <w:gridCol w:w="2973"/>
        <w:gridCol w:w="1377"/>
        <w:gridCol w:w="1429"/>
        <w:gridCol w:w="1463"/>
        <w:gridCol w:w="1355"/>
        <w:gridCol w:w="1386"/>
        <w:gridCol w:w="1256"/>
        <w:gridCol w:w="1256"/>
        <w:gridCol w:w="1646"/>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spacing w:line="594"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收入决算表</w:t>
            </w:r>
          </w:p>
        </w:tc>
      </w:tr>
      <w:tr>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r>
              <w:rPr>
                <w:rFonts w:hint="default" w:ascii="Times New Roman" w:hAnsi="Times New Roman"/>
                <w:sz w:val="20"/>
                <w:szCs w:val="20"/>
              </w:rPr>
              <w:t>部门：</w:t>
            </w:r>
            <w:r>
              <w:rPr>
                <w:rFonts w:hint="default" w:ascii="Times New Roman" w:hAnsi="Times New Roman"/>
                <w:sz w:val="20"/>
              </w:rPr>
              <w:t>中国共产党垫江县委党校</w:t>
            </w:r>
          </w:p>
        </w:tc>
        <w:tc>
          <w:tcPr>
            <w:tcW w:w="461"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pPr>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公开02表</w:t>
            </w:r>
          </w:p>
        </w:tc>
      </w:tr>
      <w:tr>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pPr>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431" w:hRule="atLeast"/>
        </w:trPr>
        <w:tc>
          <w:tcPr>
            <w:tcW w:w="139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spacing w:line="594" w:lineRule="exact"/>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94" w:lineRule="exact"/>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附属单位上缴收入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其他收入</w:t>
            </w:r>
          </w:p>
        </w:tc>
      </w:tr>
      <w:tr>
        <w:tblPrEx>
          <w:tblCellMar>
            <w:top w:w="0" w:type="dxa"/>
            <w:left w:w="0" w:type="dxa"/>
            <w:bottom w:w="0" w:type="dxa"/>
            <w:right w:w="0" w:type="dxa"/>
          </w:tblCellMar>
        </w:tblPrEx>
        <w:trPr>
          <w:trHeight w:val="59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小计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59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59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59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8" w:hRule="atLeast"/>
        </w:trPr>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1,095.63</w:t>
            </w:r>
            <w:r>
              <w:rPr>
                <w:rFonts w:hint="default" w:ascii="Times New Roman" w:hAnsi="Times New Roman"/>
                <w:b/>
                <w:color w:val="000000"/>
                <w:sz w:val="20"/>
              </w:rPr>
              <w:t xml:space="preserve"> </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1,095.63</w:t>
            </w:r>
            <w:r>
              <w:rPr>
                <w:rFonts w:hint="default" w:ascii="Times New Roman" w:hAnsi="Times New Roman"/>
                <w:b/>
                <w:color w:val="000000"/>
                <w:sz w:val="20"/>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一般公共服务支出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26.57</w:t>
            </w:r>
            <w:r>
              <w:rPr>
                <w:rFonts w:hint="default"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26.57</w:t>
            </w:r>
            <w:r>
              <w:rPr>
                <w:rFonts w:hint="default"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20132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组织事务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26.57</w:t>
            </w:r>
            <w:r>
              <w:rPr>
                <w:rFonts w:hint="default"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26.57</w:t>
            </w:r>
            <w:r>
              <w:rPr>
                <w:rFonts w:hint="default"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2013202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26.57</w:t>
            </w:r>
            <w:r>
              <w:rPr>
                <w:rFonts w:hint="default"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26.57</w:t>
            </w:r>
            <w:r>
              <w:rPr>
                <w:rFonts w:hint="default"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教育支出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780.58</w:t>
            </w:r>
            <w:r>
              <w:rPr>
                <w:rFonts w:hint="default"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780.58</w:t>
            </w:r>
            <w:r>
              <w:rPr>
                <w:rFonts w:hint="default"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20508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进修及培训</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780.58</w:t>
            </w:r>
            <w:r>
              <w:rPr>
                <w:rFonts w:hint="default"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780.58</w:t>
            </w:r>
            <w:r>
              <w:rPr>
                <w:rFonts w:hint="default"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2050802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干部教育</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778.15</w:t>
            </w:r>
            <w:r>
              <w:rPr>
                <w:rFonts w:hint="default"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778.15</w:t>
            </w:r>
            <w:r>
              <w:rPr>
                <w:rFonts w:hint="default"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2050803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培训支出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w:t>
            </w:r>
            <w:r>
              <w:rPr>
                <w:rFonts w:hint="default"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w:t>
            </w:r>
            <w:r>
              <w:rPr>
                <w:rFonts w:hint="default"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203.76</w:t>
            </w:r>
            <w:r>
              <w:rPr>
                <w:rFonts w:hint="default"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203.76</w:t>
            </w:r>
            <w:r>
              <w:rPr>
                <w:rFonts w:hint="default"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20801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人力资源和社会保障管理事务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0.11</w:t>
            </w:r>
            <w:r>
              <w:rPr>
                <w:rFonts w:hint="default"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0.11</w:t>
            </w:r>
            <w:r>
              <w:rPr>
                <w:rFonts w:hint="default"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2080102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0.11</w:t>
            </w:r>
            <w:r>
              <w:rPr>
                <w:rFonts w:hint="default"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0.11</w:t>
            </w:r>
            <w:r>
              <w:rPr>
                <w:rFonts w:hint="default"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203.65</w:t>
            </w:r>
            <w:r>
              <w:rPr>
                <w:rFonts w:hint="default"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203.65</w:t>
            </w:r>
            <w:r>
              <w:rPr>
                <w:rFonts w:hint="default"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91.11</w:t>
            </w:r>
            <w:r>
              <w:rPr>
                <w:rFonts w:hint="default"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91.11</w:t>
            </w:r>
            <w:r>
              <w:rPr>
                <w:rFonts w:hint="default"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45.76</w:t>
            </w:r>
            <w:r>
              <w:rPr>
                <w:rFonts w:hint="default"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45.76</w:t>
            </w:r>
            <w:r>
              <w:rPr>
                <w:rFonts w:hint="default"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2080599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66.77</w:t>
            </w:r>
            <w:r>
              <w:rPr>
                <w:rFonts w:hint="default"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66.77</w:t>
            </w:r>
            <w:r>
              <w:rPr>
                <w:rFonts w:hint="default"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30.19</w:t>
            </w:r>
            <w:r>
              <w:rPr>
                <w:rFonts w:hint="default"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30.19</w:t>
            </w:r>
            <w:r>
              <w:rPr>
                <w:rFonts w:hint="default"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30.19</w:t>
            </w:r>
            <w:r>
              <w:rPr>
                <w:rFonts w:hint="default"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30.19</w:t>
            </w:r>
            <w:r>
              <w:rPr>
                <w:rFonts w:hint="default"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2101101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行政单位医疗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11.52</w:t>
            </w:r>
            <w:r>
              <w:rPr>
                <w:rFonts w:hint="default"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11.52</w:t>
            </w:r>
            <w:r>
              <w:rPr>
                <w:rFonts w:hint="default"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18.66</w:t>
            </w:r>
            <w:r>
              <w:rPr>
                <w:rFonts w:hint="default"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18.66</w:t>
            </w:r>
            <w:r>
              <w:rPr>
                <w:rFonts w:hint="default"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54.53</w:t>
            </w:r>
            <w:r>
              <w:rPr>
                <w:rFonts w:hint="default"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54.53</w:t>
            </w:r>
            <w:r>
              <w:rPr>
                <w:rFonts w:hint="default"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54.53</w:t>
            </w:r>
            <w:r>
              <w:rPr>
                <w:rFonts w:hint="default"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54.53</w:t>
            </w:r>
            <w:r>
              <w:rPr>
                <w:rFonts w:hint="default"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54.53</w:t>
            </w:r>
            <w:r>
              <w:rPr>
                <w:rFonts w:hint="default"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54.53</w:t>
            </w:r>
            <w:r>
              <w:rPr>
                <w:rFonts w:hint="default"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bl>
    <w:p>
      <w:pPr>
        <w:spacing w:line="594" w:lineRule="exact"/>
        <w:ind w:left="600" w:hanging="600" w:hangingChars="300"/>
        <w:rPr>
          <w:rFonts w:hint="default" w:ascii="Times New Roman" w:hAnsi="Times New Roman"/>
          <w:sz w:val="20"/>
          <w:szCs w:val="20"/>
        </w:rPr>
      </w:pPr>
      <w:r>
        <w:rPr>
          <w:rFonts w:hint="default" w:ascii="Times New Roman" w:hAnsi="Times New Roman"/>
          <w:sz w:val="20"/>
          <w:szCs w:val="20"/>
        </w:rPr>
        <w:t>备注：1.本表反映部门本年度取得的各项收入情况。</w:t>
      </w:r>
      <w:r>
        <w:rPr>
          <w:rFonts w:hint="default" w:ascii="Times New Roman" w:hAnsi="Times New Roman"/>
          <w:sz w:val="20"/>
          <w:szCs w:val="20"/>
        </w:rPr>
        <w:br w:type="textWrapping"/>
      </w:r>
      <w:r>
        <w:rPr>
          <w:rFonts w:hint="default" w:ascii="Times New Roman" w:hAnsi="Times New Roman"/>
          <w:sz w:val="20"/>
          <w:szCs w:val="20"/>
        </w:rPr>
        <w:t>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spacing w:line="594" w:lineRule="exact"/>
        <w:rPr>
          <w:rFonts w:hint="default" w:ascii="Times New Roman" w:hAnsi="Times New Roman"/>
          <w:sz w:val="20"/>
          <w:szCs w:val="20"/>
        </w:rPr>
      </w:pPr>
      <w:r>
        <w:rPr>
          <w:rFonts w:hint="default" w:ascii="Times New Roman" w:hAnsi="Times New Roman"/>
          <w:sz w:val="20"/>
          <w:szCs w:val="20"/>
        </w:rPr>
        <w:br w:type="page"/>
      </w:r>
    </w:p>
    <w:tbl>
      <w:tblPr>
        <w:tblStyle w:val="7"/>
        <w:tblW w:w="5000" w:type="pct"/>
        <w:tblInd w:w="0" w:type="dxa"/>
        <w:tblLayout w:type="fixed"/>
        <w:tblCellMar>
          <w:top w:w="0" w:type="dxa"/>
          <w:left w:w="0" w:type="dxa"/>
          <w:bottom w:w="0" w:type="dxa"/>
          <w:right w:w="0" w:type="dxa"/>
        </w:tblCellMar>
      </w:tblPr>
      <w:tblGrid>
        <w:gridCol w:w="1234"/>
        <w:gridCol w:w="3916"/>
        <w:gridCol w:w="1799"/>
        <w:gridCol w:w="1738"/>
        <w:gridCol w:w="1569"/>
        <w:gridCol w:w="1508"/>
        <w:gridCol w:w="1670"/>
        <w:gridCol w:w="188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spacing w:line="594"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支出决算表</w:t>
            </w:r>
          </w:p>
        </w:tc>
      </w:tr>
      <w:tr>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r>
              <w:rPr>
                <w:rFonts w:hint="default" w:ascii="Times New Roman" w:hAnsi="Times New Roman"/>
                <w:sz w:val="20"/>
                <w:szCs w:val="20"/>
              </w:rPr>
              <w:t>部门</w:t>
            </w:r>
            <w:r>
              <w:rPr>
                <w:rFonts w:hint="default" w:ascii="Times New Roman" w:hAnsi="Times New Roman"/>
                <w:color w:val="000000"/>
                <w:sz w:val="20"/>
                <w:szCs w:val="20"/>
              </w:rPr>
              <w:t>：</w:t>
            </w:r>
            <w:r>
              <w:rPr>
                <w:rFonts w:hint="default" w:ascii="Times New Roman" w:hAnsi="Times New Roman"/>
                <w:color w:val="000000"/>
                <w:sz w:val="20"/>
              </w:rPr>
              <w:t xml:space="preserve">中国共产党垫江县委党校 </w:t>
            </w:r>
          </w:p>
        </w:tc>
        <w:tc>
          <w:tcPr>
            <w:tcW w:w="567"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pPr>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公开03表</w:t>
            </w:r>
          </w:p>
        </w:tc>
      </w:tr>
      <w:tr>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pPr>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94" w:lineRule="exact"/>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对附属单位补助支出</w:t>
            </w:r>
          </w:p>
        </w:tc>
      </w:tr>
      <w:tr>
        <w:tblPrEx>
          <w:tblCellMar>
            <w:top w:w="0" w:type="dxa"/>
            <w:left w:w="0" w:type="dxa"/>
            <w:bottom w:w="0" w:type="dxa"/>
            <w:right w:w="0" w:type="dxa"/>
          </w:tblCellMar>
        </w:tblPrEx>
        <w:trPr>
          <w:trHeight w:val="594"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594"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594"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594"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1,095.86</w:t>
            </w:r>
            <w:r>
              <w:rPr>
                <w:rFonts w:hint="default" w:ascii="Times New Roman" w:hAnsi="Times New Roman"/>
                <w:b/>
                <w:color w:val="000000"/>
                <w:sz w:val="20"/>
              </w:rPr>
              <w:t xml:space="preserve"> </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909.85</w:t>
            </w:r>
            <w:r>
              <w:rPr>
                <w:rFonts w:hint="default" w:ascii="Times New Roman" w:hAnsi="Times New Roman"/>
                <w:b/>
                <w:color w:val="000000"/>
                <w:sz w:val="20"/>
              </w:rPr>
              <w:t xml:space="preserve"> </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186.01</w:t>
            </w:r>
            <w:r>
              <w:rPr>
                <w:rFonts w:hint="default" w:ascii="Times New Roman" w:hAnsi="Times New Roman"/>
                <w:b/>
                <w:color w:val="000000"/>
                <w:sz w:val="20"/>
              </w:rPr>
              <w:t xml:space="preserve"> </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一般公共服务支出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26.57</w:t>
            </w:r>
            <w:r>
              <w:rPr>
                <w:rFonts w:hint="default"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26.57</w:t>
            </w:r>
            <w:r>
              <w:rPr>
                <w:rFonts w:hint="default"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20132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组织事务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26.57</w:t>
            </w:r>
            <w:r>
              <w:rPr>
                <w:rFonts w:hint="default"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26.57</w:t>
            </w:r>
            <w:r>
              <w:rPr>
                <w:rFonts w:hint="default"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2013202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26.57</w:t>
            </w:r>
            <w:r>
              <w:rPr>
                <w:rFonts w:hint="default"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26.57</w:t>
            </w:r>
            <w:r>
              <w:rPr>
                <w:rFonts w:hint="default"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教育支出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780.82</w:t>
            </w:r>
            <w:r>
              <w:rPr>
                <w:rFonts w:hint="default"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621.49</w:t>
            </w:r>
            <w:r>
              <w:rPr>
                <w:rFonts w:hint="default"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159.33</w:t>
            </w:r>
            <w:r>
              <w:rPr>
                <w:rFonts w:hint="default"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20508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进修及培训</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780.82</w:t>
            </w:r>
            <w:r>
              <w:rPr>
                <w:rFonts w:hint="default"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621.49</w:t>
            </w:r>
            <w:r>
              <w:rPr>
                <w:rFonts w:hint="default"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159.33</w:t>
            </w:r>
            <w:r>
              <w:rPr>
                <w:rFonts w:hint="default"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2050802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干部教育</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778.38</w:t>
            </w:r>
            <w:r>
              <w:rPr>
                <w:rFonts w:hint="default"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619.05</w:t>
            </w:r>
            <w:r>
              <w:rPr>
                <w:rFonts w:hint="default"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159.33</w:t>
            </w:r>
            <w:r>
              <w:rPr>
                <w:rFonts w:hint="default"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2050803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培训支出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w:t>
            </w:r>
            <w:r>
              <w:rPr>
                <w:rFonts w:hint="default"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w:t>
            </w:r>
            <w:r>
              <w:rPr>
                <w:rFonts w:hint="default"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203.76</w:t>
            </w:r>
            <w:r>
              <w:rPr>
                <w:rFonts w:hint="default"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203.65</w:t>
            </w:r>
            <w:r>
              <w:rPr>
                <w:rFonts w:hint="default"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0.11</w:t>
            </w:r>
            <w:r>
              <w:rPr>
                <w:rFonts w:hint="default"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20801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人力资源和社会保障管理事务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0.11</w:t>
            </w:r>
            <w:r>
              <w:rPr>
                <w:rFonts w:hint="default"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0.11</w:t>
            </w:r>
            <w:r>
              <w:rPr>
                <w:rFonts w:hint="default"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2080102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0.11</w:t>
            </w:r>
            <w:r>
              <w:rPr>
                <w:rFonts w:hint="default"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0.11</w:t>
            </w:r>
            <w:r>
              <w:rPr>
                <w:rFonts w:hint="default"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203.65</w:t>
            </w:r>
            <w:r>
              <w:rPr>
                <w:rFonts w:hint="default"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203.65</w:t>
            </w:r>
            <w:r>
              <w:rPr>
                <w:rFonts w:hint="default"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91.11</w:t>
            </w:r>
            <w:r>
              <w:rPr>
                <w:rFonts w:hint="default"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91.11</w:t>
            </w:r>
            <w:r>
              <w:rPr>
                <w:rFonts w:hint="default"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45.76</w:t>
            </w:r>
            <w:r>
              <w:rPr>
                <w:rFonts w:hint="default"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45.76</w:t>
            </w:r>
            <w:r>
              <w:rPr>
                <w:rFonts w:hint="default"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2080599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66.77</w:t>
            </w:r>
            <w:r>
              <w:rPr>
                <w:rFonts w:hint="default"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66.77</w:t>
            </w:r>
            <w:r>
              <w:rPr>
                <w:rFonts w:hint="default"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30.19</w:t>
            </w:r>
            <w:r>
              <w:rPr>
                <w:rFonts w:hint="default"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30.19</w:t>
            </w:r>
            <w:r>
              <w:rPr>
                <w:rFonts w:hint="default"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30.19</w:t>
            </w:r>
            <w:r>
              <w:rPr>
                <w:rFonts w:hint="default"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30.19</w:t>
            </w:r>
            <w:r>
              <w:rPr>
                <w:rFonts w:hint="default"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2101101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行政单位医疗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11.52</w:t>
            </w:r>
            <w:r>
              <w:rPr>
                <w:rFonts w:hint="default"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11.52</w:t>
            </w:r>
            <w:r>
              <w:rPr>
                <w:rFonts w:hint="default"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18.66</w:t>
            </w:r>
            <w:r>
              <w:rPr>
                <w:rFonts w:hint="default"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18.66</w:t>
            </w:r>
            <w:r>
              <w:rPr>
                <w:rFonts w:hint="default"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54.53</w:t>
            </w:r>
            <w:r>
              <w:rPr>
                <w:rFonts w:hint="default"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54.53</w:t>
            </w:r>
            <w:r>
              <w:rPr>
                <w:rFonts w:hint="default"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54.53</w:t>
            </w:r>
            <w:r>
              <w:rPr>
                <w:rFonts w:hint="default"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54.53</w:t>
            </w:r>
            <w:r>
              <w:rPr>
                <w:rFonts w:hint="default"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54.53</w:t>
            </w:r>
            <w:r>
              <w:rPr>
                <w:rFonts w:hint="default"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54.53</w:t>
            </w:r>
            <w:r>
              <w:rPr>
                <w:rFonts w:hint="default"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bl>
    <w:p>
      <w:pPr>
        <w:spacing w:line="594" w:lineRule="exact"/>
        <w:rPr>
          <w:rFonts w:hint="default" w:ascii="Times New Roman" w:hAnsi="Times New Roman"/>
          <w:sz w:val="20"/>
          <w:szCs w:val="20"/>
        </w:rPr>
      </w:pPr>
      <w:r>
        <w:rPr>
          <w:rFonts w:hint="default" w:ascii="Times New Roman" w:hAnsi="Times New Roman"/>
          <w:sz w:val="20"/>
          <w:szCs w:val="20"/>
        </w:rPr>
        <w:t>备注：1.本表反映部门本年度各项支出情况。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spacing w:line="594" w:lineRule="exact"/>
        <w:rPr>
          <w:rFonts w:hint="default" w:ascii="Times New Roman" w:hAnsi="Times New Roman"/>
          <w:sz w:val="21"/>
          <w:szCs w:val="21"/>
        </w:rPr>
      </w:pPr>
      <w:r>
        <w:rPr>
          <w:rFonts w:hint="default" w:ascii="Times New Roman" w:hAnsi="Times New Roman"/>
          <w:sz w:val="21"/>
          <w:szCs w:val="21"/>
        </w:rPr>
        <w:br w:type="page"/>
      </w:r>
    </w:p>
    <w:p>
      <w:pPr>
        <w:spacing w:line="594" w:lineRule="exact"/>
        <w:rPr>
          <w:rFonts w:hint="default" w:ascii="Times New Roman" w:hAnsi="Times New Roman"/>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594"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r>
              <w:rPr>
                <w:rFonts w:hint="default" w:ascii="Times New Roman" w:hAnsi="Times New Roman"/>
                <w:sz w:val="20"/>
                <w:szCs w:val="20"/>
              </w:rPr>
              <w:t>部门</w:t>
            </w:r>
            <w:r>
              <w:rPr>
                <w:rFonts w:hint="default" w:ascii="Times New Roman" w:hAnsi="Times New Roman"/>
                <w:color w:val="000000"/>
                <w:sz w:val="20"/>
                <w:szCs w:val="20"/>
              </w:rPr>
              <w:t>：</w:t>
            </w:r>
            <w:r>
              <w:rPr>
                <w:rFonts w:hint="default" w:ascii="Times New Roman" w:hAnsi="Times New Roman"/>
                <w:color w:val="000000"/>
                <w:sz w:val="20"/>
              </w:rPr>
              <w:t>中国共产党垫江县委党校</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1,095.63</w:t>
            </w: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26.57</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26.57</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780.82</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780.82</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203.76</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203.76</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30.19</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30.19</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54.53</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54.53</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94"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94"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94" w:lineRule="exact"/>
              <w:rPr>
                <w:rFonts w:hint="default" w:ascii="Times New Roman" w:hAnsi="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1,095.63</w:t>
            </w: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1,095.86</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1,095.86</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0.23</w:t>
            </w: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0.23</w:t>
            </w: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rPr>
                <w:rFonts w:hint="default" w:ascii="Times New Roman" w:hAnsi="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rPr>
                <w:rFonts w:hint="default" w:ascii="Times New Roman" w:hAnsi="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1,095.86</w:t>
            </w: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1,095.86</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1,095.86</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bl>
    <w:p>
      <w:pPr>
        <w:spacing w:line="594" w:lineRule="exact"/>
        <w:rPr>
          <w:rFonts w:hint="default" w:ascii="Times New Roman" w:hAnsi="Times New Roman"/>
          <w:sz w:val="20"/>
          <w:szCs w:val="20"/>
        </w:rPr>
      </w:pPr>
      <w:r>
        <w:rPr>
          <w:rFonts w:hint="default" w:ascii="Times New Roman" w:hAnsi="Times New Roman"/>
          <w:sz w:val="20"/>
          <w:szCs w:val="20"/>
        </w:rPr>
        <w:t>备注：1.本表反映部门本年度一般公共预算财政拨款、政府性基金预算财政拨款及国有资本经营预算财政拨款的总收支和年末结转结余情况。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594"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r>
              <w:rPr>
                <w:rFonts w:hint="default" w:ascii="Times New Roman" w:hAnsi="Times New Roman"/>
                <w:sz w:val="20"/>
                <w:szCs w:val="20"/>
              </w:rPr>
              <w:t>部门</w:t>
            </w:r>
            <w:r>
              <w:rPr>
                <w:rFonts w:hint="default" w:ascii="Times New Roman" w:hAnsi="Times New Roman"/>
                <w:color w:val="000000"/>
                <w:sz w:val="20"/>
                <w:szCs w:val="20"/>
              </w:rPr>
              <w:t>：</w:t>
            </w:r>
            <w:r>
              <w:rPr>
                <w:rFonts w:hint="default" w:ascii="Times New Roman" w:hAnsi="Times New Roman"/>
                <w:color w:val="000000"/>
                <w:sz w:val="20"/>
              </w:rPr>
              <w:t>中国共产党垫江县委党校</w:t>
            </w:r>
          </w:p>
        </w:tc>
        <w:tc>
          <w:tcPr>
            <w:tcW w:w="1076"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公开05表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w:t>
            </w:r>
          </w:p>
        </w:tc>
      </w:tr>
      <w:tr>
        <w:tblPrEx>
          <w:tblCellMar>
            <w:top w:w="0" w:type="dxa"/>
            <w:left w:w="0" w:type="dxa"/>
            <w:bottom w:w="0" w:type="dxa"/>
            <w:right w:w="0" w:type="dxa"/>
          </w:tblCellMar>
        </w:tblPrEx>
        <w:trPr>
          <w:trHeight w:val="594"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r>
      <w:tr>
        <w:tblPrEx>
          <w:tblCellMar>
            <w:top w:w="0" w:type="dxa"/>
            <w:left w:w="0" w:type="dxa"/>
            <w:bottom w:w="0" w:type="dxa"/>
            <w:right w:w="0" w:type="dxa"/>
          </w:tblCellMar>
        </w:tblPrEx>
        <w:trPr>
          <w:trHeight w:val="594"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1,095.86</w:t>
            </w:r>
            <w:r>
              <w:rPr>
                <w:rFonts w:hint="default"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909.85</w:t>
            </w:r>
            <w:r>
              <w:rPr>
                <w:rFonts w:hint="default"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186.01</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26.57</w:t>
            </w:r>
            <w:r>
              <w:rPr>
                <w:rFonts w:hint="default"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26.57</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20132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组织事务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26.57</w:t>
            </w:r>
            <w:r>
              <w:rPr>
                <w:rFonts w:hint="default"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26.57</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2013202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26.57</w:t>
            </w:r>
            <w:r>
              <w:rPr>
                <w:rFonts w:hint="default"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26.57</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780.82</w:t>
            </w:r>
            <w:r>
              <w:rPr>
                <w:rFonts w:hint="default"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621.49</w:t>
            </w:r>
            <w:r>
              <w:rPr>
                <w:rFonts w:hint="default"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159.33</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20508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进修及培训</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780.82</w:t>
            </w:r>
            <w:r>
              <w:rPr>
                <w:rFonts w:hint="default"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621.49</w:t>
            </w:r>
            <w:r>
              <w:rPr>
                <w:rFonts w:hint="default"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159.33</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2050802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干部教育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778.38</w:t>
            </w:r>
            <w:r>
              <w:rPr>
                <w:rFonts w:hint="default"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619.05</w:t>
            </w:r>
            <w:r>
              <w:rPr>
                <w:rFonts w:hint="default"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159.33</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2050803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培训支出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2.44</w:t>
            </w:r>
            <w:r>
              <w:rPr>
                <w:rFonts w:hint="default"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2.44</w:t>
            </w:r>
            <w:r>
              <w:rPr>
                <w:rFonts w:hint="default"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203.76</w:t>
            </w:r>
            <w:r>
              <w:rPr>
                <w:rFonts w:hint="default"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203.65</w:t>
            </w:r>
            <w:r>
              <w:rPr>
                <w:rFonts w:hint="default"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0.11</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0.11</w:t>
            </w:r>
            <w:r>
              <w:rPr>
                <w:rFonts w:hint="default"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0.11</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2080102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0.11</w:t>
            </w:r>
            <w:r>
              <w:rPr>
                <w:rFonts w:hint="default"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0.11</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203.65</w:t>
            </w:r>
            <w:r>
              <w:rPr>
                <w:rFonts w:hint="default"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203.65</w:t>
            </w:r>
            <w:r>
              <w:rPr>
                <w:rFonts w:hint="default"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91.11</w:t>
            </w:r>
            <w:r>
              <w:rPr>
                <w:rFonts w:hint="default"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91.11</w:t>
            </w:r>
            <w:r>
              <w:rPr>
                <w:rFonts w:hint="default"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45.76</w:t>
            </w:r>
            <w:r>
              <w:rPr>
                <w:rFonts w:hint="default"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45.76</w:t>
            </w:r>
            <w:r>
              <w:rPr>
                <w:rFonts w:hint="default"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66.77</w:t>
            </w:r>
            <w:r>
              <w:rPr>
                <w:rFonts w:hint="default"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66.77</w:t>
            </w:r>
            <w:r>
              <w:rPr>
                <w:rFonts w:hint="default"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30.19</w:t>
            </w:r>
            <w:r>
              <w:rPr>
                <w:rFonts w:hint="default"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30.19</w:t>
            </w:r>
            <w:r>
              <w:rPr>
                <w:rFonts w:hint="default"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30.19</w:t>
            </w:r>
            <w:r>
              <w:rPr>
                <w:rFonts w:hint="default"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30.19</w:t>
            </w:r>
            <w:r>
              <w:rPr>
                <w:rFonts w:hint="default"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11.52</w:t>
            </w:r>
            <w:r>
              <w:rPr>
                <w:rFonts w:hint="default"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11.52</w:t>
            </w:r>
            <w:r>
              <w:rPr>
                <w:rFonts w:hint="default"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18.66</w:t>
            </w:r>
            <w:r>
              <w:rPr>
                <w:rFonts w:hint="default"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18.66</w:t>
            </w:r>
            <w:r>
              <w:rPr>
                <w:rFonts w:hint="default"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54.53</w:t>
            </w:r>
            <w:r>
              <w:rPr>
                <w:rFonts w:hint="default"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54.53</w:t>
            </w:r>
            <w:r>
              <w:rPr>
                <w:rFonts w:hint="default"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54.53</w:t>
            </w:r>
            <w:r>
              <w:rPr>
                <w:rFonts w:hint="default"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54.53</w:t>
            </w:r>
            <w:r>
              <w:rPr>
                <w:rFonts w:hint="default"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54.53</w:t>
            </w:r>
            <w:r>
              <w:rPr>
                <w:rFonts w:hint="default"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54.53</w:t>
            </w:r>
            <w:r>
              <w:rPr>
                <w:rFonts w:hint="default"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bl>
    <w:p>
      <w:pPr>
        <w:spacing w:line="594" w:lineRule="exact"/>
        <w:rPr>
          <w:rFonts w:hint="default" w:ascii="Times New Roman" w:hAnsi="Times New Roman"/>
          <w:sz w:val="21"/>
          <w:szCs w:val="21"/>
        </w:rPr>
      </w:pPr>
      <w:r>
        <w:rPr>
          <w:rFonts w:hint="default" w:ascii="Times New Roman" w:hAnsi="Times New Roman"/>
          <w:sz w:val="20"/>
          <w:szCs w:val="20"/>
        </w:rPr>
        <w:t>备注：1.本表反映部门本年度一般公共预算财政拨款支出情况。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spacing w:line="594" w:lineRule="exact"/>
        <w:ind w:firstLine="630" w:firstLineChars="300"/>
        <w:rPr>
          <w:rFonts w:hint="default" w:ascii="Times New Roman" w:hAnsi="Times New Roman"/>
          <w:sz w:val="21"/>
          <w:szCs w:val="21"/>
        </w:rPr>
      </w:pPr>
      <w:r>
        <w:rPr>
          <w:rFonts w:hint="default" w:ascii="Times New Roman" w:hAnsi="Times New Roman"/>
          <w:sz w:val="21"/>
          <w:szCs w:val="21"/>
        </w:rPr>
        <w:br w:type="page"/>
      </w:r>
    </w:p>
    <w:tbl>
      <w:tblPr>
        <w:tblStyle w:val="7"/>
        <w:tblW w:w="4994" w:type="pct"/>
        <w:tblInd w:w="0" w:type="dxa"/>
        <w:tblLayout w:type="autofit"/>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594"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r>
              <w:rPr>
                <w:rFonts w:hint="default" w:ascii="Times New Roman" w:hAnsi="Times New Roman"/>
                <w:sz w:val="20"/>
                <w:szCs w:val="20"/>
              </w:rPr>
              <w:t>部门</w:t>
            </w:r>
            <w:r>
              <w:rPr>
                <w:rFonts w:hint="default" w:ascii="Times New Roman" w:hAnsi="Times New Roman"/>
                <w:color w:val="000000"/>
                <w:sz w:val="20"/>
                <w:szCs w:val="20"/>
              </w:rPr>
              <w:t>：</w:t>
            </w:r>
            <w:r>
              <w:rPr>
                <w:rFonts w:hint="default" w:ascii="Times New Roman" w:hAnsi="Times New Roman"/>
                <w:color w:val="000000"/>
                <w:sz w:val="20"/>
              </w:rPr>
              <w:t>中国共产党垫江县委党校</w:t>
            </w: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公开06表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公用经费</w:t>
            </w:r>
          </w:p>
        </w:tc>
      </w:tr>
      <w:tr>
        <w:tblPrEx>
          <w:tblCellMar>
            <w:top w:w="0" w:type="dxa"/>
            <w:left w:w="0" w:type="dxa"/>
            <w:bottom w:w="0" w:type="dxa"/>
            <w:right w:w="0" w:type="dxa"/>
          </w:tblCellMar>
        </w:tblPrEx>
        <w:trPr>
          <w:trHeight w:val="594"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r>
      <w:tr>
        <w:tblPrEx>
          <w:tblCellMar>
            <w:top w:w="0" w:type="dxa"/>
            <w:left w:w="0" w:type="dxa"/>
            <w:bottom w:w="0" w:type="dxa"/>
            <w:right w:w="0" w:type="dxa"/>
          </w:tblCellMar>
        </w:tblPrEx>
        <w:trPr>
          <w:trHeight w:val="594"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719.25</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123.82</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151.55</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32.80</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60.99</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0.37</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232.67</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2.21</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91.11</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12.09</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45.76</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6.47</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30.19</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1.82</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11.45</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54.53</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12.30</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2.33</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5.53</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0.25</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66.77</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1.94</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3.28</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57.13</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15.77</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4.44</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24.72</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ind w:firstLine="180" w:firstLineChars="100"/>
              <w:textAlignment w:val="center"/>
              <w:rPr>
                <w:rFonts w:hint="default" w:ascii="Times New Roman" w:hAnsi="Times New Roman"/>
                <w:color w:val="000000"/>
                <w:sz w:val="18"/>
                <w:szCs w:val="18"/>
              </w:rPr>
            </w:pPr>
            <w:r>
              <w:rPr>
                <w:rFonts w:hint="default" w:ascii="Times New Roman" w:hAnsi="Times New Roman"/>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5.20</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2.11</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7.69</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7.07</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19.37</w:t>
            </w: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94"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786.03</w:t>
            </w:r>
            <w:r>
              <w:rPr>
                <w:rFonts w:hint="default"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123.82</w:t>
            </w:r>
            <w:r>
              <w:rPr>
                <w:rFonts w:hint="default" w:ascii="Times New Roman" w:hAnsi="Times New Roman"/>
                <w:color w:val="000000"/>
                <w:sz w:val="18"/>
              </w:rPr>
              <w:t xml:space="preserve"> </w:t>
            </w:r>
          </w:p>
        </w:tc>
      </w:tr>
    </w:tbl>
    <w:p>
      <w:pPr>
        <w:spacing w:line="594" w:lineRule="exact"/>
        <w:rPr>
          <w:rFonts w:hint="default" w:ascii="Times New Roman" w:hAnsi="Times New Roman"/>
          <w:sz w:val="20"/>
          <w:szCs w:val="20"/>
        </w:rPr>
      </w:pPr>
      <w:r>
        <w:rPr>
          <w:rFonts w:hint="default" w:ascii="Times New Roman" w:hAnsi="Times New Roman"/>
          <w:sz w:val="20"/>
          <w:szCs w:val="20"/>
        </w:rPr>
        <w:t>备注：1.本表反映部门本年度一般公共预算财政拨款基本支出明细情况。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387"/>
        <w:gridCol w:w="3527"/>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spacing w:line="594"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r>
              <w:rPr>
                <w:rFonts w:hint="default" w:ascii="Times New Roman" w:hAnsi="Times New Roman"/>
                <w:sz w:val="20"/>
                <w:szCs w:val="20"/>
              </w:rPr>
              <w:t>部门</w:t>
            </w:r>
            <w:r>
              <w:rPr>
                <w:rFonts w:hint="default" w:ascii="Times New Roman" w:hAnsi="Times New Roman"/>
                <w:color w:val="000000"/>
                <w:sz w:val="20"/>
                <w:szCs w:val="20"/>
              </w:rPr>
              <w:t>：</w:t>
            </w:r>
            <w:r>
              <w:rPr>
                <w:rFonts w:hint="default" w:ascii="Times New Roman" w:hAnsi="Times New Roman"/>
                <w:color w:val="000000"/>
                <w:sz w:val="20"/>
              </w:rPr>
              <w:t>中国共产党垫江县委党校</w:t>
            </w:r>
          </w:p>
        </w:tc>
        <w:tc>
          <w:tcPr>
            <w:tcW w:w="555"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公开07表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年末结转和结余</w:t>
            </w:r>
          </w:p>
        </w:tc>
      </w:tr>
      <w:tr>
        <w:tblPrEx>
          <w:tblCellMar>
            <w:top w:w="0" w:type="dxa"/>
            <w:left w:w="0" w:type="dxa"/>
            <w:bottom w:w="0" w:type="dxa"/>
            <w:right w:w="0" w:type="dxa"/>
          </w:tblCellMar>
        </w:tblPrEx>
        <w:trPr>
          <w:trHeight w:val="594"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594"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both"/>
              <w:textAlignment w:val="center"/>
              <w:rPr>
                <w:rFonts w:hint="default" w:ascii="Times New Roman" w:hAnsi="Times New Roman"/>
                <w:color w:val="000000"/>
                <w:sz w:val="20"/>
                <w:szCs w:val="20"/>
              </w:rPr>
            </w:pP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both"/>
              <w:textAlignment w:val="center"/>
              <w:rPr>
                <w:rFonts w:hint="default" w:ascii="Times New Roman" w:hAnsi="Times New Roman"/>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bl>
    <w:p>
      <w:pPr>
        <w:spacing w:line="594" w:lineRule="exact"/>
        <w:rPr>
          <w:rFonts w:hint="default" w:ascii="Times New Roman" w:hAnsi="Times New Roman"/>
          <w:sz w:val="21"/>
          <w:szCs w:val="21"/>
        </w:rPr>
      </w:pPr>
      <w:r>
        <w:rPr>
          <w:rFonts w:hint="default" w:ascii="Times New Roman" w:hAnsi="Times New Roman"/>
          <w:sz w:val="20"/>
          <w:szCs w:val="20"/>
        </w:rPr>
        <w:t>备注：本表反映部门本年度政府性基金预算财政拨款收入支出及结转和结余情况。本部门无政府性基金收支，故本表无数据。</w:t>
      </w:r>
      <w:r>
        <w:rPr>
          <w:rFonts w:hint="default" w:ascii="Times New Roman" w:hAnsi="Times New Roman"/>
          <w:sz w:val="20"/>
          <w:szCs w:val="20"/>
        </w:rPr>
        <w:br w:type="textWrapping"/>
      </w:r>
      <w:r>
        <w:rPr>
          <w:rFonts w:hint="default" w:ascii="Times New Roman" w:hAnsi="Times New Roman"/>
          <w:sz w:val="20"/>
          <w:szCs w:val="20"/>
        </w:rPr>
        <w:br w:type="textWrapping"/>
      </w:r>
    </w:p>
    <w:p>
      <w:pPr>
        <w:spacing w:line="594" w:lineRule="exact"/>
        <w:rPr>
          <w:rFonts w:hint="default" w:ascii="Times New Roman" w:hAnsi="Times New Roman"/>
          <w:sz w:val="21"/>
          <w:szCs w:val="21"/>
        </w:rPr>
      </w:pPr>
      <w:r>
        <w:rPr>
          <w:rFonts w:hint="default" w:ascii="Times New Roman" w:hAnsi="Times New Roman"/>
          <w:sz w:val="21"/>
          <w:szCs w:val="21"/>
        </w:rPr>
        <w:br w:type="page"/>
      </w:r>
    </w:p>
    <w:tbl>
      <w:tblPr>
        <w:tblStyle w:val="7"/>
        <w:tblW w:w="5000" w:type="pct"/>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594"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r>
              <w:rPr>
                <w:rFonts w:hint="default" w:ascii="Times New Roman" w:hAnsi="Times New Roman"/>
                <w:sz w:val="20"/>
                <w:szCs w:val="20"/>
              </w:rPr>
              <w:t>部门</w:t>
            </w:r>
            <w:r>
              <w:rPr>
                <w:rFonts w:hint="default" w:ascii="Times New Roman" w:hAnsi="Times New Roman"/>
                <w:color w:val="000000"/>
                <w:sz w:val="20"/>
                <w:szCs w:val="20"/>
              </w:rPr>
              <w:t>：</w:t>
            </w:r>
            <w:r>
              <w:rPr>
                <w:rFonts w:hint="default" w:ascii="Times New Roman" w:hAnsi="Times New Roman"/>
                <w:color w:val="000000"/>
                <w:sz w:val="20"/>
              </w:rPr>
              <w:t>中国共产党垫江县委党校</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公开08表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94" w:lineRule="exact"/>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94" w:lineRule="exact"/>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本年支出</w:t>
            </w:r>
          </w:p>
        </w:tc>
      </w:tr>
      <w:tr>
        <w:tblPrEx>
          <w:tblCellMar>
            <w:top w:w="0" w:type="dxa"/>
            <w:left w:w="0" w:type="dxa"/>
            <w:bottom w:w="0" w:type="dxa"/>
            <w:right w:w="0" w:type="dxa"/>
          </w:tblCellMar>
        </w:tblPrEx>
        <w:trPr>
          <w:trHeight w:val="594"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r>
      <w:tr>
        <w:tblPrEx>
          <w:tblCellMar>
            <w:top w:w="0" w:type="dxa"/>
            <w:left w:w="0" w:type="dxa"/>
            <w:bottom w:w="0" w:type="dxa"/>
            <w:right w:w="0" w:type="dxa"/>
          </w:tblCellMar>
        </w:tblPrEx>
        <w:trPr>
          <w:trHeight w:val="594"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594"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594"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94" w:lineRule="exact"/>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spacing w:line="594" w:lineRule="exact"/>
        <w:rPr>
          <w:rFonts w:hint="default" w:ascii="Times New Roman" w:hAnsi="Times New Roman"/>
          <w:sz w:val="21"/>
          <w:szCs w:val="21"/>
        </w:rPr>
      </w:pPr>
      <w:r>
        <w:rPr>
          <w:rFonts w:hint="default" w:ascii="Times New Roman" w:hAnsi="Times New Roman"/>
          <w:sz w:val="20"/>
          <w:szCs w:val="20"/>
        </w:rPr>
        <w:t>备注：本表反映部门本年度国有资本经营预算财政拨款支出情况。本部门无国有资本经营收支，故本表无数据。</w:t>
      </w:r>
      <w:r>
        <w:rPr>
          <w:rFonts w:hint="default" w:ascii="Times New Roman" w:hAnsi="Times New Roman"/>
          <w:sz w:val="20"/>
          <w:szCs w:val="20"/>
        </w:rPr>
        <w:br w:type="textWrapping"/>
      </w:r>
      <w:r>
        <w:rPr>
          <w:rFonts w:hint="default" w:ascii="Times New Roman" w:hAnsi="Times New Roman"/>
          <w:sz w:val="20"/>
          <w:szCs w:val="20"/>
        </w:rPr>
        <w:br w:type="textWrapping"/>
      </w:r>
    </w:p>
    <w:p>
      <w:pPr>
        <w:spacing w:line="594" w:lineRule="exact"/>
        <w:rPr>
          <w:rFonts w:hint="default" w:ascii="Times New Roman" w:hAnsi="Times New Roman"/>
          <w:sz w:val="21"/>
          <w:szCs w:val="21"/>
        </w:rPr>
      </w:pPr>
      <w:r>
        <w:rPr>
          <w:rFonts w:hint="default" w:ascii="Times New Roman" w:hAnsi="Times New Roman"/>
          <w:sz w:val="21"/>
          <w:szCs w:val="21"/>
        </w:rPr>
        <w:br w:type="page"/>
      </w:r>
    </w:p>
    <w:tbl>
      <w:tblPr>
        <w:tblStyle w:val="7"/>
        <w:tblW w:w="4611" w:type="pct"/>
        <w:tblInd w:w="0" w:type="dxa"/>
        <w:tblLayout w:type="autofit"/>
        <w:tblCellMar>
          <w:top w:w="0" w:type="dxa"/>
          <w:left w:w="170" w:type="dxa"/>
          <w:bottom w:w="0" w:type="dxa"/>
          <w:right w:w="170" w:type="dxa"/>
        </w:tblCellMar>
      </w:tblPr>
      <w:tblGrid>
        <w:gridCol w:w="3163"/>
        <w:gridCol w:w="2403"/>
        <w:gridCol w:w="2361"/>
        <w:gridCol w:w="3723"/>
        <w:gridCol w:w="2480"/>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594" w:lineRule="exact"/>
              <w:jc w:val="center"/>
              <w:textAlignment w:val="bottom"/>
              <w:rPr>
                <w:rFonts w:hint="default" w:ascii="Times New Roman" w:hAnsi="Times New Roman"/>
                <w:b/>
                <w:color w:val="000000"/>
                <w:kern w:val="2"/>
                <w:sz w:val="32"/>
                <w:szCs w:val="32"/>
              </w:rPr>
            </w:pPr>
            <w:r>
              <w:rPr>
                <w:rFonts w:hint="default" w:ascii="Times New Roman" w:hAnsi="Times New Roman"/>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594" w:lineRule="exact"/>
              <w:rPr>
                <w:rFonts w:hint="default" w:ascii="Times New Roman" w:hAnsi="Times New Roman"/>
                <w:color w:val="000000"/>
                <w:kern w:val="2"/>
                <w:sz w:val="20"/>
                <w:szCs w:val="20"/>
              </w:rPr>
            </w:pPr>
          </w:p>
        </w:tc>
        <w:tc>
          <w:tcPr>
            <w:tcW w:w="854" w:type="pct"/>
            <w:shd w:val="clear" w:color="auto" w:fill="auto"/>
            <w:noWrap/>
            <w:tcMar>
              <w:top w:w="15" w:type="dxa"/>
              <w:left w:w="15" w:type="dxa"/>
              <w:right w:w="15" w:type="dxa"/>
            </w:tcMar>
            <w:vAlign w:val="bottom"/>
          </w:tcPr>
          <w:p>
            <w:pPr>
              <w:spacing w:line="594" w:lineRule="exact"/>
              <w:jc w:val="center"/>
              <w:rPr>
                <w:rFonts w:hint="default" w:ascii="Times New Roman" w:hAnsi="Times New Roman"/>
                <w:color w:val="000000"/>
                <w:kern w:val="2"/>
                <w:sz w:val="20"/>
                <w:szCs w:val="20"/>
              </w:rPr>
            </w:pPr>
          </w:p>
        </w:tc>
        <w:tc>
          <w:tcPr>
            <w:tcW w:w="840" w:type="pct"/>
            <w:shd w:val="clear" w:color="auto" w:fill="auto"/>
            <w:noWrap/>
            <w:tcMar>
              <w:top w:w="15" w:type="dxa"/>
              <w:left w:w="15" w:type="dxa"/>
              <w:right w:w="15" w:type="dxa"/>
            </w:tcMar>
            <w:vAlign w:val="bottom"/>
          </w:tcPr>
          <w:p>
            <w:pPr>
              <w:spacing w:line="594" w:lineRule="exact"/>
              <w:jc w:val="right"/>
              <w:rPr>
                <w:rFonts w:hint="default" w:ascii="Times New Roman" w:hAnsi="Times New Roman"/>
                <w:color w:val="000000"/>
                <w:kern w:val="2"/>
                <w:sz w:val="20"/>
                <w:szCs w:val="20"/>
              </w:rPr>
            </w:pPr>
          </w:p>
        </w:tc>
        <w:tc>
          <w:tcPr>
            <w:tcW w:w="1299" w:type="pct"/>
            <w:shd w:val="clear" w:color="auto" w:fill="auto"/>
            <w:noWrap/>
            <w:tcMar>
              <w:top w:w="15" w:type="dxa"/>
              <w:left w:w="15" w:type="dxa"/>
              <w:right w:w="15" w:type="dxa"/>
            </w:tcMar>
            <w:vAlign w:val="bottom"/>
          </w:tcPr>
          <w:p>
            <w:pPr>
              <w:spacing w:line="594" w:lineRule="exact"/>
              <w:rPr>
                <w:rFonts w:hint="default" w:ascii="Times New Roman" w:hAnsi="Times New Roman"/>
                <w:color w:val="000000"/>
                <w:kern w:val="2"/>
                <w:sz w:val="20"/>
                <w:szCs w:val="20"/>
              </w:rPr>
            </w:pPr>
          </w:p>
        </w:tc>
        <w:tc>
          <w:tcPr>
            <w:tcW w:w="879" w:type="pct"/>
            <w:shd w:val="clear" w:color="auto" w:fill="auto"/>
            <w:noWrap/>
            <w:tcMar>
              <w:top w:w="15" w:type="dxa"/>
              <w:left w:w="15" w:type="dxa"/>
              <w:right w:w="15" w:type="dxa"/>
            </w:tcMar>
            <w:vAlign w:val="bottom"/>
          </w:tcPr>
          <w:p>
            <w:pPr>
              <w:spacing w:line="594" w:lineRule="exact"/>
              <w:jc w:val="right"/>
              <w:textAlignment w:val="bottom"/>
              <w:rPr>
                <w:rFonts w:hint="default" w:ascii="Times New Roman" w:hAnsi="Times New Roman"/>
                <w:color w:val="000000"/>
                <w:kern w:val="2"/>
                <w:sz w:val="20"/>
                <w:szCs w:val="20"/>
              </w:rPr>
            </w:pPr>
            <w:r>
              <w:rPr>
                <w:rFonts w:hint="default" w:ascii="Times New Roman" w:hAnsi="Times New Roman"/>
                <w:color w:val="000000"/>
                <w:kern w:val="2"/>
                <w:sz w:val="20"/>
                <w:szCs w:val="20"/>
              </w:rPr>
              <w:t>公开09表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kern w:val="2"/>
                <w:sz w:val="20"/>
                <w:szCs w:val="20"/>
              </w:rPr>
            </w:pPr>
            <w:r>
              <w:rPr>
                <w:rFonts w:hint="default" w:ascii="Times New Roman" w:hAnsi="Times New Roman"/>
                <w:sz w:val="20"/>
                <w:szCs w:val="20"/>
              </w:rPr>
              <w:t>部门</w:t>
            </w:r>
            <w:r>
              <w:rPr>
                <w:rFonts w:hint="default" w:ascii="Times New Roman" w:hAnsi="Times New Roman"/>
                <w:color w:val="000000"/>
                <w:kern w:val="2"/>
                <w:sz w:val="20"/>
                <w:szCs w:val="20"/>
              </w:rPr>
              <w:t>：</w:t>
            </w:r>
            <w:r>
              <w:rPr>
                <w:rFonts w:hint="default" w:ascii="Times New Roman" w:hAnsi="Times New Roman"/>
                <w:color w:val="000000"/>
                <w:sz w:val="20"/>
              </w:rPr>
              <w:t>中国共产党垫江县委党校</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594" w:lineRule="exact"/>
              <w:jc w:val="right"/>
              <w:rPr>
                <w:rFonts w:hint="default" w:ascii="Times New Roman" w:hAnsi="Times New Roman"/>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594" w:lineRule="exact"/>
              <w:rPr>
                <w:rFonts w:hint="default" w:ascii="Times New Roman" w:hAnsi="Times New Roman"/>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594" w:lineRule="exact"/>
              <w:jc w:val="right"/>
              <w:textAlignment w:val="bottom"/>
              <w:rPr>
                <w:rFonts w:hint="default" w:ascii="Times New Roman" w:hAnsi="Times New Roman"/>
                <w:color w:val="000000"/>
                <w:kern w:val="2"/>
                <w:sz w:val="20"/>
                <w:szCs w:val="20"/>
              </w:rPr>
            </w:pPr>
            <w:r>
              <w:rPr>
                <w:rFonts w:hint="default" w:ascii="Times New Roman" w:hAnsi="Times New Roman"/>
                <w:color w:val="000000"/>
                <w:kern w:val="2"/>
                <w:sz w:val="20"/>
                <w:szCs w:val="20"/>
              </w:rPr>
              <w:t>单位：</w:t>
            </w:r>
            <w:r>
              <w:rPr>
                <w:rFonts w:hint="default" w:ascii="Times New Roman" w:hAnsi="Times New Roman"/>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一、</w:t>
            </w:r>
            <w:r>
              <w:rPr>
                <w:rFonts w:hint="eastAsia" w:ascii="Times New Roman" w:hAnsi="Times New Roman"/>
                <w:b/>
                <w:color w:val="000000"/>
                <w:kern w:val="2"/>
                <w:sz w:val="16"/>
                <w:szCs w:val="16"/>
                <w:lang w:eastAsia="zh-CN"/>
              </w:rPr>
              <w:t>三公</w:t>
            </w:r>
            <w:r>
              <w:rPr>
                <w:rFonts w:hint="default" w:ascii="Times New Roman" w:hAnsi="Times New Roman"/>
                <w:b/>
                <w:color w:val="000000"/>
                <w:kern w:val="2"/>
                <w:sz w:val="16"/>
                <w:szCs w:val="16"/>
              </w:rPr>
              <w:t>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123.82</w:t>
            </w: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4.55</w:t>
            </w:r>
            <w:r>
              <w:rPr>
                <w:rFonts w:hint="default"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4.55</w:t>
            </w: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123.82</w:t>
            </w: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2.55</w:t>
            </w:r>
            <w:r>
              <w:rPr>
                <w:rFonts w:hint="default"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2.55</w:t>
            </w: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2.55</w:t>
            </w:r>
            <w:r>
              <w:rPr>
                <w:rFonts w:hint="default"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2.55</w:t>
            </w: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2.00</w:t>
            </w:r>
            <w:r>
              <w:rPr>
                <w:rFonts w:hint="default"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2.00</w:t>
            </w: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2.00</w:t>
            </w: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21</w:t>
            </w: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208</w:t>
            </w: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4.74</w:t>
            </w: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jc w:val="right"/>
              <w:rPr>
                <w:rFonts w:hint="default" w:ascii="Times New Roman" w:hAnsi="Times New Roman"/>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95.38</w:t>
            </w: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jc w:val="right"/>
              <w:rPr>
                <w:rFonts w:hint="default" w:ascii="Times New Roman" w:hAnsi="Times New Roman"/>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textAlignment w:val="center"/>
              <w:rPr>
                <w:rFonts w:hint="default" w:ascii="Times New Roman" w:hAnsi="Times New Roman"/>
                <w:b/>
                <w:bCs/>
                <w:color w:val="000000"/>
                <w:sz w:val="16"/>
                <w:szCs w:val="16"/>
              </w:rPr>
            </w:pPr>
            <w:r>
              <w:rPr>
                <w:rFonts w:hint="default" w:ascii="Times New Roman" w:hAnsi="Times New Roman"/>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14.84</w:t>
            </w:r>
            <w:r>
              <w:rPr>
                <w:rFonts w:hint="default"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94" w:lineRule="exact"/>
              <w:rPr>
                <w:rFonts w:hint="default" w:ascii="Times New Roman" w:hAnsi="Times New Roman"/>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94" w:lineRule="exact"/>
              <w:jc w:val="right"/>
              <w:rPr>
                <w:rFonts w:hint="default" w:ascii="Times New Roman" w:hAnsi="Times New Roman"/>
                <w:color w:val="000000"/>
                <w:sz w:val="16"/>
                <w:szCs w:val="16"/>
              </w:rPr>
            </w:pPr>
          </w:p>
        </w:tc>
      </w:tr>
    </w:tbl>
    <w:p>
      <w:pPr>
        <w:spacing w:line="594" w:lineRule="exact"/>
        <w:rPr>
          <w:rFonts w:hint="default" w:ascii="Times New Roman" w:hAnsi="Times New Roman"/>
          <w:sz w:val="18"/>
          <w:szCs w:val="18"/>
        </w:rPr>
      </w:pPr>
      <w:r>
        <w:rPr>
          <w:rFonts w:hint="default" w:ascii="Times New Roman" w:hAnsi="Times New Roman"/>
          <w:sz w:val="18"/>
          <w:szCs w:val="18"/>
        </w:rPr>
        <w:t>备注：1.本表反映部门本年度财政拨款</w:t>
      </w:r>
      <w:r>
        <w:rPr>
          <w:rFonts w:hint="eastAsia" w:ascii="Times New Roman" w:hAnsi="Times New Roman"/>
          <w:sz w:val="18"/>
          <w:szCs w:val="18"/>
          <w:lang w:eastAsia="zh-CN"/>
        </w:rPr>
        <w:t>三公</w:t>
      </w:r>
      <w:r>
        <w:rPr>
          <w:rFonts w:hint="default" w:ascii="Times New Roman" w:hAnsi="Times New Roman"/>
          <w:sz w:val="18"/>
          <w:szCs w:val="18"/>
        </w:rPr>
        <w:t>经费支出预决算情况。其中，预算数为</w:t>
      </w:r>
      <w:r>
        <w:rPr>
          <w:rFonts w:hint="eastAsia" w:ascii="Times New Roman" w:hAnsi="Times New Roman"/>
          <w:sz w:val="18"/>
          <w:szCs w:val="18"/>
          <w:lang w:eastAsia="zh-CN"/>
        </w:rPr>
        <w:t>三公</w:t>
      </w:r>
      <w:r>
        <w:rPr>
          <w:rFonts w:hint="default" w:ascii="Times New Roman" w:hAnsi="Times New Roman"/>
          <w:sz w:val="18"/>
          <w:szCs w:val="18"/>
        </w:rPr>
        <w:t>经费全年预算数，反映按规定程序调整后的预算数；决算数为包括本年度财政拨款和以前年度结转资金安排的实际支出。</w:t>
      </w:r>
      <w:r>
        <w:rPr>
          <w:rFonts w:hint="default" w:ascii="Times New Roman" w:hAnsi="Times New Roman"/>
          <w:sz w:val="18"/>
          <w:szCs w:val="18"/>
        </w:rPr>
        <w:br w:type="textWrapping"/>
      </w:r>
      <w:r>
        <w:rPr>
          <w:rFonts w:hint="default" w:ascii="Times New Roman" w:hAnsi="Times New Roman"/>
          <w:sz w:val="18"/>
          <w:szCs w:val="18"/>
        </w:rPr>
        <w:t xml:space="preserve">      2.本套报表金额单位转换时可能存在尾数误差。</w:t>
      </w:r>
      <w:r>
        <w:rPr>
          <w:rFonts w:hint="default" w:ascii="Times New Roman" w:hAnsi="Times New Roman"/>
          <w:sz w:val="18"/>
          <w:szCs w:val="18"/>
        </w:rPr>
        <w:br w:type="textWrapping"/>
      </w:r>
      <w:r>
        <w:rPr>
          <w:rFonts w:hint="default" w:ascii="Times New Roman" w:hAnsi="Times New Roman"/>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8D800AA-EA5D-4027-85AF-FA9990C4FEC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embedRegular r:id="rId2" w:fontKey="{C1E355F8-66F0-463F-BA00-E381E26B74F7}"/>
  </w:font>
  <w:font w:name="方正黑体_GBK">
    <w:panose1 w:val="03000509000000000000"/>
    <w:charset w:val="86"/>
    <w:family w:val="script"/>
    <w:pitch w:val="default"/>
    <w:sig w:usb0="00000001" w:usb1="080E0000" w:usb2="00000000" w:usb3="00000000" w:csb0="00040000" w:csb1="00000000"/>
    <w:embedRegular r:id="rId3" w:fontKey="{46C79991-1EEB-4A6A-8983-1089211E0E38}"/>
  </w:font>
  <w:font w:name="方正楷体_GBK">
    <w:panose1 w:val="03000509000000000000"/>
    <w:charset w:val="86"/>
    <w:family w:val="script"/>
    <w:pitch w:val="default"/>
    <w:sig w:usb0="00000001" w:usb1="080E0000" w:usb2="00000000" w:usb3="00000000" w:csb0="00040000" w:csb1="00000000"/>
    <w:embedRegular r:id="rId4" w:fontKey="{6A8498F5-5331-48CD-B9CA-F9B0ACE0991D}"/>
  </w:font>
  <w:font w:name="方正仿宋_GBK">
    <w:panose1 w:val="03000509000000000000"/>
    <w:charset w:val="86"/>
    <w:family w:val="script"/>
    <w:pitch w:val="default"/>
    <w:sig w:usb0="00000001" w:usb1="080E0000" w:usb2="00000000" w:usb3="00000000" w:csb0="00040000" w:csb1="00000000"/>
    <w:embedRegular r:id="rId5" w:fontKey="{B13BD639-5A38-4D05-AE9A-5378FB9E7F99}"/>
  </w:font>
  <w:font w:name="楷体">
    <w:panose1 w:val="02010609060101010101"/>
    <w:charset w:val="86"/>
    <w:family w:val="modern"/>
    <w:pitch w:val="default"/>
    <w:sig w:usb0="800002BF" w:usb1="38CF7CFA" w:usb2="00000016" w:usb3="00000000" w:csb0="00040001" w:csb1="00000000"/>
    <w:embedRegular r:id="rId6" w:fontKey="{6FBB1C30-4279-4189-A0BD-3DD6B6F9FD6F}"/>
  </w:font>
  <w:font w:name="方正楷体_GB2312">
    <w:altName w:val="宋体"/>
    <w:panose1 w:val="00000000000000000000"/>
    <w:charset w:val="86"/>
    <w:family w:val="auto"/>
    <w:pitch w:val="default"/>
    <w:sig w:usb0="00000000" w:usb1="00000000" w:usb2="00000012" w:usb3="00000000" w:csb0="00040001" w:csb1="00000000"/>
    <w:embedRegular r:id="rId7" w:fontKey="{D0E8784C-2DA8-4B29-B854-904DA27B259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86385" cy="147955"/>
              <wp:effectExtent l="0" t="0" r="0" b="0"/>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pPr>
                            <w:pStyle w:val="3"/>
                            <w:rPr>
                              <w:rFonts w:hint="default"/>
                            </w:rPr>
                          </w:pPr>
                          <w:r>
                            <w:fldChar w:fldCharType="begin"/>
                          </w:r>
                          <w:r>
                            <w:instrText xml:space="preserve"> PAGE  \* MERGEFORMAT </w:instrText>
                          </w:r>
                          <w:r>
                            <w:fldChar w:fldCharType="separate"/>
                          </w:r>
                          <w:r>
                            <w:rPr>
                              <w:rFonts w:hint="default"/>
                            </w:rPr>
                            <w:t>- 14 -</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65pt;width:22.55pt;mso-position-horizontal:center;mso-position-horizontal-relative:margin;mso-wrap-style:none;z-index:251661312;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8bMdIAAAADAQAADwAAAAAAAAABACAAAAAiAAAAZHJzL2Rvd25yZXYueG1sUEsB&#10;AhQAFAAAAAgAh07iQMejst/7AQAAAQQAAA4AAAAAAAAAAQAgAAAAIQEAAGRycy9lMm9Eb2MueG1s&#10;UEsFBgAAAAAGAAYAWQEAAI4FAAAAAA==&#10;">
              <v:fill on="f" focussize="0,0"/>
              <v:stroke on="f"/>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15 -</w:t>
                          </w:r>
                          <w:r>
                            <w:fldChar w:fldCharType="end"/>
                          </w:r>
                          <w:r>
                            <w:t xml:space="preserve"> </w:t>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O&#10;qXm5zwAAAAUBAAAPAAAAAAAAAAEAIAAAACIAAABkcnMvZG93bnJldi54bWxQSwECFAAUAAAACACH&#10;TuJAN0DpqvQBAAADBAAADgAAAAAAAAABACAAAAAeAQAAZHJzL2Uyb0RvYy54bWxQSwUGAAAAAAYA&#10;BgBZAQAAhAUAAAAA&#10;">
              <v:fill on="f" focussize="0,0"/>
              <v:stroke on="f"/>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1905"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1828800" cy="220980"/>
                      </a:xfrm>
                      <a:prstGeom prst="rect">
                        <a:avLst/>
                      </a:prstGeom>
                      <a:noFill/>
                      <a:ln>
                        <a:noFill/>
                      </a:ln>
                    </wps:spPr>
                    <wps:txbx>
                      <w:txbxContent>
                        <w:p>
                          <w:pPr>
                            <w:pStyle w:val="3"/>
                            <w:jc w:val="both"/>
                            <w:rPr>
                              <w:rFonts w:hint="default" w:cs="宋体"/>
                            </w:rPr>
                          </w:pPr>
                          <w:r>
                            <w:rPr>
                              <w:rFonts w:cs="宋体"/>
                            </w:rPr>
                            <w:t>— 27.1 —</w:t>
                          </w:r>
                        </w:p>
                      </w:txbxContent>
                    </wps:txbx>
                    <wps:bodyPr rot="0" vert="horz" wrap="none" lIns="0" tIns="0" rIns="0" bIns="0" anchor="t" anchorCtr="0" upright="1">
                      <a:noAutofit/>
                    </wps:bodyPr>
                  </wps:wsp>
                </a:graphicData>
              </a:graphic>
            </wp:anchor>
          </w:drawing>
        </mc:Choice>
        <mc:Fallback>
          <w:pict>
            <v:shape id="Text Box 3"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0Ij6J1gAAAAoBAAAPAAAAAAAAAAEAIAAAACIAAABkcnMvZG93bnJldi54bWxQ&#10;SwECFAAUAAAACACHTuJA1DobsPkBAAACBAAADgAAAAAAAAABACAAAAAlAQAAZHJzL2Uyb0RvYy54&#10;bWxQSwUGAAAAAAYABgBZAQAAkAUAAAAA&#10;">
              <v:fill on="f" focussize="0,0"/>
              <v:stroke on="f"/>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NmIwODI1Y2QwNGQxZDFhYmRhZWMyNWM5ZTJhMjUifQ=="/>
  </w:docVars>
  <w:rsids>
    <w:rsidRoot w:val="00B03CCD"/>
    <w:rsid w:val="0000099A"/>
    <w:rsid w:val="00036AF7"/>
    <w:rsid w:val="00084E90"/>
    <w:rsid w:val="000C01CC"/>
    <w:rsid w:val="000D7702"/>
    <w:rsid w:val="000E7B7E"/>
    <w:rsid w:val="000F6721"/>
    <w:rsid w:val="001632EC"/>
    <w:rsid w:val="00261065"/>
    <w:rsid w:val="002D0E5A"/>
    <w:rsid w:val="002D71F4"/>
    <w:rsid w:val="002E5443"/>
    <w:rsid w:val="0032196C"/>
    <w:rsid w:val="004661DC"/>
    <w:rsid w:val="004852DA"/>
    <w:rsid w:val="004C12FF"/>
    <w:rsid w:val="004D0390"/>
    <w:rsid w:val="00550ABE"/>
    <w:rsid w:val="005B023C"/>
    <w:rsid w:val="00600322"/>
    <w:rsid w:val="006137D7"/>
    <w:rsid w:val="00634FA8"/>
    <w:rsid w:val="0063613A"/>
    <w:rsid w:val="00643495"/>
    <w:rsid w:val="0068170B"/>
    <w:rsid w:val="006E2034"/>
    <w:rsid w:val="00732392"/>
    <w:rsid w:val="00792285"/>
    <w:rsid w:val="007A0D2E"/>
    <w:rsid w:val="007A3314"/>
    <w:rsid w:val="007B419D"/>
    <w:rsid w:val="007C5C5B"/>
    <w:rsid w:val="007E6A32"/>
    <w:rsid w:val="007F6BF5"/>
    <w:rsid w:val="00810F13"/>
    <w:rsid w:val="00826B47"/>
    <w:rsid w:val="00893689"/>
    <w:rsid w:val="00940231"/>
    <w:rsid w:val="00944711"/>
    <w:rsid w:val="009574D5"/>
    <w:rsid w:val="009821E3"/>
    <w:rsid w:val="00984852"/>
    <w:rsid w:val="009B37A6"/>
    <w:rsid w:val="009B67B8"/>
    <w:rsid w:val="00A03B1E"/>
    <w:rsid w:val="00A30F42"/>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25E3BCC"/>
    <w:rsid w:val="03077B2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C374FC"/>
    <w:rsid w:val="188C5E67"/>
    <w:rsid w:val="189079DC"/>
    <w:rsid w:val="189B0D0B"/>
    <w:rsid w:val="18AF03BF"/>
    <w:rsid w:val="18B43F7C"/>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A751F0B"/>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6B63EE0"/>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34478F"/>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4AE41D4"/>
    <w:rsid w:val="552256E1"/>
    <w:rsid w:val="554E5773"/>
    <w:rsid w:val="555A3CBC"/>
    <w:rsid w:val="5582012B"/>
    <w:rsid w:val="558E4E05"/>
    <w:rsid w:val="55BE2E85"/>
    <w:rsid w:val="55D82B6C"/>
    <w:rsid w:val="561D52C4"/>
    <w:rsid w:val="5651697D"/>
    <w:rsid w:val="56530F5D"/>
    <w:rsid w:val="56692AE5"/>
    <w:rsid w:val="567700D3"/>
    <w:rsid w:val="56FF7E9E"/>
    <w:rsid w:val="578867FC"/>
    <w:rsid w:val="57BD523B"/>
    <w:rsid w:val="5842572D"/>
    <w:rsid w:val="5A3B59D6"/>
    <w:rsid w:val="5AD134D8"/>
    <w:rsid w:val="5B6503B1"/>
    <w:rsid w:val="5C0F7EC4"/>
    <w:rsid w:val="5C263CE4"/>
    <w:rsid w:val="5C5D2777"/>
    <w:rsid w:val="5CF66BF3"/>
    <w:rsid w:val="5D290C69"/>
    <w:rsid w:val="5F2D4A41"/>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520131"/>
    <w:rsid w:val="71C34D91"/>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80C62CD"/>
    <w:rsid w:val="796D60A4"/>
    <w:rsid w:val="79A031D5"/>
    <w:rsid w:val="7A1525F7"/>
    <w:rsid w:val="7B420052"/>
    <w:rsid w:val="7B861484"/>
    <w:rsid w:val="7BD06A28"/>
    <w:rsid w:val="7C3A7C0B"/>
    <w:rsid w:val="7C5248E4"/>
    <w:rsid w:val="7C566698"/>
    <w:rsid w:val="7C5866A3"/>
    <w:rsid w:val="7CBE2F89"/>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8948</Words>
  <Characters>11884</Characters>
  <Lines>106</Lines>
  <Paragraphs>29</Paragraphs>
  <TotalTime>1</TotalTime>
  <ScaleCrop>false</ScaleCrop>
  <LinksUpToDate>false</LinksUpToDate>
  <CharactersWithSpaces>13000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2025-08-19T03:21:00Z</dcterms:created>
  <dc:creator>Administrator</dc:creator>
  <cp:lastModifiedBy>毕欢</cp:lastModifiedBy>
  <dcterms:modified xsi:type="dcterms:W3CDTF">2025-09-19T07:24:42Z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BB46EABDBB2749749395447164B066B3_12</vt:lpwstr>
  </property>
  <property fmtid="{D5CDD505-2E9C-101B-9397-08002B2CF9AE}" pid="4" name="KSOTemplateDocerSaveRecord">
    <vt:lpwstr>eyJoZGlkIjoiMDg1YTFmYjM4ZmJlOWViZGIwZjBjNzU3Y2IyMTRkMzMiLCJ1c2VySWQiOiI2NTgyNjIyOTMifQ==</vt:lpwstr>
  </property>
</Properties>
</file>