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8"/>
        <w:spacing w:before="0" w:beforeAutospacing="0" w:after="0" w:afterAutospacing="0" w:line="596" w:lineRule="exact"/>
        <w:jc w:val="center"/>
        <w:rPr>
          <w:rFonts w:hint="eastAsia" w:ascii="方正小标宋_GBK" w:hAnsi="方正小标宋_GBK" w:eastAsia="方正小标宋_GBK" w:cs="方正小标宋_GBK"/>
          <w:b w:val="0"/>
          <w:bCs w:val="0"/>
          <w:color w:val="auto"/>
          <w:sz w:val="44"/>
          <w:szCs w:val="44"/>
          <w:lang w:eastAsia="zh-CN"/>
        </w:rPr>
      </w:pPr>
      <w:r>
        <w:rPr>
          <w:rFonts w:ascii="方正小标宋_GBK" w:hAnsi="方正小标宋_GBK" w:eastAsia="方正小标宋_GBK" w:cs="方正小标宋_GBK"/>
          <w:b w:val="0"/>
          <w:bCs w:val="0"/>
          <w:color w:val="auto"/>
          <w:sz w:val="44"/>
          <w:szCs w:val="44"/>
        </w:rPr>
        <w:t>垫江县</w:t>
      </w:r>
      <w:r>
        <w:rPr>
          <w:rFonts w:hint="eastAsia" w:ascii="方正小标宋_GBK" w:hAnsi="方正小标宋_GBK" w:eastAsia="方正小标宋_GBK" w:cs="方正小标宋_GBK"/>
          <w:b w:val="0"/>
          <w:bCs w:val="0"/>
          <w:color w:val="auto"/>
          <w:sz w:val="44"/>
          <w:szCs w:val="44"/>
          <w:lang w:eastAsia="zh-CN"/>
        </w:rPr>
        <w:t>人民武装部</w:t>
      </w:r>
    </w:p>
    <w:p>
      <w:pPr>
        <w:pStyle w:val="8"/>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Style w:val="12"/>
          <w:rFonts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lang w:eastAsia="zh-CN"/>
        </w:rPr>
        <w:t>一、部门</w:t>
      </w:r>
      <w:r>
        <w:rPr>
          <w:rStyle w:val="12"/>
          <w:rFonts w:ascii="黑体" w:hAnsi="黑体" w:eastAsia="黑体" w:cs="黑体"/>
          <w:sz w:val="32"/>
          <w:szCs w:val="32"/>
          <w:shd w:val="clear" w:color="auto" w:fill="FFFFFF"/>
        </w:rPr>
        <w:t>基本情况</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left="0" w:leftChars="0" w:right="0" w:rightChars="0" w:firstLine="420"/>
        <w:jc w:val="left"/>
        <w:textAlignment w:val="auto"/>
        <w:outlineLvl w:val="9"/>
        <w:rPr>
          <w:rStyle w:val="12"/>
          <w:rFonts w:hint="default" w:ascii="楷体" w:hAnsi="楷体" w:eastAsia="楷体" w:cs="楷体"/>
          <w:b w:val="0"/>
          <w:bCs/>
          <w:sz w:val="32"/>
          <w:szCs w:val="32"/>
          <w:shd w:val="clear" w:color="auto" w:fill="FFFFFF"/>
        </w:rPr>
      </w:pPr>
      <w:r>
        <w:rPr>
          <w:rStyle w:val="12"/>
          <w:rFonts w:ascii="楷体" w:hAnsi="楷体" w:eastAsia="楷体" w:cs="楷体"/>
          <w:b w:val="0"/>
          <w:bCs/>
          <w:sz w:val="32"/>
          <w:szCs w:val="32"/>
          <w:shd w:val="clear" w:color="auto" w:fill="FFFFFF"/>
        </w:rPr>
        <w:t>（一）职能职责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1.组织全县国防动员和后备力量建设，编制国防动员、后备力量建设、军民融合协调等方面建设规划计划并监督实施。</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2.组织编制全县国防动员方案计划，计划协调战时部队扩编所需相关兵力、装备和物资等，组织指导和做好</w:t>
      </w:r>
      <w:bookmarkStart w:id="0" w:name="_GoBack"/>
      <w:bookmarkEnd w:id="0"/>
      <w:r>
        <w:rPr>
          <w:rStyle w:val="12"/>
          <w:rFonts w:hint="eastAsia" w:ascii="仿宋_GB2312" w:hAnsi="仿宋_GB2312" w:eastAsia="仿宋_GB2312" w:cs="仿宋_GB2312"/>
          <w:b w:val="0"/>
          <w:bCs/>
          <w:sz w:val="32"/>
          <w:szCs w:val="32"/>
          <w:shd w:val="clear" w:color="auto" w:fill="FFFFFF"/>
          <w:lang w:val="en-US" w:eastAsia="zh-CN"/>
        </w:rPr>
        <w:t>国防动员准备，会同地方党委、政府组织指挥国防动员行动。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3.组织义务兵征集、士官直招和预备役登记、征集等工作。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4.组织指导基层人民武装部建设，负责专职人民武装部干部选拔、配备和培训管理等工作。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5.负责国防设施保护以及人防、边防、海防相关协调工作。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6.组织协调全县学生军训工作。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7.负责全县军民融合协调工作。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8.负责本单位退役军人安置、现役军人优待抚恤、双拥共建，以及本单位政治教育、战备建设、军事训练、行政管理等工作。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9.负责县国防动员委员会日常工作。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10.完成上级军事机关和县党委、政府赋予的其他任务。</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left="0" w:leftChars="0" w:right="0" w:rightChars="0" w:firstLine="420"/>
        <w:jc w:val="left"/>
        <w:textAlignment w:val="auto"/>
        <w:outlineLvl w:val="9"/>
        <w:rPr>
          <w:rStyle w:val="12"/>
          <w:rFonts w:hint="default" w:ascii="楷体" w:hAnsi="楷体" w:eastAsia="楷体" w:cs="楷体"/>
          <w:b w:val="0"/>
          <w:bCs/>
          <w:sz w:val="32"/>
          <w:szCs w:val="32"/>
          <w:shd w:val="clear" w:color="auto" w:fill="FFFFFF"/>
        </w:rPr>
      </w:pPr>
      <w:r>
        <w:rPr>
          <w:rStyle w:val="12"/>
          <w:rFonts w:ascii="楷体" w:hAnsi="楷体" w:eastAsia="楷体" w:cs="楷体"/>
          <w:b w:val="0"/>
          <w:bCs/>
          <w:sz w:val="32"/>
          <w:szCs w:val="32"/>
          <w:shd w:val="clear" w:color="auto" w:fill="FFFFFF"/>
        </w:rPr>
        <w:t>（二）机构设置</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shd w:val="clear" w:color="auto" w:fill="FFFFFF"/>
          <w:lang w:val="en-US" w:eastAsia="zh-CN" w:bidi="ar"/>
        </w:rPr>
      </w:pPr>
      <w:r>
        <w:rPr>
          <w:rStyle w:val="12"/>
          <w:rFonts w:hint="eastAsia" w:ascii="仿宋_GB2312" w:hAnsi="仿宋_GB2312" w:eastAsia="仿宋_GB2312" w:cs="仿宋_GB2312"/>
          <w:b w:val="0"/>
          <w:bCs/>
          <w:sz w:val="32"/>
          <w:szCs w:val="32"/>
          <w:shd w:val="clear" w:color="auto" w:fill="FFFFFF"/>
          <w:lang w:val="en-US" w:eastAsia="zh-CN"/>
        </w:rPr>
        <w:t>中国人民解放军重庆市垫江县人民武装部属于军队序列，内设军事科、政治工作科、保障科。其下属垫江县民兵军事训练基地和垫江县民兵武器装备仓库属于地方事业编制。2024年机构设置无变化</w:t>
      </w:r>
      <w:r>
        <w:rPr>
          <w:rFonts w:hint="eastAsia" w:ascii="方正仿宋_GBK" w:hAnsi="方正仿宋_GBK" w:eastAsia="方正仿宋_GBK" w:cs="方正仿宋_GBK"/>
          <w:kern w:val="0"/>
          <w:sz w:val="32"/>
          <w:szCs w:val="32"/>
          <w:shd w:val="clear" w:color="auto" w:fill="FFFFFF"/>
          <w:lang w:val="en-US" w:eastAsia="zh-CN" w:bidi="ar"/>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w:t>
      </w:r>
      <w:r>
        <w:rPr>
          <w:rStyle w:val="12"/>
          <w:rFonts w:hint="eastAsia" w:ascii="黑体" w:hAnsi="黑体" w:eastAsia="黑体" w:cs="黑体"/>
          <w:sz w:val="32"/>
          <w:szCs w:val="32"/>
          <w:shd w:val="clear" w:color="auto" w:fill="FFFFFF"/>
          <w:lang w:eastAsia="zh-CN"/>
        </w:rPr>
        <w:t>部门</w:t>
      </w:r>
      <w:r>
        <w:rPr>
          <w:rStyle w:val="12"/>
          <w:rFonts w:ascii="黑体" w:hAnsi="黑体" w:eastAsia="黑体" w:cs="黑体"/>
          <w:sz w:val="32"/>
          <w:szCs w:val="32"/>
          <w:shd w:val="clear" w:color="auto" w:fill="FFFFFF"/>
        </w:rPr>
        <w:t>决算</w:t>
      </w:r>
      <w:r>
        <w:rPr>
          <w:rStyle w:val="12"/>
          <w:rFonts w:hint="eastAsia" w:ascii="黑体" w:hAnsi="黑体" w:eastAsia="黑体" w:cs="黑体"/>
          <w:sz w:val="32"/>
          <w:szCs w:val="32"/>
          <w:shd w:val="clear" w:color="auto" w:fill="FFFFFF"/>
          <w:lang w:eastAsia="zh-CN"/>
        </w:rPr>
        <w:t>收支</w:t>
      </w:r>
      <w:r>
        <w:rPr>
          <w:rStyle w:val="12"/>
          <w:rFonts w:ascii="黑体" w:hAnsi="黑体" w:eastAsia="黑体" w:cs="黑体"/>
          <w:sz w:val="32"/>
          <w:szCs w:val="32"/>
          <w:shd w:val="clear" w:color="auto" w:fill="FFFFFF"/>
        </w:rPr>
        <w:t>情况说明</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left="0" w:leftChars="0" w:right="0" w:rightChars="0" w:firstLine="420"/>
        <w:jc w:val="left"/>
        <w:textAlignment w:val="auto"/>
        <w:outlineLvl w:val="9"/>
        <w:rPr>
          <w:rStyle w:val="12"/>
          <w:rFonts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rPr>
        <w:t>（一）收入支出决算总体情况说明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1.总体情况。2024年度收入总计476.55万元，支出总计476.55万元。收、支与2023年度相比，减少100.86万元，下降17.5%，主要原因是2人退休，1人调出，加上本年度未购置21式作训服，预算和支出减少。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2.收入情况。2024年度收入合计476.55万元，与2023年度相比，减少100.80万元，下降17.5%，主要原因是：2人退休，1人调出，加上本年度未购置21式作训服，预算减少。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其中：财政拨款收入476.55万元，占100.00%；事业收入0.00万元，占0.00%；经营收入0.00万元，占0.00%；其他收入0.00万元，占0.00%。此外，使用非财政拨款结余和专用结余0.00万元，年初结转和结余0.00万元。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3.支出情况。2024年度支出合计476.55万元，与2023年度相比，减少100.86万元，下降17.5%，主要原因是2人退休，1人调出，加上本年度未购置21式作训服，支出减少。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其中：基本支出250.08万元，占52.48%；项目支出226.47万元，占47.52%；经营支出0.00万元，占0.00%。此外，结余分配0.00万元。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rPr>
      </w:pPr>
      <w:r>
        <w:rPr>
          <w:rStyle w:val="12"/>
          <w:rFonts w:hint="eastAsia" w:ascii="仿宋_GB2312" w:hAnsi="仿宋_GB2312" w:eastAsia="仿宋_GB2312" w:cs="仿宋_GB2312"/>
          <w:b w:val="0"/>
          <w:bCs/>
          <w:sz w:val="32"/>
          <w:szCs w:val="32"/>
          <w:shd w:val="clear" w:color="auto" w:fill="FFFFFF"/>
          <w:lang w:val="en-US" w:eastAsia="zh-CN"/>
        </w:rPr>
        <w:t>4.结转结余情况。</w:t>
      </w:r>
      <w:r>
        <w:rPr>
          <w:rStyle w:val="12"/>
          <w:rFonts w:hint="eastAsia" w:ascii="仿宋_GB2312" w:hAnsi="仿宋_GB2312" w:eastAsia="仿宋_GB2312" w:cs="仿宋_GB2312"/>
          <w:bCs/>
          <w:kern w:val="0"/>
          <w:sz w:val="32"/>
          <w:szCs w:val="32"/>
          <w:shd w:val="clear" w:color="auto" w:fill="FFFFFF"/>
          <w:lang w:val="en-US" w:eastAsia="zh-CN" w:bidi="ar-SA"/>
        </w:rPr>
        <w:t>2024年度年末结转和结余0.00万元，与2023年度相比，无增减，主要原因是与上年持平。</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left="0" w:leftChars="0" w:right="0" w:rightChars="0" w:firstLine="420"/>
        <w:jc w:val="left"/>
        <w:textAlignment w:val="auto"/>
        <w:outlineLvl w:val="9"/>
        <w:rPr>
          <w:rStyle w:val="12"/>
          <w:rFonts w:hint="eastAsia"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rPr>
        <w:t>（二）财政拨款收入支出决算总体情况说明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2024年度财政拨款收、支总计476.55万元。与2023年相比，财政拨款收、支总计各减少100.86万元，下降17.5%。主要原因是2人退休，1人调出，加上本年度未购置21式作训服，收支减少。</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left="0" w:leftChars="0" w:right="0" w:rightChars="0" w:firstLine="420"/>
        <w:jc w:val="left"/>
        <w:textAlignment w:val="auto"/>
        <w:outlineLvl w:val="9"/>
        <w:rPr>
          <w:rStyle w:val="12"/>
          <w:rFonts w:hint="eastAsia"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rPr>
        <w:t>（三）一般公共预算财政拨款收入支出决算情况说明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Fonts w:hint="eastAsia" w:ascii="方正仿宋_GBK" w:hAnsi="方正仿宋_GBK" w:eastAsia="方正仿宋_GBK" w:cs="方正仿宋_GBK"/>
          <w:kern w:val="0"/>
          <w:sz w:val="32"/>
          <w:szCs w:val="32"/>
          <w:shd w:val="clear" w:color="auto" w:fill="FFFFFF"/>
          <w:lang w:eastAsia="zh-CN"/>
        </w:rPr>
        <w:t>1.收入情况。</w:t>
      </w:r>
      <w:r>
        <w:rPr>
          <w:rStyle w:val="12"/>
          <w:rFonts w:hint="eastAsia" w:ascii="仿宋_GB2312" w:hAnsi="仿宋_GB2312" w:eastAsia="仿宋_GB2312" w:cs="仿宋_GB2312"/>
          <w:b w:val="0"/>
          <w:bCs/>
          <w:sz w:val="32"/>
          <w:szCs w:val="32"/>
          <w:shd w:val="clear" w:color="auto" w:fill="FFFFFF"/>
          <w:lang w:val="en-US" w:eastAsia="zh-CN"/>
        </w:rPr>
        <w:t>2024年度一般公共预算财政拨款收入476.55万元，与2023年度相比，减少100.80万元，下降17.5%。主要原因是2人退休，1人调出，加上本年度未购置21式作训服，收入减少。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较年初预算数增加50.89万元，增长12.0%。主要原因是年初国防预算不足，以及职工职称和薪级晋升，人员经费增加。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此外，年初财政拨款结转和结余0.00万元。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Fonts w:hint="eastAsia" w:ascii="方正仿宋_GBK" w:hAnsi="方正仿宋_GBK" w:eastAsia="方正仿宋_GBK" w:cs="方正仿宋_GBK"/>
          <w:kern w:val="0"/>
          <w:sz w:val="32"/>
          <w:szCs w:val="32"/>
          <w:shd w:val="clear" w:color="auto" w:fill="FFFFFF"/>
          <w:lang w:eastAsia="zh-CN"/>
        </w:rPr>
        <w:t>2.支出情况。</w:t>
      </w:r>
      <w:r>
        <w:rPr>
          <w:rStyle w:val="12"/>
          <w:rFonts w:hint="eastAsia" w:ascii="仿宋_GB2312" w:hAnsi="仿宋_GB2312" w:eastAsia="仿宋_GB2312" w:cs="仿宋_GB2312"/>
          <w:b w:val="0"/>
          <w:bCs/>
          <w:sz w:val="32"/>
          <w:szCs w:val="32"/>
          <w:shd w:val="clear" w:color="auto" w:fill="FFFFFF"/>
          <w:lang w:val="en-US" w:eastAsia="zh-CN"/>
        </w:rPr>
        <w:t>2024年度一般公共预算财政拨款支出476.55万元，与2023年度相比，减少100.86万元，下降17.5%。主要原因是二人退休，一人调出，加上本年度未购置21式作训服，支出减少。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较年初预算数增加50.89万元，增长12.0%。主要原因是年初国防预算不足，以及职工职称和薪级晋升，人员经费增加。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shd w:val="clear" w:color="auto" w:fill="FFFFFF"/>
          <w:lang w:eastAsia="zh-CN"/>
        </w:rPr>
      </w:pPr>
      <w:r>
        <w:rPr>
          <w:rStyle w:val="12"/>
          <w:rFonts w:hint="eastAsia" w:ascii="仿宋_GB2312" w:hAnsi="仿宋_GB2312" w:eastAsia="仿宋_GB2312" w:cs="仿宋_GB2312"/>
          <w:b w:val="0"/>
          <w:bCs/>
          <w:sz w:val="32"/>
          <w:szCs w:val="32"/>
          <w:shd w:val="clear" w:color="auto" w:fill="FFFFFF"/>
          <w:lang w:val="en-US" w:eastAsia="zh-CN"/>
        </w:rPr>
        <w:t>结转结余情况。2024年度年末一般公共预算财政拨款结转和结余0.00万元，与2023年度相比，无增减，主要原因是与上年持平</w:t>
      </w:r>
      <w:r>
        <w:rPr>
          <w:rFonts w:hint="eastAsia" w:ascii="方正仿宋_GBK" w:hAnsi="方正仿宋_GBK" w:eastAsia="方正仿宋_GBK" w:cs="方正仿宋_GBK"/>
          <w:kern w:val="0"/>
          <w:sz w:val="32"/>
          <w:szCs w:val="32"/>
          <w:shd w:val="clear" w:color="auto" w:fill="FFFFFF"/>
          <w:lang w:eastAsia="zh-CN"/>
        </w:rPr>
        <w:t>。</w:t>
      </w:r>
    </w:p>
    <w:p>
      <w:pPr>
        <w:pStyle w:val="18"/>
        <w:keepNext w:val="0"/>
        <w:keepLines w:val="0"/>
        <w:pageBreakBefore w:val="0"/>
        <w:widowControl/>
        <w:tabs>
          <w:tab w:val="center" w:pos="4153"/>
          <w:tab w:val="left" w:pos="7275"/>
        </w:tabs>
        <w:kinsoku/>
        <w:wordWrap/>
        <w:overflowPunct/>
        <w:topLinePunct w:val="0"/>
        <w:autoSpaceDN/>
        <w:bidi w:val="0"/>
        <w:adjustRightInd/>
        <w:snapToGrid/>
        <w:spacing w:before="0" w:beforeAutospacing="0" w:after="0" w:afterAutospacing="0" w:line="579" w:lineRule="exact"/>
        <w:ind w:left="0" w:leftChars="0" w:right="0" w:rightChars="0" w:firstLine="640"/>
        <w:jc w:val="left"/>
        <w:textAlignment w:val="auto"/>
        <w:outlineLvl w:val="9"/>
        <w:rPr>
          <w:rFonts w:hint="default" w:ascii="方正仿宋_GBK" w:hAnsi="方正仿宋_GBK" w:eastAsia="方正仿宋_GBK" w:cs="方正仿宋_GBK"/>
          <w:kern w:val="0"/>
          <w:sz w:val="32"/>
          <w:szCs w:val="32"/>
          <w:shd w:val="clear" w:color="auto" w:fill="FFFFFF"/>
          <w:lang w:eastAsia="zh-CN"/>
        </w:rPr>
      </w:pPr>
      <w:r>
        <w:rPr>
          <w:rFonts w:hint="eastAsia" w:ascii="方正仿宋_GBK" w:hAnsi="方正仿宋_GBK" w:eastAsia="方正仿宋_GBK" w:cs="方正仿宋_GBK"/>
          <w:kern w:val="0"/>
          <w:sz w:val="32"/>
          <w:szCs w:val="32"/>
          <w:shd w:val="clear" w:color="auto" w:fill="FFFFFF"/>
          <w:lang w:eastAsia="zh-CN"/>
        </w:rPr>
        <w:t>4.比较情况。</w:t>
      </w:r>
      <w:r>
        <w:rPr>
          <w:rStyle w:val="12"/>
          <w:rFonts w:hint="eastAsia" w:ascii="仿宋_GB2312" w:hAnsi="仿宋_GB2312" w:eastAsia="仿宋_GB2312" w:cs="仿宋_GB2312"/>
          <w:bCs/>
          <w:kern w:val="0"/>
          <w:sz w:val="32"/>
          <w:szCs w:val="32"/>
          <w:shd w:val="clear" w:color="auto" w:fill="FFFFFF"/>
          <w:lang w:val="en-US" w:eastAsia="zh-CN" w:bidi="ar-SA"/>
        </w:rPr>
        <w:t>本部门2024年度一般公共预算财政拨款支出主要用于以下几个方面：</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（1）一般公共服务支出192.64万元，占40.42%，较年初预算数增加14.15万元，增长7.9%，主要原因是职工职称和薪级晋升，人员经费增加。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（2）国防支出213.27万元，占44.75%，较年初预算数增加13.27万元，增长6.6%，主要原因是市级下拨民兵事业费增加。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（3）教育支出0.57万元，占0.12%，较年初预算数无增减，主要原因是与上年持平。</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（4）社会保障与就业支出53.25万元，占11.17%，较年初预算数增加23.46万元，增长78.8%，主要原因是社会保险、医疗保险等增加。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（5）卫生健康支出7.64万元，占1.60%，较年初预算数无增减，主要原因是与上年持平。</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（6）住房保障支出9.17万元，占1.92%，较年初预算数无增减，主要原因是与上年持平。</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left="0" w:leftChars="0" w:right="0" w:rightChars="0" w:firstLine="420"/>
        <w:jc w:val="left"/>
        <w:textAlignment w:val="auto"/>
        <w:outlineLvl w:val="9"/>
        <w:rPr>
          <w:rStyle w:val="12"/>
          <w:rFonts w:hint="eastAsia"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rPr>
        <w:t>（四）一般公共预算财政拨款基本支出决算情况说明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 2024年度一般公共财政拨款基本支出250.08万元。其中：人员经费244.35万元，与2023年度相比，增加0.91万元，增长0.4%，主要原因是职工职称和薪级晋升，人员经费增加。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人员经费用途主要包括基本工资、绩效工资、超额绩效工资、社会保险、医疗保险、住房公积金等。公用经费5.73万元，与2023年度相比，减少32.56万元，下降85.0%，主要原因是2人退休、1人调出，预算经费减少。公用经费用途主要包括支付水电气费以及退休职工、困难职工、困难党员节假日慰问等。</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left="0" w:leftChars="0" w:right="0" w:rightChars="0" w:firstLine="420"/>
        <w:jc w:val="left"/>
        <w:textAlignment w:val="auto"/>
        <w:outlineLvl w:val="9"/>
        <w:rPr>
          <w:rStyle w:val="12"/>
          <w:rFonts w:hint="eastAsia"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rPr>
        <w:t>（五）政府性基金预算收支决算情况说明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本部门2024年度无政府性基金预算财政拨款收支。</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left="0" w:leftChars="0" w:right="0" w:rightChars="0" w:firstLine="420"/>
        <w:jc w:val="left"/>
        <w:textAlignment w:val="auto"/>
        <w:outlineLvl w:val="9"/>
        <w:rPr>
          <w:rStyle w:val="12"/>
          <w:rFonts w:hint="eastAsia"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rPr>
        <w:t>（六）国有资本经营预算财政拨款支出决算情况说明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本部门2024年度无国有资本经营预算财政拨款支出。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Style w:val="12"/>
          <w:rFonts w:hint="default" w:ascii="楷体" w:hAnsi="楷体" w:eastAsia="楷体" w:cs="楷体"/>
          <w:b w:val="0"/>
          <w:bCs/>
          <w:sz w:val="32"/>
          <w:szCs w:val="32"/>
          <w:shd w:val="clear" w:color="auto" w:fill="FFFFFF"/>
        </w:rPr>
      </w:pPr>
      <w:r>
        <w:rPr>
          <w:rStyle w:val="12"/>
          <w:rFonts w:ascii="黑体" w:hAnsi="黑体" w:eastAsia="黑体" w:cs="黑体"/>
          <w:sz w:val="32"/>
          <w:szCs w:val="32"/>
          <w:shd w:val="clear" w:color="auto" w:fill="FFFFFF"/>
        </w:rPr>
        <w:t>三、</w:t>
      </w:r>
      <w:r>
        <w:rPr>
          <w:rStyle w:val="12"/>
          <w:rFonts w:hint="eastAsia" w:ascii="黑体" w:hAnsi="黑体" w:eastAsia="黑体" w:cs="黑体"/>
          <w:sz w:val="32"/>
          <w:szCs w:val="32"/>
          <w:shd w:val="clear" w:color="auto" w:fill="FFFFFF"/>
          <w:lang w:eastAsia="zh-CN"/>
        </w:rPr>
        <w:t>财政拨款三公</w:t>
      </w:r>
      <w:r>
        <w:rPr>
          <w:rStyle w:val="12"/>
          <w:rFonts w:ascii="黑体" w:hAnsi="黑体" w:eastAsia="黑体" w:cs="黑体"/>
          <w:sz w:val="32"/>
          <w:szCs w:val="32"/>
          <w:shd w:val="clear" w:color="auto" w:fill="FFFFFF"/>
        </w:rPr>
        <w:t>经费情况说明</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left="0" w:leftChars="0" w:right="0" w:rightChars="0" w:firstLine="420"/>
        <w:jc w:val="left"/>
        <w:textAlignment w:val="auto"/>
        <w:outlineLvl w:val="9"/>
        <w:rPr>
          <w:rStyle w:val="12"/>
          <w:rFonts w:hint="eastAsia" w:ascii="楷体" w:hAnsi="楷体" w:eastAsia="楷体" w:cs="楷体"/>
          <w:sz w:val="32"/>
          <w:szCs w:val="32"/>
          <w:shd w:val="clear" w:color="auto" w:fill="FFFFFF"/>
        </w:rPr>
      </w:pPr>
      <w:r>
        <w:rPr>
          <w:rStyle w:val="12"/>
          <w:rFonts w:hint="eastAsia" w:ascii="楷体" w:hAnsi="楷体" w:eastAsia="楷体" w:cs="楷体"/>
          <w:b w:val="0"/>
          <w:bCs/>
          <w:sz w:val="32"/>
          <w:szCs w:val="32"/>
          <w:shd w:val="clear" w:color="auto" w:fill="FFFFFF"/>
        </w:rPr>
        <w:t xml:space="preserve"> （一）</w:t>
      </w:r>
      <w:r>
        <w:rPr>
          <w:rStyle w:val="12"/>
          <w:rFonts w:hint="eastAsia" w:ascii="楷体" w:hAnsi="楷体" w:eastAsia="楷体" w:cs="楷体"/>
          <w:b w:val="0"/>
          <w:bCs/>
          <w:sz w:val="32"/>
          <w:szCs w:val="32"/>
          <w:shd w:val="clear" w:color="auto" w:fill="FFFFFF"/>
          <w:lang w:eastAsia="zh-CN"/>
        </w:rPr>
        <w:t>三公</w:t>
      </w:r>
      <w:r>
        <w:rPr>
          <w:rStyle w:val="12"/>
          <w:rFonts w:hint="eastAsia" w:ascii="楷体" w:hAnsi="楷体" w:eastAsia="楷体" w:cs="楷体"/>
          <w:b w:val="0"/>
          <w:bCs/>
          <w:sz w:val="32"/>
          <w:szCs w:val="32"/>
          <w:shd w:val="clear" w:color="auto" w:fill="FFFFFF"/>
        </w:rPr>
        <w:t>经费支出总体情况说明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2024年度三公经费支出共计0.00万元，较年初预算数无增减，主要原因是我单位三公经费由军费支出。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与2023年度相比，无增减，主要原因是.我单位三公经费由军费支出。</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left="0" w:leftChars="0" w:right="0" w:rightChars="0" w:firstLine="420"/>
        <w:jc w:val="left"/>
        <w:textAlignment w:val="auto"/>
        <w:outlineLvl w:val="9"/>
        <w:rPr>
          <w:rStyle w:val="12"/>
          <w:rFonts w:hint="eastAsia"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lang w:val="en-US" w:eastAsia="zh-CN"/>
        </w:rPr>
        <w:t xml:space="preserve"> </w:t>
      </w:r>
      <w:r>
        <w:rPr>
          <w:rStyle w:val="12"/>
          <w:rFonts w:hint="eastAsia" w:ascii="楷体" w:hAnsi="楷体" w:eastAsia="楷体" w:cs="楷体"/>
          <w:b w:val="0"/>
          <w:bCs/>
          <w:sz w:val="32"/>
          <w:szCs w:val="32"/>
          <w:shd w:val="clear" w:color="auto" w:fill="FFFFFF"/>
        </w:rPr>
        <w:t>（二）</w:t>
      </w:r>
      <w:r>
        <w:rPr>
          <w:rStyle w:val="12"/>
          <w:rFonts w:hint="eastAsia" w:ascii="楷体" w:hAnsi="楷体" w:eastAsia="楷体" w:cs="楷体"/>
          <w:b w:val="0"/>
          <w:bCs/>
          <w:sz w:val="32"/>
          <w:szCs w:val="32"/>
          <w:shd w:val="clear" w:color="auto" w:fill="FFFFFF"/>
          <w:lang w:eastAsia="zh-CN"/>
        </w:rPr>
        <w:t>三公</w:t>
      </w:r>
      <w:r>
        <w:rPr>
          <w:rStyle w:val="12"/>
          <w:rFonts w:hint="eastAsia" w:ascii="楷体" w:hAnsi="楷体" w:eastAsia="楷体" w:cs="楷体"/>
          <w:b w:val="0"/>
          <w:bCs/>
          <w:sz w:val="32"/>
          <w:szCs w:val="32"/>
          <w:shd w:val="clear" w:color="auto" w:fill="FFFFFF"/>
        </w:rPr>
        <w:t>经费分项支出情况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2024年度本部门因公出国（境）费用0.00万元，主要是用于.无该项支出产生，与2023年度相比，无增减。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 2024年度本部门因公出国（境）费用0.00万元，费用支出较年初预算数无增减，主要原因是无该项支出产生，与2023年度相比，无增减。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 公务车购置费0.00万元。费用支出较年初预算数无增减，没有购置公务车。与2023年度相比，无增减，均无该项支出产生。公务车运行维护费0.00万元，费用支出较年初预算数无增减，主要原因是无该项支出产生。与2023年度相比，无增减，主要原因是均无该项支出产生。</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 公务接待费0.00万元，费用支出较年初预算数无增减，主要原因是该项费用由军费开支。较上年支出数无增减，主要原因是均无该项支出产生。</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left="0" w:leftChars="0" w:right="0" w:rightChars="0" w:firstLine="420"/>
        <w:jc w:val="left"/>
        <w:textAlignment w:val="auto"/>
        <w:outlineLvl w:val="9"/>
        <w:rPr>
          <w:rStyle w:val="12"/>
          <w:rFonts w:hint="eastAsia"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lang w:val="en-US" w:eastAsia="zh-CN"/>
        </w:rPr>
        <w:t xml:space="preserve">  </w:t>
      </w:r>
      <w:r>
        <w:rPr>
          <w:rStyle w:val="12"/>
          <w:rFonts w:hint="eastAsia" w:ascii="楷体" w:hAnsi="楷体" w:eastAsia="楷体" w:cs="楷体"/>
          <w:b w:val="0"/>
          <w:bCs/>
          <w:sz w:val="32"/>
          <w:szCs w:val="32"/>
          <w:shd w:val="clear" w:color="auto" w:fill="FFFFFF"/>
        </w:rPr>
        <w:t>（三）</w:t>
      </w:r>
      <w:r>
        <w:rPr>
          <w:rStyle w:val="12"/>
          <w:rFonts w:hint="eastAsia" w:ascii="楷体" w:hAnsi="楷体" w:eastAsia="楷体" w:cs="楷体"/>
          <w:b w:val="0"/>
          <w:bCs/>
          <w:sz w:val="32"/>
          <w:szCs w:val="32"/>
          <w:shd w:val="clear" w:color="auto" w:fill="FFFFFF"/>
          <w:lang w:eastAsia="zh-CN"/>
        </w:rPr>
        <w:t>三公</w:t>
      </w:r>
      <w:r>
        <w:rPr>
          <w:rStyle w:val="12"/>
          <w:rFonts w:hint="eastAsia" w:ascii="楷体" w:hAnsi="楷体" w:eastAsia="楷体" w:cs="楷体"/>
          <w:b w:val="0"/>
          <w:bCs/>
          <w:sz w:val="32"/>
          <w:szCs w:val="32"/>
          <w:shd w:val="clear" w:color="auto" w:fill="FFFFFF"/>
        </w:rPr>
        <w:t>经费实物量情况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  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jc w:val="left"/>
        <w:textAlignment w:val="auto"/>
        <w:outlineLvl w:val="9"/>
        <w:rPr>
          <w:rStyle w:val="12"/>
          <w:rFonts w:hint="default"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lang w:val="en-US" w:eastAsia="zh-CN"/>
        </w:rPr>
        <w:t xml:space="preserve">    </w:t>
      </w:r>
      <w:r>
        <w:rPr>
          <w:rStyle w:val="12"/>
          <w:rFonts w:ascii="黑体" w:hAnsi="黑体" w:eastAsia="黑体" w:cs="黑体"/>
          <w:sz w:val="32"/>
          <w:szCs w:val="32"/>
          <w:shd w:val="clear" w:color="auto" w:fill="FFFFFF"/>
        </w:rPr>
        <w:t>四、其他需要说明的事项</w:t>
      </w:r>
    </w:p>
    <w:p>
      <w:pPr>
        <w:pStyle w:val="8"/>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rPr>
        <w:t>财政拨款会议费和培训费情况说明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本年度会议费支出0.00万元，与2023年度相比，无增减，主要原因是由军费支出。本年度培训费支出0.57万元，与2023年度相比，减少0.14万元，下降19.7%，主要原因是人员培训减少。</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left="0" w:leftChars="0" w:right="0" w:rightChars="0" w:firstLine="420"/>
        <w:jc w:val="left"/>
        <w:textAlignment w:val="auto"/>
        <w:outlineLvl w:val="9"/>
        <w:rPr>
          <w:rStyle w:val="12"/>
          <w:rFonts w:hint="eastAsia"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lang w:val="en-US" w:eastAsia="zh-CN"/>
        </w:rPr>
        <w:t xml:space="preserve"> </w:t>
      </w:r>
      <w:r>
        <w:rPr>
          <w:rStyle w:val="12"/>
          <w:rFonts w:hint="eastAsia" w:ascii="楷体" w:hAnsi="楷体" w:eastAsia="楷体" w:cs="楷体"/>
          <w:b w:val="0"/>
          <w:bCs/>
          <w:sz w:val="32"/>
          <w:szCs w:val="32"/>
          <w:shd w:val="clear" w:color="auto" w:fill="FFFFFF"/>
        </w:rPr>
        <w:t>（二）机关运行经费情况说明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FF0000"/>
          <w:sz w:val="32"/>
          <w:szCs w:val="32"/>
        </w:rPr>
        <w:t>按照部门决算列报口径，我单位不在机关运行经费统计范围之内。</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left="0" w:leftChars="0" w:right="0" w:rightChars="0" w:firstLine="420"/>
        <w:jc w:val="left"/>
        <w:textAlignment w:val="auto"/>
        <w:outlineLvl w:val="9"/>
        <w:rPr>
          <w:rStyle w:val="12"/>
          <w:rFonts w:hint="eastAsia" w:ascii="楷体" w:hAnsi="楷体" w:eastAsia="楷体" w:cs="楷体"/>
          <w:b w:val="0"/>
          <w:bCs/>
          <w:sz w:val="32"/>
          <w:szCs w:val="32"/>
          <w:shd w:val="clear" w:color="auto" w:fill="FFFFFF"/>
        </w:rPr>
      </w:pPr>
      <w:r>
        <w:rPr>
          <w:rStyle w:val="12"/>
          <w:rFonts w:hint="eastAsia" w:ascii="楷体" w:hAnsi="楷体" w:eastAsia="楷体" w:cs="楷体"/>
          <w:b w:val="0"/>
          <w:bCs/>
          <w:sz w:val="32"/>
          <w:szCs w:val="32"/>
          <w:shd w:val="clear" w:color="auto" w:fill="FFFFFF"/>
          <w:lang w:val="en-US" w:eastAsia="zh-CN"/>
        </w:rPr>
        <w:t xml:space="preserve"> </w:t>
      </w:r>
      <w:r>
        <w:rPr>
          <w:rStyle w:val="12"/>
          <w:rFonts w:hint="eastAsia" w:ascii="楷体" w:hAnsi="楷体" w:eastAsia="楷体" w:cs="楷体"/>
          <w:b w:val="0"/>
          <w:bCs/>
          <w:sz w:val="32"/>
          <w:szCs w:val="32"/>
          <w:shd w:val="clear" w:color="auto" w:fill="FFFFFF"/>
        </w:rPr>
        <w:t>（三）国有资产占用情况说明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截至2024年12月31日，本部门共有车辆2辆，其中，副部（省）级及以上领导用车0辆、主要负责人用车0辆、机要通信用车0辆、应急保障用车2辆、执法执勤用车0辆，特种专业技术用车0辆，离退休干部用车0辆。单价100万元（含）以上专用设备0台（套）。</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val="en-US" w:eastAsia="zh-CN" w:bidi="ar"/>
        </w:rPr>
      </w:pPr>
      <w:r>
        <w:rPr>
          <w:rStyle w:val="12"/>
          <w:rFonts w:hint="default" w:ascii="仿宋_GB2312" w:hAnsi="仿宋_GB2312" w:eastAsia="仿宋_GB2312" w:cs="仿宋_GB2312"/>
          <w:b w:val="0"/>
          <w:bCs/>
          <w:sz w:val="32"/>
          <w:szCs w:val="32"/>
          <w:shd w:val="clear" w:color="auto" w:fill="FFFFFF"/>
          <w:lang w:val="en-US" w:eastAsia="zh-CN"/>
        </w:rPr>
        <w:t>我单位资产未纳入部门决算报表</w:t>
      </w:r>
      <w:r>
        <w:rPr>
          <w:rStyle w:val="12"/>
          <w:rFonts w:hint="eastAsia" w:ascii="仿宋_GB2312" w:hAnsi="仿宋_GB2312" w:eastAsia="仿宋_GB2312" w:cs="仿宋_GB2312"/>
          <w:b w:val="0"/>
          <w:bCs/>
          <w:sz w:val="32"/>
          <w:szCs w:val="32"/>
          <w:shd w:val="clear" w:color="auto" w:fill="FFFFFF"/>
          <w:lang w:val="en-US" w:eastAsia="zh-CN"/>
        </w:rPr>
        <w:t>，已纳入军财系统管理</w:t>
      </w:r>
      <w:r>
        <w:rPr>
          <w:rFonts w:hint="default" w:ascii="方正仿宋_GBK" w:hAnsi="方正仿宋_GBK" w:eastAsia="方正仿宋_GBK" w:cs="方正仿宋_GBK"/>
          <w:kern w:val="0"/>
          <w:sz w:val="32"/>
          <w:szCs w:val="32"/>
          <w:shd w:val="clear" w:color="auto" w:fill="FFFFFF"/>
          <w:lang w:val="en-US" w:eastAsia="zh-CN" w:bidi="ar"/>
        </w:rPr>
        <w:t>。</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left="0" w:leftChars="0" w:right="0" w:rightChars="0" w:firstLine="420"/>
        <w:jc w:val="left"/>
        <w:textAlignment w:val="auto"/>
        <w:outlineLvl w:val="9"/>
        <w:rPr>
          <w:rStyle w:val="12"/>
          <w:rFonts w:hint="eastAsia" w:ascii="楷体" w:hAnsi="楷体" w:eastAsia="楷体" w:cs="楷体"/>
          <w:b w:val="0"/>
          <w:bCs/>
          <w:sz w:val="32"/>
          <w:szCs w:val="32"/>
          <w:shd w:val="clear" w:color="auto" w:fill="FFFFFF"/>
          <w:lang w:val="en-US" w:eastAsia="zh-CN"/>
        </w:rPr>
      </w:pPr>
      <w:r>
        <w:rPr>
          <w:rStyle w:val="12"/>
          <w:rFonts w:hint="eastAsia" w:ascii="楷体" w:hAnsi="楷体" w:eastAsia="楷体" w:cs="楷体"/>
          <w:b w:val="0"/>
          <w:bCs/>
          <w:sz w:val="32"/>
          <w:szCs w:val="32"/>
          <w:shd w:val="clear" w:color="auto" w:fill="FFFFFF"/>
          <w:lang w:val="en-US" w:eastAsia="zh-CN"/>
        </w:rPr>
        <w:t xml:space="preserve"> （四）政府采购支出情况说明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default"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2024年度我单位未发生政府采购事项，无相关经费支出。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Style w:val="12"/>
          <w:rFonts w:hint="eastAsia" w:ascii="黑体" w:hAnsi="黑体" w:eastAsia="黑体" w:cs="黑体"/>
          <w:sz w:val="32"/>
          <w:szCs w:val="32"/>
          <w:shd w:val="clear" w:color="auto" w:fill="FFFFFF"/>
          <w:lang w:val="en-US" w:eastAsia="zh-CN"/>
        </w:rPr>
      </w:pPr>
      <w:r>
        <w:rPr>
          <w:rStyle w:val="12"/>
          <w:rFonts w:hint="eastAsia" w:ascii="黑体" w:hAnsi="黑体" w:eastAsia="黑体" w:cs="黑体"/>
          <w:sz w:val="32"/>
          <w:szCs w:val="32"/>
          <w:shd w:val="clear" w:color="auto" w:fill="FFFFFF"/>
          <w:lang w:val="en-US" w:eastAsia="zh-CN"/>
        </w:rPr>
        <w:t>五、2024年度预算绩效管理情况说明</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left="0" w:leftChars="0" w:right="0" w:rightChars="0" w:firstLine="420"/>
        <w:jc w:val="left"/>
        <w:textAlignment w:val="auto"/>
        <w:outlineLvl w:val="9"/>
        <w:rPr>
          <w:rStyle w:val="12"/>
          <w:rFonts w:hint="eastAsia" w:ascii="楷体" w:hAnsi="楷体" w:eastAsia="楷体" w:cs="楷体"/>
          <w:b w:val="0"/>
          <w:bCs/>
          <w:sz w:val="32"/>
          <w:szCs w:val="32"/>
          <w:shd w:val="clear" w:color="auto" w:fill="FFFFFF"/>
          <w:lang w:val="en-US" w:eastAsia="zh-CN"/>
        </w:rPr>
      </w:pPr>
      <w:r>
        <w:rPr>
          <w:rStyle w:val="12"/>
          <w:rFonts w:hint="eastAsia" w:ascii="楷体" w:hAnsi="楷体" w:eastAsia="楷体" w:cs="楷体"/>
          <w:b w:val="0"/>
          <w:bCs/>
          <w:sz w:val="32"/>
          <w:szCs w:val="32"/>
          <w:shd w:val="clear" w:color="auto" w:fill="FFFFFF"/>
          <w:lang w:val="en-US" w:eastAsia="zh-CN"/>
        </w:rPr>
        <w:t xml:space="preserve"> （一）单位自评情况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根据预算绩效管理要求，我部门对部门整体和3个一级项目开展了绩效自评，涉及财政拨款项目支出资金233.27万元。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Fonts w:hint="eastAsia" w:ascii="方正仿宋_GBK" w:hAnsi="方正仿宋_GBK" w:eastAsia="方正仿宋_GBK" w:cs="方正仿宋_GBK"/>
          <w:color w:val="E54C5E" w:themeColor="accent6"/>
          <w:kern w:val="0"/>
          <w:sz w:val="32"/>
          <w:szCs w:val="32"/>
          <w:shd w:val="clear" w:color="auto" w:fill="FFFFFF"/>
          <w:lang w:val="en-US" w:eastAsia="zh-CN" w:bidi="ar"/>
        </w:rPr>
      </w:pPr>
      <w:r>
        <w:rPr>
          <w:rStyle w:val="12"/>
          <w:rFonts w:hint="eastAsia" w:ascii="仿宋_GB2312" w:hAnsi="仿宋_GB2312" w:eastAsia="仿宋_GB2312" w:cs="仿宋_GB2312"/>
          <w:b w:val="0"/>
          <w:bCs/>
          <w:sz w:val="32"/>
          <w:szCs w:val="32"/>
          <w:shd w:val="clear" w:color="auto" w:fill="FFFFFF"/>
          <w:lang w:val="en-US" w:eastAsia="zh-CN"/>
        </w:rPr>
        <w:t>部门整体绩效自评表</w:t>
      </w:r>
      <w:r>
        <w:rPr>
          <w:rFonts w:hint="eastAsia" w:ascii="方正仿宋_GBK" w:hAnsi="方正仿宋_GBK" w:eastAsia="方正仿宋_GBK" w:cs="方正仿宋_GBK"/>
          <w:kern w:val="0"/>
          <w:sz w:val="32"/>
          <w:szCs w:val="32"/>
          <w:shd w:val="clear" w:color="auto" w:fill="FFFFFF"/>
          <w:lang w:val="en-US" w:eastAsia="zh-CN" w:bidi="ar"/>
        </w:rPr>
        <w:t xml:space="preserve">  </w:t>
      </w:r>
      <w:r>
        <w:rPr>
          <w:rFonts w:hint="eastAsia" w:ascii="方正仿宋_GBK" w:hAnsi="方正仿宋_GBK" w:eastAsia="方正仿宋_GBK" w:cs="方正仿宋_GBK"/>
          <w:color w:val="E54C5E" w:themeColor="accent6"/>
          <w:kern w:val="0"/>
          <w:sz w:val="32"/>
          <w:szCs w:val="32"/>
          <w:shd w:val="clear" w:color="auto" w:fill="FFFFFF"/>
          <w:lang w:val="en-US" w:eastAsia="zh-CN" w:bidi="ar"/>
        </w:rPr>
        <w:t>没找到</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Fonts w:hint="default" w:ascii="方正仿宋_GBK" w:hAnsi="方正仿宋_GBK" w:eastAsia="方正仿宋_GBK" w:cs="方正仿宋_GBK"/>
          <w:color w:val="E54C5E" w:themeColor="accent6"/>
          <w:kern w:val="0"/>
          <w:sz w:val="32"/>
          <w:szCs w:val="32"/>
          <w:shd w:val="clear" w:color="auto" w:fill="FFFFFF"/>
          <w:lang w:val="en-US" w:eastAsia="zh-CN" w:bidi="ar"/>
        </w:rPr>
      </w:pPr>
      <w:r>
        <w:rPr>
          <w:rFonts w:hint="eastAsia" w:ascii="方正仿宋_GBK" w:hAnsi="方正仿宋_GBK" w:eastAsia="方正仿宋_GBK" w:cs="方正仿宋_GBK"/>
          <w:color w:val="E54C5E" w:themeColor="accent6"/>
          <w:kern w:val="0"/>
          <w:sz w:val="32"/>
          <w:szCs w:val="32"/>
          <w:shd w:val="clear" w:color="auto" w:fill="FFFFFF"/>
          <w:lang w:val="en-US" w:eastAsia="zh-CN" w:bidi="ar"/>
        </w:rPr>
        <w:t xml:space="preserve">路径：预算绩效-绩效评价-部门评价-部门评价查询-查看详情-导出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项目支出绩效自评表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drawing>
          <wp:anchor distT="0" distB="0" distL="114300" distR="114300" simplePos="0" relativeHeight="251659264" behindDoc="0" locked="0" layoutInCell="1" allowOverlap="1">
            <wp:simplePos x="0" y="0"/>
            <wp:positionH relativeFrom="column">
              <wp:posOffset>478790</wp:posOffset>
            </wp:positionH>
            <wp:positionV relativeFrom="paragraph">
              <wp:posOffset>215265</wp:posOffset>
            </wp:positionV>
            <wp:extent cx="8148955" cy="4562475"/>
            <wp:effectExtent l="0" t="0" r="4445" b="9525"/>
            <wp:wrapNone/>
            <wp:docPr id="3" name="图片 3" descr="兵役征集费自评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兵役征集费自评表"/>
                    <pic:cNvPicPr>
                      <a:picLocks noChangeAspect="1"/>
                    </pic:cNvPicPr>
                  </pic:nvPicPr>
                  <pic:blipFill>
                    <a:blip r:embed="rId6"/>
                    <a:stretch>
                      <a:fillRect/>
                    </a:stretch>
                  </pic:blipFill>
                  <pic:spPr>
                    <a:xfrm>
                      <a:off x="0" y="0"/>
                      <a:ext cx="8148955" cy="4562475"/>
                    </a:xfrm>
                    <a:prstGeom prst="rect">
                      <a:avLst/>
                    </a:prstGeom>
                  </pic:spPr>
                </pic:pic>
              </a:graphicData>
            </a:graphic>
          </wp:anchor>
        </w:drawing>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shd w:val="clear" w:color="auto" w:fill="FFFFFF"/>
          <w:lang w:val="en-US" w:eastAsia="zh-CN" w:bidi="ar"/>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drawing>
          <wp:inline distT="0" distB="0" distL="114300" distR="114300">
            <wp:extent cx="8118475" cy="5769610"/>
            <wp:effectExtent l="0" t="0" r="15875" b="2540"/>
            <wp:docPr id="2" name="图片 2" descr="民兵事业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民兵事业费"/>
                    <pic:cNvPicPr>
                      <a:picLocks noChangeAspect="1"/>
                    </pic:cNvPicPr>
                  </pic:nvPicPr>
                  <pic:blipFill>
                    <a:blip r:embed="rId7"/>
                    <a:stretch>
                      <a:fillRect/>
                    </a:stretch>
                  </pic:blipFill>
                  <pic:spPr>
                    <a:xfrm>
                      <a:off x="0" y="0"/>
                      <a:ext cx="8118475" cy="5769610"/>
                    </a:xfrm>
                    <a:prstGeom prst="rect">
                      <a:avLst/>
                    </a:prstGeom>
                  </pic:spPr>
                </pic:pic>
              </a:graphicData>
            </a:graphic>
          </wp:inline>
        </w:drawing>
      </w:r>
      <w:r>
        <w:rPr>
          <w:rFonts w:hint="eastAsia" w:ascii="方正仿宋_GBK" w:hAnsi="方正仿宋_GBK" w:eastAsia="方正仿宋_GBK" w:cs="方正仿宋_GBK"/>
          <w:kern w:val="0"/>
          <w:sz w:val="32"/>
          <w:szCs w:val="32"/>
          <w:shd w:val="clear" w:color="auto" w:fill="FFFFFF"/>
          <w:lang w:val="en-US" w:eastAsia="zh-CN" w:bidi="ar"/>
        </w:rPr>
        <w:drawing>
          <wp:inline distT="0" distB="0" distL="114300" distR="114300">
            <wp:extent cx="8974455" cy="4800600"/>
            <wp:effectExtent l="0" t="0" r="17145" b="0"/>
            <wp:docPr id="1" name="图片 1" descr="营房维修绩效自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营房维修绩效自评"/>
                    <pic:cNvPicPr>
                      <a:picLocks noChangeAspect="1"/>
                    </pic:cNvPicPr>
                  </pic:nvPicPr>
                  <pic:blipFill>
                    <a:blip r:embed="rId8"/>
                    <a:stretch>
                      <a:fillRect/>
                    </a:stretch>
                  </pic:blipFill>
                  <pic:spPr>
                    <a:xfrm>
                      <a:off x="0" y="0"/>
                      <a:ext cx="8974455" cy="4800600"/>
                    </a:xfrm>
                    <a:prstGeom prst="rect">
                      <a:avLst/>
                    </a:prstGeom>
                  </pic:spPr>
                </pic:pic>
              </a:graphicData>
            </a:graphic>
          </wp:inline>
        </w:drawing>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leftChars="200" w:right="0" w:rightChars="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楷体" w:hAnsi="楷体" w:eastAsia="楷体" w:cs="楷体"/>
          <w:sz w:val="32"/>
          <w:szCs w:val="32"/>
          <w:shd w:val="clear" w:color="auto" w:fill="FFFFFF"/>
          <w:lang w:val="en-US" w:eastAsia="zh-CN"/>
        </w:rPr>
        <w:t xml:space="preserve">  </w:t>
      </w:r>
      <w:r>
        <w:rPr>
          <w:rStyle w:val="12"/>
          <w:rFonts w:hint="eastAsia" w:ascii="楷体" w:hAnsi="楷体" w:eastAsia="楷体" w:cs="楷体"/>
          <w:b w:val="0"/>
          <w:bCs/>
          <w:sz w:val="32"/>
          <w:szCs w:val="32"/>
          <w:shd w:val="clear" w:color="auto" w:fill="FFFFFF"/>
          <w:lang w:val="en-US" w:eastAsia="zh-CN"/>
        </w:rPr>
        <w:t>（二）部门绩效评价情况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Style w:val="12"/>
          <w:rFonts w:hint="eastAsia" w:ascii="仿宋_GB2312" w:hAnsi="仿宋_GB2312" w:eastAsia="仿宋_GB2312" w:cs="仿宋_GB2312"/>
          <w:b w:val="0"/>
          <w:bCs/>
          <w:color w:val="FF0000"/>
          <w:sz w:val="32"/>
          <w:szCs w:val="32"/>
          <w:shd w:val="clear" w:color="auto" w:fill="FFFFFF"/>
          <w:lang w:val="en-US" w:eastAsia="zh-CN"/>
        </w:rPr>
      </w:pPr>
      <w:r>
        <w:rPr>
          <w:rStyle w:val="12"/>
          <w:rFonts w:hint="eastAsia" w:ascii="仿宋_GB2312" w:hAnsi="仿宋_GB2312" w:eastAsia="仿宋_GB2312" w:cs="仿宋_GB2312"/>
          <w:b w:val="0"/>
          <w:bCs/>
          <w:color w:val="FF0000"/>
          <w:sz w:val="32"/>
          <w:szCs w:val="32"/>
          <w:shd w:val="clear" w:color="auto" w:fill="FFFFFF"/>
          <w:lang w:val="en-US" w:eastAsia="zh-CN"/>
        </w:rPr>
        <w:t xml:space="preserve"> </w:t>
      </w:r>
      <w:r>
        <w:rPr>
          <w:rFonts w:hint="default" w:ascii="Times New Roman" w:hAnsi="Times New Roman" w:eastAsia="方正仿宋_GBK" w:cs="Times New Roman"/>
          <w:color w:val="FF0000"/>
          <w:sz w:val="32"/>
          <w:szCs w:val="32"/>
        </w:rPr>
        <w:t>我</w:t>
      </w:r>
      <w:r>
        <w:rPr>
          <w:rFonts w:hint="eastAsia" w:ascii="Times New Roman" w:hAnsi="Times New Roman" w:eastAsia="方正仿宋_GBK" w:cs="Times New Roman"/>
          <w:color w:val="FF0000"/>
          <w:sz w:val="32"/>
          <w:szCs w:val="32"/>
          <w:lang w:eastAsia="zh-CN"/>
        </w:rPr>
        <w:t>部门</w:t>
      </w:r>
      <w:r>
        <w:rPr>
          <w:rFonts w:hint="default" w:ascii="Times New Roman" w:hAnsi="Times New Roman" w:eastAsia="方正仿宋_GBK" w:cs="Times New Roman"/>
          <w:color w:val="FF0000"/>
          <w:sz w:val="32"/>
          <w:szCs w:val="32"/>
        </w:rPr>
        <w:t>未组织开展绩效评价。</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left="0" w:leftChars="0" w:right="0" w:rightChars="0" w:firstLine="420"/>
        <w:jc w:val="left"/>
        <w:textAlignment w:val="auto"/>
        <w:outlineLvl w:val="9"/>
        <w:rPr>
          <w:rStyle w:val="12"/>
          <w:rFonts w:hint="eastAsia" w:ascii="楷体" w:hAnsi="楷体" w:eastAsia="楷体" w:cs="楷体"/>
          <w:b w:val="0"/>
          <w:bCs/>
          <w:sz w:val="32"/>
          <w:szCs w:val="32"/>
          <w:shd w:val="clear" w:color="auto" w:fill="FFFFFF"/>
          <w:lang w:val="en-US" w:eastAsia="zh-CN"/>
        </w:rPr>
      </w:pPr>
      <w:r>
        <w:rPr>
          <w:rStyle w:val="12"/>
          <w:rFonts w:hint="eastAsia" w:ascii="楷体" w:hAnsi="楷体" w:eastAsia="楷体" w:cs="楷体"/>
          <w:b w:val="0"/>
          <w:bCs/>
          <w:sz w:val="32"/>
          <w:szCs w:val="32"/>
          <w:shd w:val="clear" w:color="auto" w:fill="FFFFFF"/>
          <w:lang w:val="en-US" w:eastAsia="zh-CN"/>
        </w:rPr>
        <w:t xml:space="preserve"> （三）财政绩效评价情况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color w:val="FF0000"/>
          <w:sz w:val="32"/>
          <w:szCs w:val="32"/>
          <w:shd w:val="clear" w:color="auto" w:fill="FFFFFF"/>
          <w:lang w:val="en-US" w:eastAsia="zh-CN"/>
        </w:rPr>
      </w:pPr>
      <w:r>
        <w:rPr>
          <w:rFonts w:hint="eastAsia" w:ascii="Times New Roman" w:hAnsi="Times New Roman" w:eastAsia="方正仿宋_GBK" w:cs="Times New Roman"/>
          <w:color w:val="FF0000"/>
          <w:sz w:val="32"/>
          <w:szCs w:val="32"/>
          <w:lang w:eastAsia="zh-CN"/>
        </w:rPr>
        <w:t>县</w:t>
      </w:r>
      <w:r>
        <w:rPr>
          <w:rFonts w:hint="default" w:ascii="Times New Roman" w:hAnsi="Times New Roman" w:eastAsia="方正仿宋_GBK" w:cs="Times New Roman"/>
          <w:color w:val="FF0000"/>
          <w:sz w:val="32"/>
          <w:szCs w:val="32"/>
        </w:rPr>
        <w:t>财政局未委托第三方对我</w:t>
      </w:r>
      <w:r>
        <w:rPr>
          <w:rFonts w:hint="eastAsia" w:ascii="Times New Roman" w:hAnsi="Times New Roman" w:eastAsia="方正仿宋_GBK" w:cs="Times New Roman"/>
          <w:color w:val="FF0000"/>
          <w:sz w:val="32"/>
          <w:szCs w:val="32"/>
          <w:lang w:eastAsia="zh-CN"/>
        </w:rPr>
        <w:t>部门</w:t>
      </w:r>
      <w:r>
        <w:rPr>
          <w:rFonts w:hint="default" w:ascii="Times New Roman" w:hAnsi="Times New Roman" w:eastAsia="方正仿宋_GBK" w:cs="Times New Roman"/>
          <w:color w:val="FF0000"/>
          <w:sz w:val="32"/>
          <w:szCs w:val="32"/>
        </w:rPr>
        <w:t>开展绩效评价</w:t>
      </w:r>
      <w:r>
        <w:rPr>
          <w:rFonts w:hint="eastAsia" w:ascii="Times New Roman" w:hAnsi="Times New Roman" w:eastAsia="方正仿宋_GBK" w:cs="Times New Roman"/>
          <w:color w:val="FF0000"/>
          <w:sz w:val="32"/>
          <w:szCs w:val="32"/>
          <w:lang w:eastAsia="zh-CN"/>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Style w:val="12"/>
          <w:rFonts w:hint="eastAsia"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rPr>
        <w:t xml:space="preserve"> </w:t>
      </w:r>
      <w:r>
        <w:rPr>
          <w:rStyle w:val="12"/>
          <w:rFonts w:hint="eastAsia" w:ascii="黑体" w:hAnsi="黑体" w:eastAsia="黑体" w:cs="黑体"/>
          <w:sz w:val="32"/>
          <w:szCs w:val="32"/>
          <w:shd w:val="clear" w:color="auto" w:fill="FFFFFF"/>
          <w:lang w:val="en-US" w:eastAsia="zh-CN"/>
        </w:rPr>
        <w:t xml:space="preserve">   六、专业名词解释</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（一）财政拨款收入：指本年度从本级财政部门取得的财政拨款，包括一般公共预算财政拨款和政府性基金预算财政拨款。</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（二）事业收入：指事业单位开展专业业务活动及其辅助活动取得的现金流入；事业单位收到的财政专户实际核拨的教育收费等资金在此反映。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（三）经营收入：指事业单位在专业业务活动及其辅助活动之外开展非独立核算经营活动取得的现金流入。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（五）使用非财政拨款结余：指单位在当年的“财政拨款收入”、“事业收入”、“经营收入”、“其他收入”等不足以安排当年支出的情况下，使用以前年度积累的非财政拨款结余弥补本年度收支缺口的资金。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（六）年初结转和结余：指单位上年结转本年使用的基本支出结转、项目支出结转和结余、经营结余。</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（七）结余分配：指单位按照国家有关规定，缴纳所得税、提取专用基金、转入非财政拨款结余等当年结余的分配情况。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（八）年末结转和结余：指单位结转下年的基本支出结转、项目支出结转和结余、经营结余。</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（十）项目支出：指在基本支出之外为完成特定行政任务和事业发展目标所发生的支出。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（十一）经营支出：指事业单位在专业业务活动及其辅助活动之外开展非独立核算经营活动发生的支出。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（十四）工资福利支出（支出经济分类科目类级）：反映单位开支的在职职工和编制外长期聘用人员的各类劳动报酬，以及为上述人员缴纳的各项社会保险费等。</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（十五）商品和服务支出（支出经济分类科目类级）：反映单位购买商品和服务的支出（不包括用于购置固定资产的支出、战略性和应急储备支出）。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（十六）对个人和家庭的补助（支出经济分类科目类级）：反映用于对个人和家庭的补助支出。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七、决算公开联系方式及信息反馈渠道</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本单位决算公开信息反馈和联系方式：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Style w:val="12"/>
          <w:rFonts w:hint="eastAsia" w:ascii="仿宋_GB2312" w:hAnsi="仿宋_GB2312" w:eastAsia="仿宋_GB2312" w:cs="仿宋_GB2312"/>
          <w:b w:val="0"/>
          <w:bCs/>
          <w:sz w:val="32"/>
          <w:szCs w:val="32"/>
          <w:shd w:val="clear" w:color="auto" w:fill="FFFFFF"/>
          <w:lang w:val="en-US" w:eastAsia="zh-CN"/>
        </w:rPr>
      </w:pPr>
      <w:r>
        <w:rPr>
          <w:rStyle w:val="12"/>
          <w:rFonts w:hint="eastAsia" w:ascii="仿宋_GB2312" w:hAnsi="仿宋_GB2312" w:eastAsia="仿宋_GB2312" w:cs="仿宋_GB2312"/>
          <w:b w:val="0"/>
          <w:bCs/>
          <w:sz w:val="32"/>
          <w:szCs w:val="32"/>
          <w:shd w:val="clear" w:color="auto" w:fill="FFFFFF"/>
          <w:lang w:val="en-US" w:eastAsia="zh-CN"/>
        </w:rPr>
        <w:t>谭老师  023-87722781</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垫江县财政局行财科</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476.55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476.55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476.55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476.55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垫江县财政局行财科</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476.55</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476.55</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其他党委办公厅（室）及相关机构事务支出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兵役征集</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民兵</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113.27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113.27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垫江县财政局行财科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476.55</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250.08</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226.47</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其他党委办公厅（室）及相关机构事务支出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兵役征集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民兵</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113.27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113.27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13.37</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垫江县财政局行财科</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476.55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476.55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476.55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垫江县财政局行财科</w:t>
            </w: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476.55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250.08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226.47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192.64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179.44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192.64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179.44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2013150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179.44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179.44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其他党委办公厅（室）及相关机构事务支出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兵役征集</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民兵</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113.27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13.37</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垫江县财政局行财科</w:t>
            </w: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231.09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129.34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244.35</w:t>
            </w:r>
            <w:r>
              <w:rPr>
                <w:rFonts w:ascii="Times New Roman" w:hAnsi="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垫江县财政局行财科</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垫江县财政局行财科</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垫江县财政局行财科</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0.57</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82AF3"/>
    <w:multiLevelType w:val="singleLevel"/>
    <w:tmpl w:val="68A82AF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lkNmIwODI1Y2QwNGQxZDFhYmRhZWMyNWM5ZTJhMjU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6B5CCB"/>
    <w:rsid w:val="0A86124A"/>
    <w:rsid w:val="0AB54CC0"/>
    <w:rsid w:val="0B9335CE"/>
    <w:rsid w:val="0C7927C4"/>
    <w:rsid w:val="0C9B098C"/>
    <w:rsid w:val="0D673E11"/>
    <w:rsid w:val="0DDA54E4"/>
    <w:rsid w:val="0E084ABF"/>
    <w:rsid w:val="0E3A5F83"/>
    <w:rsid w:val="0E74421A"/>
    <w:rsid w:val="0EA46639"/>
    <w:rsid w:val="0EC6180C"/>
    <w:rsid w:val="0F280D8A"/>
    <w:rsid w:val="0F497FB6"/>
    <w:rsid w:val="0F836721"/>
    <w:rsid w:val="0FA25D96"/>
    <w:rsid w:val="107B59E5"/>
    <w:rsid w:val="10EC0126"/>
    <w:rsid w:val="10F70B9A"/>
    <w:rsid w:val="111445C7"/>
    <w:rsid w:val="114278C6"/>
    <w:rsid w:val="1158083A"/>
    <w:rsid w:val="11643A4B"/>
    <w:rsid w:val="11ED0F98"/>
    <w:rsid w:val="11F03528"/>
    <w:rsid w:val="12C921C4"/>
    <w:rsid w:val="12F52ECF"/>
    <w:rsid w:val="132A2DDD"/>
    <w:rsid w:val="13871C70"/>
    <w:rsid w:val="13A71CB4"/>
    <w:rsid w:val="13AF1D43"/>
    <w:rsid w:val="13CE1647"/>
    <w:rsid w:val="13DA0C25"/>
    <w:rsid w:val="13FD55AB"/>
    <w:rsid w:val="14200702"/>
    <w:rsid w:val="14907817"/>
    <w:rsid w:val="163A6CEE"/>
    <w:rsid w:val="173708E3"/>
    <w:rsid w:val="174C19C7"/>
    <w:rsid w:val="17C374FC"/>
    <w:rsid w:val="186606B6"/>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D014B19"/>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517B1B"/>
    <w:rsid w:val="352930DB"/>
    <w:rsid w:val="35573069"/>
    <w:rsid w:val="355F6038"/>
    <w:rsid w:val="358C217E"/>
    <w:rsid w:val="35937598"/>
    <w:rsid w:val="36C9128A"/>
    <w:rsid w:val="372E3953"/>
    <w:rsid w:val="37841E99"/>
    <w:rsid w:val="37BF1123"/>
    <w:rsid w:val="383C3F15"/>
    <w:rsid w:val="38AC2AE0"/>
    <w:rsid w:val="38BE4696"/>
    <w:rsid w:val="3939115E"/>
    <w:rsid w:val="39B82A39"/>
    <w:rsid w:val="39C42CA8"/>
    <w:rsid w:val="39DC4FD6"/>
    <w:rsid w:val="39F03D7A"/>
    <w:rsid w:val="39F33306"/>
    <w:rsid w:val="3A2C1C67"/>
    <w:rsid w:val="3B1705E5"/>
    <w:rsid w:val="3B18334B"/>
    <w:rsid w:val="3B36794F"/>
    <w:rsid w:val="3C566AD6"/>
    <w:rsid w:val="3C6A5B02"/>
    <w:rsid w:val="3CB2196B"/>
    <w:rsid w:val="3CE60842"/>
    <w:rsid w:val="3D2757A1"/>
    <w:rsid w:val="3D3D4FC4"/>
    <w:rsid w:val="3DDF3AB1"/>
    <w:rsid w:val="3E1D0952"/>
    <w:rsid w:val="3E2B09F9"/>
    <w:rsid w:val="3E42660A"/>
    <w:rsid w:val="3E7555B1"/>
    <w:rsid w:val="3E787ED9"/>
    <w:rsid w:val="3EEC37F3"/>
    <w:rsid w:val="3F032E93"/>
    <w:rsid w:val="3F0527E5"/>
    <w:rsid w:val="3F4814B0"/>
    <w:rsid w:val="3F5E5D98"/>
    <w:rsid w:val="3F694D83"/>
    <w:rsid w:val="3F885DCC"/>
    <w:rsid w:val="3FCD675E"/>
    <w:rsid w:val="3FD86860"/>
    <w:rsid w:val="4004000C"/>
    <w:rsid w:val="40D54604"/>
    <w:rsid w:val="40E072EB"/>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3513FE"/>
    <w:rsid w:val="4B7951CB"/>
    <w:rsid w:val="4B7C315C"/>
    <w:rsid w:val="4CCF773C"/>
    <w:rsid w:val="4DAC4ACA"/>
    <w:rsid w:val="4DBE01D2"/>
    <w:rsid w:val="4EC92552"/>
    <w:rsid w:val="4EFC6D10"/>
    <w:rsid w:val="4F0C6BA3"/>
    <w:rsid w:val="4F10477D"/>
    <w:rsid w:val="4F186D58"/>
    <w:rsid w:val="4FEA65B7"/>
    <w:rsid w:val="5042146E"/>
    <w:rsid w:val="50F06B6E"/>
    <w:rsid w:val="519A138B"/>
    <w:rsid w:val="5212564A"/>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210E61"/>
    <w:rsid w:val="5651697D"/>
    <w:rsid w:val="56530F5D"/>
    <w:rsid w:val="56692AE5"/>
    <w:rsid w:val="567700D3"/>
    <w:rsid w:val="56FF7E9E"/>
    <w:rsid w:val="578867FC"/>
    <w:rsid w:val="5842572D"/>
    <w:rsid w:val="591A7290"/>
    <w:rsid w:val="5A3B59D6"/>
    <w:rsid w:val="5AD134D8"/>
    <w:rsid w:val="5B6503B1"/>
    <w:rsid w:val="5C0F7EC4"/>
    <w:rsid w:val="5C263CE4"/>
    <w:rsid w:val="5C5D2777"/>
    <w:rsid w:val="5CF66BF3"/>
    <w:rsid w:val="5D290C69"/>
    <w:rsid w:val="5F2D4A41"/>
    <w:rsid w:val="5F364F19"/>
    <w:rsid w:val="5FBA68BB"/>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362509"/>
    <w:rsid w:val="67924660"/>
    <w:rsid w:val="683200C2"/>
    <w:rsid w:val="68407834"/>
    <w:rsid w:val="6883293E"/>
    <w:rsid w:val="688412AD"/>
    <w:rsid w:val="68EB1B71"/>
    <w:rsid w:val="69475C96"/>
    <w:rsid w:val="6AAD2300"/>
    <w:rsid w:val="6B474EF5"/>
    <w:rsid w:val="6BBF53FD"/>
    <w:rsid w:val="6C560CAE"/>
    <w:rsid w:val="6C576495"/>
    <w:rsid w:val="6D3B39F0"/>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0B065B"/>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customStyle="1" w:styleId="18">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8624</Words>
  <Characters>11326</Characters>
  <Lines>186</Lines>
  <Paragraphs>52</Paragraphs>
  <TotalTime>5</TotalTime>
  <ScaleCrop>false</ScaleCrop>
  <LinksUpToDate>false</LinksUpToDate>
  <CharactersWithSpaces>12478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毕欢</cp:lastModifiedBy>
  <dcterms:modified xsi:type="dcterms:W3CDTF">2025-09-19T09:18:38Z</dcterms:modified>
  <dc:title>垫江县人民武装部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