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autoSpaceDE w:val="0"/>
        <w:spacing w:line="596" w:lineRule="exact"/>
        <w:ind w:firstLine="643"/>
        <w:jc w:val="both"/>
        <w:rPr>
          <w:rStyle w:val="11"/>
          <w:rFonts w:ascii="方正仿宋_GBK" w:hAnsi="方正仿宋_GBK" w:eastAsia="方正仿宋_GBK" w:cs="方正仿宋_GBK"/>
          <w:sz w:val="32"/>
          <w:szCs w:val="32"/>
          <w:shd w:val="clear" w:color="auto" w:fill="FFFF00"/>
        </w:rPr>
      </w:pPr>
    </w:p>
    <w:p>
      <w:pPr>
        <w:pStyle w:val="7"/>
        <w:spacing w:before="0" w:beforeAutospacing="0"/>
        <w:ind w:left="-480" w:leftChars="-200" w:right="-324" w:rightChars="-135"/>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垫江县科学技术协会</w:t>
      </w:r>
      <w:r>
        <w:rPr>
          <w:rFonts w:ascii="方正小标宋_GBK" w:hAnsi="方正小标宋_GBK" w:eastAsia="方正小标宋_GBK" w:cs="方正小标宋_GBK"/>
          <w:sz w:val="44"/>
          <w:szCs w:val="44"/>
          <w:shd w:val="clear" w:color="auto" w:fill="FFFFFF"/>
        </w:rPr>
        <w:t>2024年度决算公开说明</w:t>
      </w:r>
    </w:p>
    <w:p>
      <w:pPr>
        <w:pStyle w:val="7"/>
        <w:shd w:val="clear" w:color="auto" w:fill="FFFFFF"/>
        <w:ind w:firstLine="643" w:firstLineChars="200"/>
        <w:rPr>
          <w:rFonts w:hint="default" w:ascii="黑体" w:hAnsi="黑体" w:eastAsia="黑体" w:cs="黑体"/>
          <w:sz w:val="32"/>
          <w:szCs w:val="32"/>
        </w:rPr>
      </w:pPr>
      <w:r>
        <w:rPr>
          <w:rStyle w:val="11"/>
          <w:rFonts w:ascii="黑体" w:hAnsi="黑体" w:eastAsia="黑体" w:cs="黑体"/>
          <w:sz w:val="32"/>
          <w:szCs w:val="32"/>
          <w:shd w:val="clear" w:color="auto" w:fill="FFFFFF"/>
        </w:rPr>
        <w:t>一、部门基本情况</w:t>
      </w:r>
    </w:p>
    <w:p>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widowControl w:val="0"/>
        <w:autoSpaceDE w:val="0"/>
        <w:spacing w:line="594"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sz w:val="32"/>
          <w:szCs w:val="32"/>
        </w:rPr>
        <w:t>1.</w:t>
      </w:r>
      <w:r>
        <w:rPr>
          <w:rFonts w:ascii="方正仿宋_GBK" w:hAnsi="方正仿宋_GBK" w:eastAsia="方正仿宋_GBK" w:cs="方正仿宋_GBK"/>
          <w:b/>
          <w:sz w:val="32"/>
          <w:szCs w:val="32"/>
        </w:rPr>
        <w:t>增强政治性导向。</w:t>
      </w:r>
      <w:r>
        <w:rPr>
          <w:rFonts w:ascii="方正仿宋_GBK" w:hAnsi="方正仿宋_GBK" w:eastAsia="方正仿宋_GBK" w:cs="方正仿宋_GBK"/>
          <w:sz w:val="32"/>
          <w:szCs w:val="32"/>
        </w:rPr>
        <w:t>坚持党的领导，增强科协组织的政治性导向，贯彻落实党的意志和主张，坚定不移走中国特色社会主义群团发展道路，牢牢把握团结服务科技工作者的工作生命线，充分发挥党与科技工作者联系的桥梁和纽带作用。</w:t>
      </w:r>
    </w:p>
    <w:p>
      <w:pPr>
        <w:widowControl w:val="0"/>
        <w:autoSpaceDE w:val="0"/>
        <w:spacing w:line="594"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sz w:val="32"/>
          <w:szCs w:val="32"/>
        </w:rPr>
        <w:t>2.</w:t>
      </w:r>
      <w:r>
        <w:rPr>
          <w:rFonts w:ascii="方正仿宋_GBK" w:hAnsi="方正仿宋_GBK" w:eastAsia="方正仿宋_GBK" w:cs="方正仿宋_GBK"/>
          <w:b/>
          <w:sz w:val="32"/>
          <w:szCs w:val="32"/>
        </w:rPr>
        <w:t>突出基本定位。</w:t>
      </w:r>
      <w:r>
        <w:rPr>
          <w:rFonts w:ascii="方正仿宋_GBK" w:hAnsi="方正仿宋_GBK" w:eastAsia="方正仿宋_GBK" w:cs="方正仿宋_GBK"/>
          <w:sz w:val="32"/>
          <w:szCs w:val="32"/>
        </w:rPr>
        <w:t>强化四服务一加强，坚持服务科技工作者、服务创新驱动发展战略、服务公民科学素质提高、服务党委和政府科学决策，进一步加强自身建设，建成科技工作者之家、当好科技工作者之友。</w:t>
      </w:r>
    </w:p>
    <w:p>
      <w:pPr>
        <w:widowControl w:val="0"/>
        <w:autoSpaceDE w:val="0"/>
        <w:spacing w:line="594"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sz w:val="32"/>
          <w:szCs w:val="32"/>
        </w:rPr>
        <w:t>3.</w:t>
      </w:r>
      <w:r>
        <w:rPr>
          <w:rFonts w:ascii="方正仿宋_GBK" w:hAnsi="方正仿宋_GBK" w:eastAsia="方正仿宋_GBK" w:cs="方正仿宋_GBK"/>
          <w:b/>
          <w:sz w:val="32"/>
          <w:szCs w:val="32"/>
        </w:rPr>
        <w:t>拓展基层科协组织。</w:t>
      </w:r>
      <w:r>
        <w:rPr>
          <w:rFonts w:ascii="方正仿宋_GBK" w:hAnsi="方正仿宋_GBK" w:eastAsia="方正仿宋_GBK" w:cs="方正仿宋_GBK"/>
          <w:sz w:val="32"/>
          <w:szCs w:val="32"/>
        </w:rPr>
        <w:t>以科技工作者为主要工作对象，强化学会主体地位，强化专业技术协会建设，以学会、协会、园区、企业、农村等为主阵地，加强对新经济组织等领域的组织覆盖、工作覆盖。</w:t>
      </w:r>
    </w:p>
    <w:p>
      <w:pPr>
        <w:widowControl w:val="0"/>
        <w:autoSpaceDE w:val="0"/>
        <w:spacing w:line="594" w:lineRule="exact"/>
        <w:ind w:firstLine="643" w:firstLineChars="200"/>
        <w:jc w:val="both"/>
        <w:rPr>
          <w:rFonts w:hint="default" w:ascii="方正楷体_GBK" w:hAnsi="Times New Roman" w:eastAsia="方正楷体_GBK"/>
          <w:b/>
          <w:sz w:val="32"/>
          <w:szCs w:val="32"/>
        </w:rPr>
      </w:pPr>
      <w:r>
        <w:rPr>
          <w:rFonts w:ascii="方正楷体_GBK" w:hAnsi="方正楷体_GBK" w:eastAsia="方正楷体_GBK" w:cs="方正楷体_GBK"/>
          <w:b/>
          <w:sz w:val="32"/>
          <w:szCs w:val="32"/>
        </w:rPr>
        <w:t>主要职责：</w:t>
      </w:r>
    </w:p>
    <w:p>
      <w:pPr>
        <w:widowControl w:val="0"/>
        <w:autoSpaceDE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w:t>
      </w:r>
      <w:r>
        <w:rPr>
          <w:rFonts w:ascii="方正仿宋_GBK" w:hAnsi="方正仿宋_GBK" w:eastAsia="方正仿宋_GBK" w:cs="方正仿宋_GBK"/>
          <w:sz w:val="32"/>
          <w:szCs w:val="32"/>
        </w:rPr>
        <w:t>开展学术交流。组织学术报告和学术研讨活动，促进科学技术的繁荣和发展。</w:t>
      </w:r>
    </w:p>
    <w:p>
      <w:pPr>
        <w:widowControl w:val="0"/>
        <w:autoSpaceDE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w:t>
      </w:r>
      <w:r>
        <w:rPr>
          <w:rFonts w:ascii="方正仿宋_GBK" w:hAnsi="方正仿宋_GBK" w:eastAsia="方正仿宋_GBK" w:cs="方正仿宋_GBK"/>
          <w:sz w:val="32"/>
          <w:szCs w:val="32"/>
        </w:rPr>
        <w:t>开展科普工作。组织开展五大重点人群科学素质行动，实施四大科普基础工程，提高全民科学素质，推进科普示范县建设；组织全县性大型科普宣传活动；开展青少年科技教育活动，切实加强各类科普宣传教育。</w:t>
      </w:r>
    </w:p>
    <w:p>
      <w:pPr>
        <w:widowControl w:val="0"/>
        <w:autoSpaceDE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3.</w:t>
      </w:r>
      <w:r>
        <w:rPr>
          <w:rFonts w:ascii="方正仿宋_GBK" w:hAnsi="方正仿宋_GBK" w:eastAsia="方正仿宋_GBK" w:cs="方正仿宋_GBK"/>
          <w:sz w:val="32"/>
          <w:szCs w:val="32"/>
        </w:rPr>
        <w:t>对县级学会进行管理，对乡镇（街道）科协和企事业科协进行业务指导，</w:t>
      </w:r>
      <w:r>
        <w:rPr>
          <w:rFonts w:hint="default" w:ascii="Times New Roman" w:hAnsi="Times New Roman" w:eastAsia="方正仿宋_GBK"/>
          <w:sz w:val="32"/>
          <w:szCs w:val="32"/>
        </w:rPr>
        <w:t xml:space="preserve"> </w:t>
      </w:r>
      <w:r>
        <w:rPr>
          <w:rFonts w:ascii="方正仿宋_GBK" w:hAnsi="方正仿宋_GBK" w:eastAsia="方正仿宋_GBK" w:cs="方正仿宋_GBK"/>
          <w:sz w:val="32"/>
          <w:szCs w:val="32"/>
        </w:rPr>
        <w:t>负责基层科普行动计划的组织实施。</w:t>
      </w:r>
    </w:p>
    <w:p>
      <w:pPr>
        <w:widowControl w:val="0"/>
        <w:autoSpaceDE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4.</w:t>
      </w:r>
      <w:r>
        <w:rPr>
          <w:rFonts w:ascii="方正仿宋_GBK" w:hAnsi="方正仿宋_GBK" w:eastAsia="方正仿宋_GBK" w:cs="方正仿宋_GBK"/>
          <w:sz w:val="32"/>
          <w:szCs w:val="32"/>
        </w:rPr>
        <w:t>开展对科技工作者的专业技术培训和继续教育工作，培养农村和企业的科技实用人才，促进知识经济型人才的成长与提高。</w:t>
      </w:r>
    </w:p>
    <w:p>
      <w:pPr>
        <w:widowControl w:val="0"/>
        <w:autoSpaceDE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5.</w:t>
      </w:r>
      <w:r>
        <w:rPr>
          <w:rFonts w:ascii="方正仿宋_GBK" w:hAnsi="方正仿宋_GBK" w:eastAsia="方正仿宋_GBK" w:cs="方正仿宋_GBK"/>
          <w:sz w:val="32"/>
          <w:szCs w:val="32"/>
        </w:rPr>
        <w:t>组织全县科技工作者建立以企业为主体的技术创新体系，为全面提升企业的自主创新能力作贡献。推广先进技术，开展科学论证、咨询服务，提出政策建议，促进科学技术成果的转化。</w:t>
      </w:r>
    </w:p>
    <w:p>
      <w:pPr>
        <w:widowControl w:val="0"/>
        <w:autoSpaceDE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6.</w:t>
      </w:r>
      <w:r>
        <w:rPr>
          <w:rFonts w:ascii="方正仿宋_GBK" w:hAnsi="方正仿宋_GBK" w:eastAsia="方正仿宋_GBK" w:cs="方正仿宋_GBK"/>
          <w:sz w:val="32"/>
          <w:szCs w:val="32"/>
        </w:rPr>
        <w:t>组织科技工作者开展学术活动，推动学科发展；参与科学技术政策、重大科学技术项目的科学论证工作，开展软科学研究和决策咨询活动；组织科技工作者面向社会开展技术开发、技术组织、成果转化、技术咨询、技术承包等技术服务。</w:t>
      </w:r>
    </w:p>
    <w:p>
      <w:pPr>
        <w:widowControl w:val="0"/>
        <w:autoSpaceDE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7.</w:t>
      </w:r>
      <w:r>
        <w:rPr>
          <w:rFonts w:ascii="方正仿宋_GBK" w:hAnsi="方正仿宋_GBK" w:eastAsia="方正仿宋_GBK" w:cs="方正仿宋_GBK"/>
          <w:sz w:val="32"/>
          <w:szCs w:val="32"/>
        </w:rPr>
        <w:t>向科技人员宣传党和国家的方针政策和法律法规；反映科技工作者建议、意见和诉求；举荐科技人才。</w:t>
      </w:r>
    </w:p>
    <w:p>
      <w:pPr>
        <w:widowControl w:val="0"/>
        <w:autoSpaceDE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8.</w:t>
      </w:r>
      <w:r>
        <w:rPr>
          <w:rFonts w:ascii="方正仿宋_GBK" w:hAnsi="方正仿宋_GBK" w:eastAsia="方正仿宋_GBK" w:cs="方正仿宋_GBK"/>
          <w:sz w:val="32"/>
          <w:szCs w:val="32"/>
        </w:rPr>
        <w:t>举办符合科协宗旨的社会公益性事业。推动学会与企业的协作，发挥学会和企业、事业单位科协的作用。</w:t>
      </w:r>
    </w:p>
    <w:p>
      <w:pPr>
        <w:widowControl w:val="0"/>
        <w:autoSpaceDE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9.</w:t>
      </w:r>
      <w:r>
        <w:rPr>
          <w:rFonts w:ascii="方正仿宋_GBK" w:hAnsi="方正仿宋_GBK" w:eastAsia="方正仿宋_GBK" w:cs="方正仿宋_GBK"/>
          <w:sz w:val="32"/>
          <w:szCs w:val="32"/>
        </w:rPr>
        <w:t>维护科技工作者的合法权益，科技工作者的合法权益受到侵犯时，应对其</w:t>
      </w:r>
      <w:r>
        <w:rPr>
          <w:rFonts w:hint="eastAsia" w:ascii="方正仿宋_GBK" w:hAnsi="方正仿宋_GBK" w:eastAsia="方正仿宋_GBK" w:cs="方正仿宋_GBK"/>
          <w:sz w:val="32"/>
          <w:szCs w:val="32"/>
          <w:lang w:eastAsia="zh-CN"/>
        </w:rPr>
        <w:t>提供</w:t>
      </w:r>
      <w:bookmarkStart w:id="0" w:name="_GoBack"/>
      <w:bookmarkEnd w:id="0"/>
      <w:r>
        <w:rPr>
          <w:rFonts w:ascii="方正仿宋_GBK" w:hAnsi="方正仿宋_GBK" w:eastAsia="方正仿宋_GBK" w:cs="方正仿宋_GBK"/>
          <w:sz w:val="32"/>
          <w:szCs w:val="32"/>
        </w:rPr>
        <w:t>支持和帮助，向行为发生单位或有关部门提出处理建议。</w:t>
      </w:r>
    </w:p>
    <w:p>
      <w:pPr>
        <w:widowControl w:val="0"/>
        <w:autoSpaceDE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10.</w:t>
      </w:r>
      <w:r>
        <w:rPr>
          <w:rFonts w:ascii="方正仿宋_GBK" w:hAnsi="方正仿宋_GBK" w:eastAsia="方正仿宋_GBK" w:cs="方正仿宋_GBK"/>
          <w:sz w:val="32"/>
          <w:szCs w:val="32"/>
        </w:rPr>
        <w:t>完成县委、县政府交办的其他事项。</w:t>
      </w:r>
    </w:p>
    <w:p>
      <w:pPr>
        <w:pStyle w:val="18"/>
        <w:widowControl w:val="0"/>
        <w:spacing w:beforeAutospacing="0" w:afterAutospacing="0" w:line="594" w:lineRule="exact"/>
        <w:ind w:firstLine="643" w:firstLineChars="200"/>
        <w:jc w:val="both"/>
        <w:rPr>
          <w:rFonts w:hint="default" w:ascii="方正楷体_GBK" w:hAnsi="Times New Roman" w:eastAsia="方正楷体_GBK"/>
          <w:sz w:val="32"/>
          <w:szCs w:val="32"/>
        </w:rPr>
      </w:pPr>
      <w:r>
        <w:rPr>
          <w:rStyle w:val="19"/>
          <w:rFonts w:hint="eastAsia" w:ascii="方正楷体_GBK" w:hAnsi="方正楷体_GBK" w:eastAsia="方正楷体_GBK" w:cs="方正楷体_GBK"/>
          <w:sz w:val="32"/>
          <w:szCs w:val="32"/>
          <w:shd w:val="clear" w:color="auto" w:fill="FFFFFF"/>
        </w:rPr>
        <w:t>（二）机构设置</w:t>
      </w:r>
    </w:p>
    <w:p>
      <w:pPr>
        <w:widowControl w:val="0"/>
        <w:autoSpaceDE w:val="0"/>
        <w:spacing w:line="594"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rPr>
        <w:t>按照优化协同高效的原则，调整设置相关内设机构。调整后，共计设置内设机构</w:t>
      </w:r>
      <w:r>
        <w:rPr>
          <w:rFonts w:hint="default" w:ascii="Times New Roman" w:hAnsi="Times New Roman" w:eastAsia="方正仿宋_GBK"/>
          <w:sz w:val="32"/>
          <w:szCs w:val="32"/>
        </w:rPr>
        <w:t>2</w:t>
      </w:r>
      <w:r>
        <w:rPr>
          <w:rFonts w:ascii="方正仿宋_GBK" w:hAnsi="方正仿宋_GBK" w:eastAsia="方正仿宋_GBK" w:cs="方正仿宋_GBK"/>
          <w:sz w:val="32"/>
          <w:szCs w:val="32"/>
        </w:rPr>
        <w:t>个。具体设置及主要职责分别是：</w:t>
      </w:r>
    </w:p>
    <w:p>
      <w:pPr>
        <w:widowControl w:val="0"/>
        <w:autoSpaceDE w:val="0"/>
        <w:spacing w:line="594" w:lineRule="exact"/>
        <w:ind w:firstLine="643" w:firstLineChars="200"/>
        <w:jc w:val="both"/>
        <w:rPr>
          <w:rFonts w:hint="default" w:ascii="Times New Roman" w:hAnsi="Times New Roman" w:eastAsia="方正仿宋_GBK"/>
          <w:sz w:val="32"/>
          <w:szCs w:val="32"/>
        </w:rPr>
      </w:pPr>
      <w:r>
        <w:rPr>
          <w:rFonts w:ascii="方正仿宋_GBK" w:hAnsi="方正仿宋_GBK" w:eastAsia="方正仿宋_GBK" w:cs="方正仿宋_GBK"/>
          <w:b/>
          <w:sz w:val="32"/>
          <w:szCs w:val="32"/>
        </w:rPr>
        <w:t>办公室：</w:t>
      </w:r>
      <w:r>
        <w:rPr>
          <w:rFonts w:ascii="方正仿宋_GBK" w:hAnsi="方正仿宋_GBK" w:eastAsia="方正仿宋_GBK" w:cs="方正仿宋_GBK"/>
          <w:sz w:val="32"/>
          <w:szCs w:val="32"/>
        </w:rPr>
        <w:t>综合协调机关工作。负责机关干部政工人事、劳资、福利工作。负责机关政务督办、政务信息、政务接待工作。负责机关文秘、档案、信访、普法、提案（议案）、计划生育、综合治理、保卫保密、安全卫生、精神文明等工作。负责机关行政管理、财务管理和后勤服务工作。参与全县性大型科普宣传活动，推动科普网络建设。</w:t>
      </w:r>
    </w:p>
    <w:p>
      <w:pPr>
        <w:widowControl w:val="0"/>
        <w:autoSpaceDE w:val="0"/>
        <w:spacing w:line="594" w:lineRule="exact"/>
        <w:ind w:firstLine="643" w:firstLineChars="200"/>
        <w:jc w:val="both"/>
        <w:rPr>
          <w:rFonts w:hint="default" w:ascii="Times New Roman" w:hAnsi="Times New Roman" w:eastAsia="方正仿宋_GBK"/>
          <w:sz w:val="32"/>
          <w:szCs w:val="32"/>
        </w:rPr>
      </w:pPr>
      <w:r>
        <w:rPr>
          <w:rFonts w:ascii="方正仿宋_GBK" w:hAnsi="方正仿宋_GBK" w:eastAsia="方正仿宋_GBK" w:cs="方正仿宋_GBK"/>
          <w:b/>
          <w:sz w:val="32"/>
          <w:szCs w:val="32"/>
        </w:rPr>
        <w:t>普及科：</w:t>
      </w:r>
      <w:r>
        <w:rPr>
          <w:rFonts w:ascii="方正仿宋_GBK" w:hAnsi="方正仿宋_GBK" w:eastAsia="方正仿宋_GBK" w:cs="方正仿宋_GBK"/>
          <w:sz w:val="32"/>
          <w:szCs w:val="32"/>
        </w:rPr>
        <w:t>推进全民科学素质提高，实施四大科普基础工程。组织全县性大型科普宣传活动，组织实施基层科普行动计划。推动青少年科普工作，组织青少年参加科技创新大赛、科技模型大赛等大型科技活动。对各学会（协会）及乡镇（街道）科协和企事业科协进行业务指导。开展学术交流，组织学术报告和学术研讨活动。举荐科技人才，维护科技工作者的合法权益。开展对科技工作者的专业技术培训和继续教育工作，培养农村和企业科技实用人才。推广先进技术，开展科学论证、咨询服务，促进科学技术成果的转化。推动金融机构为农技协和科协会员的金融服务，举办符合科协宗旨的社会公益性事业。</w:t>
      </w:r>
    </w:p>
    <w:p>
      <w:pPr>
        <w:pStyle w:val="7"/>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二、部门决算收支情况说明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2024年度收入总计180.88万元，支出总计</w:t>
      </w:r>
      <w:r>
        <w:rPr>
          <w:rFonts w:ascii="方正仿宋_GBK" w:hAnsi="方正仿宋_GBK" w:eastAsia="方正仿宋_GBK" w:cs="方正仿宋_GBK"/>
          <w:sz w:val="32"/>
          <w:szCs w:val="32"/>
        </w:rPr>
        <w:t>180.88</w:t>
      </w:r>
      <w:r>
        <w:rPr>
          <w:rFonts w:ascii="方正仿宋_GBK" w:hAnsi="方正仿宋_GBK" w:eastAsia="方正仿宋_GBK" w:cs="方正仿宋_GBK"/>
          <w:sz w:val="32"/>
          <w:szCs w:val="32"/>
          <w:shd w:val="clear" w:color="auto" w:fill="FFFFFF"/>
        </w:rPr>
        <w:t>万元。收、支与2023年度相比，减少16.69万元，下降8.45%，主要原因是减少科普项目经费。</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2024年度收入合计178.79万元，与2023年度相比，减少17.92万元，下降9.11%，主要原因是减少科普项目经费。其中：财政拨款收入</w:t>
      </w:r>
      <w:r>
        <w:rPr>
          <w:rFonts w:ascii="方正仿宋_GBK" w:hAnsi="方正仿宋_GBK" w:eastAsia="方正仿宋_GBK" w:cs="方正仿宋_GBK"/>
          <w:sz w:val="32"/>
          <w:szCs w:val="32"/>
        </w:rPr>
        <w:t>178.79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2.09</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180.88</w:t>
      </w:r>
      <w:r>
        <w:rPr>
          <w:rFonts w:ascii="方正仿宋_GBK" w:hAnsi="方正仿宋_GBK" w:eastAsia="方正仿宋_GBK" w:cs="方正仿宋_GBK"/>
          <w:sz w:val="32"/>
          <w:szCs w:val="32"/>
          <w:shd w:val="clear" w:color="auto" w:fill="FFFFFF"/>
        </w:rPr>
        <w:t>万元，与2023年度相比，减少14.90万元，下降7.61%，主要原因是减少科普项目经费。其中：基本支出</w:t>
      </w:r>
      <w:r>
        <w:rPr>
          <w:rFonts w:ascii="方正仿宋_GBK" w:hAnsi="方正仿宋_GBK" w:eastAsia="方正仿宋_GBK" w:cs="方正仿宋_GBK"/>
          <w:sz w:val="32"/>
          <w:szCs w:val="32"/>
        </w:rPr>
        <w:t>109.42</w:t>
      </w:r>
      <w:r>
        <w:rPr>
          <w:rFonts w:ascii="方正仿宋_GBK" w:hAnsi="方正仿宋_GBK" w:eastAsia="方正仿宋_GBK" w:cs="方正仿宋_GBK"/>
          <w:sz w:val="32"/>
          <w:szCs w:val="32"/>
          <w:shd w:val="clear" w:color="auto" w:fill="FFFFFF"/>
        </w:rPr>
        <w:t>万元，占60.49%；项目支出</w:t>
      </w:r>
      <w:r>
        <w:rPr>
          <w:rFonts w:ascii="方正仿宋_GBK" w:hAnsi="方正仿宋_GBK" w:eastAsia="方正仿宋_GBK" w:cs="方正仿宋_GBK"/>
          <w:sz w:val="32"/>
          <w:szCs w:val="32"/>
        </w:rPr>
        <w:t>71.47</w:t>
      </w:r>
      <w:r>
        <w:rPr>
          <w:rFonts w:ascii="方正仿宋_GBK" w:hAnsi="方正仿宋_GBK" w:eastAsia="方正仿宋_GBK" w:cs="方正仿宋_GBK"/>
          <w:sz w:val="32"/>
          <w:szCs w:val="32"/>
          <w:shd w:val="clear" w:color="auto" w:fill="FFFFFF"/>
        </w:rPr>
        <w:t>万元，占39.51%；经营支出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万元，与2023年度相比，减少1.79万元，下降100.00%，主要原因是减少项目经费结转。</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2024年度财政拨款收、支总计180.88万元。与2023年相比，财政拨款收、支总计各减少16.69万元，下降8.45%。主要原因是减少科普项目经费。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178.79</w:t>
      </w:r>
      <w:r>
        <w:rPr>
          <w:rFonts w:ascii="方正仿宋_GBK" w:hAnsi="方正仿宋_GBK" w:eastAsia="方正仿宋_GBK" w:cs="方正仿宋_GBK"/>
          <w:sz w:val="32"/>
          <w:szCs w:val="32"/>
          <w:shd w:val="clear" w:color="auto" w:fill="FFFFFF"/>
        </w:rPr>
        <w:t>万元，与2023年度相比，减少17.92万元，下降9.11%。主要原因是减少科普项目经费。较年初预算数减少18.49万元，下降9.37%。主要原因是减少科普项目经费。此外，年初财政拨款结转和结余</w:t>
      </w:r>
      <w:r>
        <w:rPr>
          <w:rFonts w:ascii="方正仿宋_GBK" w:hAnsi="方正仿宋_GBK" w:eastAsia="方正仿宋_GBK" w:cs="方正仿宋_GBK"/>
          <w:sz w:val="32"/>
          <w:szCs w:val="32"/>
        </w:rPr>
        <w:t>2.09</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180.88</w:t>
      </w:r>
      <w:r>
        <w:rPr>
          <w:rFonts w:ascii="方正仿宋_GBK" w:hAnsi="方正仿宋_GBK" w:eastAsia="方正仿宋_GBK" w:cs="方正仿宋_GBK"/>
          <w:sz w:val="32"/>
          <w:szCs w:val="32"/>
          <w:shd w:val="clear" w:color="auto" w:fill="FFFFFF"/>
        </w:rPr>
        <w:t>万元，与2023年度相比，减少14.90万元，下降7.61%。主要原因是减少科普项目经费。较年初预算数减少16.40万元，下降8.31%。主要原因是减少科普项目经费。</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万元，与2023年度相比，减少1.79万元，下降100.00%，主要原因是减少项目经费结转。</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0.02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 xml:space="preserve">%，较年初预算数减少0.24万元，下降92.31%，主要原因是减少职工培训支出。 </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（2）科学技术支出</w:t>
      </w:r>
      <w:r>
        <w:rPr>
          <w:rFonts w:ascii="方正仿宋_GBK" w:hAnsi="方正仿宋_GBK" w:eastAsia="方正仿宋_GBK" w:cs="方正仿宋_GBK"/>
          <w:sz w:val="32"/>
          <w:szCs w:val="32"/>
        </w:rPr>
        <w:t>151.40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83.70</w:t>
      </w:r>
      <w:r>
        <w:rPr>
          <w:rFonts w:ascii="方正仿宋_GBK" w:hAnsi="方正仿宋_GBK" w:eastAsia="方正仿宋_GBK" w:cs="方正仿宋_GBK"/>
          <w:sz w:val="32"/>
          <w:szCs w:val="32"/>
          <w:shd w:val="clear" w:color="auto" w:fill="FFFFFF"/>
        </w:rPr>
        <w:t>%，较年初预算数减少29.28万元，下降16.21%，主要原因是减少科普项目经费。</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18.63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10.30</w:t>
      </w:r>
      <w:r>
        <w:rPr>
          <w:rFonts w:ascii="方正仿宋_GBK" w:hAnsi="方正仿宋_GBK" w:eastAsia="方正仿宋_GBK" w:cs="方正仿宋_GBK"/>
          <w:sz w:val="32"/>
          <w:szCs w:val="32"/>
          <w:shd w:val="clear" w:color="auto" w:fill="FFFFFF"/>
        </w:rPr>
        <w:t>%，较年初预算数增加10.11万元，增长118.66%，主要原因是增加社会保障与就业支出。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3.53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1.95</w:t>
      </w:r>
      <w:r>
        <w:rPr>
          <w:rFonts w:ascii="方正仿宋_GBK" w:hAnsi="方正仿宋_GBK" w:eastAsia="方正仿宋_GBK" w:cs="方正仿宋_GBK"/>
          <w:sz w:val="32"/>
          <w:szCs w:val="32"/>
          <w:shd w:val="clear" w:color="auto" w:fill="FFFFFF"/>
        </w:rPr>
        <w:t>%，较年初预算数减少0.02万元，下降0.56%，主要原因是减少卫生健康支出。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住房保障支出7.30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4.04</w:t>
      </w:r>
      <w:r>
        <w:rPr>
          <w:rFonts w:ascii="方正仿宋_GBK" w:hAnsi="方正仿宋_GBK" w:eastAsia="方正仿宋_GBK" w:cs="方正仿宋_GBK"/>
          <w:sz w:val="32"/>
          <w:szCs w:val="32"/>
          <w:shd w:val="clear" w:color="auto" w:fill="FFFFFF"/>
        </w:rPr>
        <w:t>%，较年初预算数增加3.04万元，增长71.36%，主要原因是增加住房保障支出。</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3"/>
        <w:widowControl w:val="0"/>
        <w:spacing w:before="0" w:beforeAutospacing="0" w:after="0" w:afterAutospacing="0" w:line="594"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109.42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97.00</w:t>
      </w:r>
      <w:r>
        <w:rPr>
          <w:rFonts w:ascii="方正仿宋_GBK" w:hAnsi="方正仿宋_GBK" w:eastAsia="方正仿宋_GBK" w:cs="方正仿宋_GBK"/>
          <w:sz w:val="32"/>
          <w:szCs w:val="32"/>
          <w:shd w:val="clear" w:color="auto" w:fill="FFFFFF"/>
        </w:rPr>
        <w:t>万元，与2023年度相比，增加12.81万元，增长15.22%，主要原因是</w:t>
      </w:r>
      <w:r>
        <w:rPr>
          <w:rFonts w:hint="eastAsia" w:ascii="方正仿宋_GBK" w:hAnsi="方正仿宋_GBK" w:eastAsia="方正仿宋_GBK" w:cs="方正仿宋_GBK"/>
          <w:sz w:val="32"/>
          <w:szCs w:val="32"/>
          <w:shd w:val="clear" w:color="auto" w:fill="FFFFFF"/>
        </w:rPr>
        <w:t>增加</w:t>
      </w:r>
      <w:r>
        <w:rPr>
          <w:rFonts w:ascii="方正仿宋_GBK" w:hAnsi="方正仿宋_GBK" w:eastAsia="方正仿宋_GBK" w:cs="方正仿宋_GBK"/>
          <w:sz w:val="32"/>
          <w:szCs w:val="32"/>
          <w:shd w:val="clear" w:color="auto" w:fill="FFFFFF"/>
        </w:rPr>
        <w:t>社会保障与就业</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住房保障支出</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基本工资、津贴补贴、绩效工资、养老保险、医疗保险、其他社会保障缴费、职业年金、住房公积金、医疗费。</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12.41</w:t>
      </w:r>
      <w:r>
        <w:rPr>
          <w:rFonts w:ascii="方正仿宋_GBK" w:hAnsi="方正仿宋_GBK" w:eastAsia="方正仿宋_GBK" w:cs="方正仿宋_GBK"/>
          <w:sz w:val="32"/>
          <w:szCs w:val="32"/>
          <w:shd w:val="clear" w:color="auto" w:fill="FFFFFF"/>
        </w:rPr>
        <w:t>万元，与2023年度相比，增加4.87万元，增长64.59%，主要原因是</w:t>
      </w:r>
      <w:r>
        <w:rPr>
          <w:rFonts w:hint="eastAsia" w:ascii="方正仿宋_GBK" w:hAnsi="方正仿宋_GBK" w:eastAsia="方正仿宋_GBK" w:cs="方正仿宋_GBK"/>
          <w:sz w:val="32"/>
          <w:szCs w:val="32"/>
          <w:shd w:val="clear" w:color="auto" w:fill="FFFFFF"/>
        </w:rPr>
        <w:t>增加工会经费支出。</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办公费、邮电费、印刷费、差旅费、会议费、培训费、公务接待费、工会经费、劳务费、其他交通费、其他商品和服务支出等。</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default" w:ascii="方正仿宋_GBK" w:hAnsi="方正仿宋_GBK" w:eastAsia="方正仿宋_GBK" w:cs="方正仿宋_GBK"/>
          <w:sz w:val="32"/>
          <w:szCs w:val="32"/>
          <w:shd w:val="clear" w:color="auto" w:fill="FFFFFF"/>
        </w:rPr>
        <w:t>主要原因是本年度无政府性基金预算财政拨款收入。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方正仿宋_GBK" w:hAnsi="方正仿宋_GBK" w:eastAsia="方正仿宋_GBK" w:cs="方正仿宋_GBK"/>
          <w:sz w:val="32"/>
          <w:szCs w:val="32"/>
          <w:shd w:val="clear" w:color="auto" w:fill="FFFFFF"/>
        </w:rPr>
        <w:t>本年度无政府性基金预算财政拨款支出。本</w:t>
      </w:r>
      <w:r>
        <w:rPr>
          <w:rFonts w:ascii="方正仿宋_GBK" w:hAnsi="方正仿宋_GBK" w:eastAsia="方正仿宋_GBK" w:cs="方正仿宋_GBK"/>
          <w:sz w:val="32"/>
          <w:szCs w:val="32"/>
          <w:shd w:val="clear" w:color="auto" w:fill="FFFFFF"/>
        </w:rPr>
        <w:t>部门</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年度无政府性基金预算财政拨款收支。</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万元，本部门2024年度无国有资本经营预算财政拨款支出。</w:t>
      </w:r>
    </w:p>
    <w:p>
      <w:pPr>
        <w:pStyle w:val="7"/>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三、财政拨款</w:t>
      </w:r>
      <w:r>
        <w:rPr>
          <w:rStyle w:val="11"/>
          <w:rFonts w:hint="eastAsia" w:ascii="黑体" w:hAnsi="黑体" w:eastAsia="黑体" w:cs="黑体"/>
          <w:sz w:val="32"/>
          <w:szCs w:val="32"/>
          <w:shd w:val="clear" w:color="auto" w:fill="FFFFFF"/>
          <w:lang w:eastAsia="zh-CN"/>
        </w:rPr>
        <w:t>三公</w:t>
      </w:r>
      <w:r>
        <w:rPr>
          <w:rStyle w:val="11"/>
          <w:rFonts w:ascii="黑体" w:hAnsi="黑体" w:eastAsia="黑体" w:cs="黑体"/>
          <w:sz w:val="32"/>
          <w:szCs w:val="32"/>
          <w:shd w:val="clear" w:color="auto" w:fill="FFFFFF"/>
        </w:rPr>
        <w:t>经费情况说明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经费支出共计</w:t>
      </w:r>
      <w:r>
        <w:rPr>
          <w:rFonts w:ascii="方正仿宋_GBK" w:hAnsi="方正仿宋_GBK" w:eastAsia="方正仿宋_GBK" w:cs="方正仿宋_GBK"/>
          <w:sz w:val="32"/>
          <w:szCs w:val="32"/>
        </w:rPr>
        <w:t>0.23</w:t>
      </w:r>
      <w:r>
        <w:rPr>
          <w:rFonts w:ascii="方正仿宋_GBK" w:hAnsi="方正仿宋_GBK" w:eastAsia="方正仿宋_GBK" w:cs="方正仿宋_GBK"/>
          <w:sz w:val="32"/>
          <w:szCs w:val="32"/>
          <w:shd w:val="clear" w:color="auto" w:fill="FFFFFF"/>
        </w:rPr>
        <w:t>万元，较年初预算数减少0.57万元，下降71.25%，主要原因是严格公务接待支出管理。较上年支出数减少0.37万元，下降61.67%，主要原因是减少公务接待支出。</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经费分项支出情况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费用支出较年初预算数无增减，主要原因是年初预算数未安排因公出国（境）费用，也未发生因公出国（境）费用。较上年支出数无增减，主要原因是上年和本年均未发生因公出国（境）费用。</w:t>
      </w:r>
    </w:p>
    <w:p>
      <w:pPr>
        <w:pStyle w:val="7"/>
        <w:snapToGrid w:val="0"/>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费用支出较年初预算数无增减，主要原因是年初预算数未安排且本年未发生公务车购置费用。较上年支出数无增减，主要原因是上年和本年均未发生公务车购置费用。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公务车运行维护费0.00万元。费用支出较年初预算数无增减，主要原因是年初预算数未安排且本年未发生公务车运行维护费用。较上年支出数无增减，主要原因是上年和本年均未发生公务车运行维护费用。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0.23</w:t>
      </w:r>
      <w:r>
        <w:rPr>
          <w:rFonts w:ascii="方正仿宋_GBK" w:hAnsi="方正仿宋_GBK" w:eastAsia="方正仿宋_GBK" w:cs="方正仿宋_GBK"/>
          <w:sz w:val="32"/>
          <w:szCs w:val="32"/>
          <w:shd w:val="clear" w:color="auto" w:fill="FFFFFF"/>
        </w:rPr>
        <w:t>万元，主要用于接待市科协领导莅临垫江调研、市科协专家来垫开展弘扬科学家精神百家宣讲活动和第七届公民科学素质大赛垫江复赛接待。费用支出较年初预算数减少0.57万元，下降71.25%，主要原因是进一步强化公务接待经费管理，严格遵守公务接待有关规定。较上年支出数减少0.37万元，下降61.67%，主要原因是进一步强化公务接待经费管理，严格遵守公务接待有关规定。</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115.44</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7"/>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0.07</w:t>
      </w:r>
      <w:r>
        <w:rPr>
          <w:rFonts w:ascii="方正仿宋_GBK" w:hAnsi="方正仿宋_GBK" w:eastAsia="方正仿宋_GBK" w:cs="方正仿宋_GBK"/>
          <w:sz w:val="32"/>
          <w:szCs w:val="32"/>
          <w:shd w:val="clear" w:color="auto" w:fill="FFFFFF"/>
        </w:rPr>
        <w:t>万元，与2023年度相比，减少0.06万元，下降46.15%，主要原因是严格会议支出管理。本年度培训费支出</w:t>
      </w:r>
      <w:r>
        <w:rPr>
          <w:rFonts w:ascii="方正仿宋_GBK" w:hAnsi="方正仿宋_GBK" w:eastAsia="方正仿宋_GBK" w:cs="方正仿宋_GBK"/>
          <w:sz w:val="32"/>
          <w:szCs w:val="32"/>
        </w:rPr>
        <w:t>0.02</w:t>
      </w:r>
      <w:r>
        <w:rPr>
          <w:rFonts w:ascii="方正仿宋_GBK" w:hAnsi="方正仿宋_GBK" w:eastAsia="方正仿宋_GBK" w:cs="方正仿宋_GBK"/>
          <w:sz w:val="32"/>
          <w:szCs w:val="32"/>
          <w:shd w:val="clear" w:color="auto" w:fill="FFFFFF"/>
        </w:rPr>
        <w:t>万元，与2023年度相比，无增减，主要原因是职工培训支出持平。</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万元，较上年支出数无增减，按照部门决算列报口径，我部门不在机关运行经费统计范围之内。</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600" w:lineRule="exact"/>
        <w:ind w:firstLine="800" w:firstLineChars="25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2024年度本部门政府采购支出总额</w:t>
      </w:r>
      <w:r>
        <w:rPr>
          <w:rFonts w:ascii="方正仿宋_GBK" w:hAnsi="方正仿宋_GBK" w:eastAsia="方正仿宋_GBK" w:cs="方正仿宋_GBK"/>
          <w:sz w:val="32"/>
          <w:szCs w:val="32"/>
        </w:rPr>
        <w:t>0.49</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0.49</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0.49万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0.49</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%。主要用于采购一台国产办公电脑。</w:t>
      </w:r>
    </w:p>
    <w:p>
      <w:pPr>
        <w:pStyle w:val="7"/>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五、2024年度预算绩效管理情况说明</w:t>
      </w:r>
    </w:p>
    <w:p>
      <w:pPr>
        <w:pStyle w:val="7"/>
        <w:shd w:val="clear" w:color="auto" w:fill="FFFFFF"/>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（一）部门自评情况</w:t>
      </w:r>
    </w:p>
    <w:p>
      <w:pPr>
        <w:pStyle w:val="12"/>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w:t>
      </w:r>
      <w:r>
        <w:rPr>
          <w:rFonts w:hint="eastAsia" w:ascii="方正仿宋_GBK" w:hAnsi="方正仿宋_GBK" w:eastAsia="方正仿宋_GBK" w:cs="方正仿宋_GBK"/>
          <w:sz w:val="32"/>
          <w:szCs w:val="32"/>
          <w:shd w:val="clear" w:color="auto" w:fill="FFFFFF"/>
          <w:lang w:bidi="ar"/>
        </w:rPr>
        <w:t>部门整体和</w:t>
      </w:r>
      <w:r>
        <w:rPr>
          <w:rFonts w:hint="eastAsia" w:ascii="方正仿宋_GBK" w:hAnsi="方正仿宋_GBK" w:eastAsia="方正仿宋_GBK" w:cs="方正仿宋_GBK"/>
          <w:sz w:val="32"/>
          <w:szCs w:val="32"/>
          <w:shd w:val="clear" w:color="auto" w:fill="FFFFFF"/>
        </w:rPr>
        <w:t>3个二级项目开展了绩效自评，涉及财政拨款项目支出资金69.38万元。</w:t>
      </w:r>
    </w:p>
    <w:tbl>
      <w:tblPr>
        <w:tblStyle w:val="8"/>
        <w:tblW w:w="8590" w:type="dxa"/>
        <w:tblInd w:w="0" w:type="dxa"/>
        <w:tblLayout w:type="fixed"/>
        <w:tblCellMar>
          <w:top w:w="0" w:type="dxa"/>
          <w:left w:w="0" w:type="dxa"/>
          <w:bottom w:w="0" w:type="dxa"/>
          <w:right w:w="0" w:type="dxa"/>
        </w:tblCellMar>
      </w:tblPr>
      <w:tblGrid>
        <w:gridCol w:w="1839"/>
        <w:gridCol w:w="502"/>
        <w:gridCol w:w="502"/>
        <w:gridCol w:w="752"/>
        <w:gridCol w:w="746"/>
        <w:gridCol w:w="1005"/>
        <w:gridCol w:w="555"/>
        <w:gridCol w:w="754"/>
        <w:gridCol w:w="550"/>
        <w:gridCol w:w="513"/>
        <w:gridCol w:w="872"/>
      </w:tblGrid>
      <w:tr>
        <w:tblPrEx>
          <w:tblCellMar>
            <w:top w:w="0" w:type="dxa"/>
            <w:left w:w="0" w:type="dxa"/>
            <w:bottom w:w="0" w:type="dxa"/>
            <w:right w:w="0" w:type="dxa"/>
          </w:tblCellMar>
        </w:tblPrEx>
        <w:trPr>
          <w:trHeight w:val="800" w:hRule="atLeast"/>
        </w:trPr>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18"/>
                <w:szCs w:val="18"/>
              </w:rPr>
            </w:pPr>
            <w:r>
              <w:rPr>
                <w:rFonts w:ascii="微软雅黑" w:hAnsi="微软雅黑" w:eastAsia="微软雅黑" w:cs="微软雅黑"/>
                <w:b/>
                <w:color w:val="000000"/>
                <w:sz w:val="18"/>
                <w:szCs w:val="18"/>
                <w:lang w:bidi="ar"/>
              </w:rPr>
              <w:t>2024年度部门整体绩效自评表</w:t>
            </w:r>
          </w:p>
        </w:tc>
      </w:tr>
      <w:tr>
        <w:tblPrEx>
          <w:tblCellMar>
            <w:top w:w="0" w:type="dxa"/>
            <w:left w:w="0" w:type="dxa"/>
            <w:bottom w:w="0" w:type="dxa"/>
            <w:right w:w="0" w:type="dxa"/>
          </w:tblCellMar>
        </w:tblPrEx>
        <w:trPr>
          <w:trHeight w:val="500" w:hRule="atLeast"/>
        </w:trPr>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1" w:firstLineChars="100"/>
              <w:jc w:val="right"/>
              <w:textAlignment w:val="center"/>
              <w:rPr>
                <w:rFonts w:hint="default" w:cs="宋体"/>
                <w:b/>
                <w:color w:val="DA3232"/>
                <w:sz w:val="18"/>
                <w:szCs w:val="18"/>
              </w:rPr>
            </w:pPr>
            <w:r>
              <w:rPr>
                <w:rFonts w:cs="宋体"/>
                <w:b/>
                <w:color w:val="DA3232"/>
                <w:sz w:val="18"/>
                <w:szCs w:val="18"/>
                <w:lang w:bidi="ar"/>
              </w:rPr>
              <w:t>状态：绩效审核已审</w:t>
            </w:r>
          </w:p>
        </w:tc>
      </w:tr>
      <w:tr>
        <w:tblPrEx>
          <w:tblCellMar>
            <w:top w:w="0" w:type="dxa"/>
            <w:left w:w="0" w:type="dxa"/>
            <w:bottom w:w="0" w:type="dxa"/>
            <w:right w:w="0" w:type="dxa"/>
          </w:tblCellMar>
        </w:tblPrEx>
        <w:trPr>
          <w:trHeight w:val="500" w:hRule="atLeast"/>
        </w:trPr>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项目名称：</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垫江县科学技术协会整体自评</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项目编码：</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50023100024P000103</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自评总分：</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100.00</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项目主管部门：</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151-垫江县科学技术协会</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财政归口处室：</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004-行财科</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部门联系人：</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李明建</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联系电话：</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74527956</w:t>
            </w:r>
          </w:p>
        </w:tc>
      </w:tr>
      <w:tr>
        <w:tblPrEx>
          <w:tblCellMar>
            <w:top w:w="0" w:type="dxa"/>
            <w:left w:w="0" w:type="dxa"/>
            <w:bottom w:w="0" w:type="dxa"/>
            <w:right w:w="0" w:type="dxa"/>
          </w:tblCellMar>
        </w:tblPrEx>
        <w:trPr>
          <w:trHeight w:val="600" w:hRule="atLeast"/>
        </w:trPr>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lang w:bidi="ar"/>
              </w:rPr>
              <w:t>资金情况</w:t>
            </w:r>
          </w:p>
        </w:tc>
      </w:tr>
      <w:tr>
        <w:tblPrEx>
          <w:tblCellMar>
            <w:top w:w="0" w:type="dxa"/>
            <w:left w:w="0" w:type="dxa"/>
            <w:bottom w:w="0" w:type="dxa"/>
            <w:right w:w="0" w:type="dxa"/>
          </w:tblCellMar>
        </w:tblPrEx>
        <w:trPr>
          <w:trHeight w:val="500" w:hRule="atLeast"/>
        </w:trPr>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18"/>
                <w:szCs w:val="18"/>
              </w:rPr>
            </w:pP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年初预算数</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全年（调整）预算数</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全年执行数</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执行率</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18"/>
                <w:szCs w:val="18"/>
              </w:rPr>
            </w:pPr>
            <w:r>
              <w:rPr>
                <w:rFonts w:cs="宋体"/>
                <w:b/>
                <w:color w:val="000000"/>
                <w:sz w:val="18"/>
                <w:szCs w:val="18"/>
                <w:lang w:bidi="ar"/>
              </w:rPr>
              <w:t>执行率权重</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执行率得分</w:t>
            </w:r>
          </w:p>
        </w:tc>
      </w:tr>
      <w:tr>
        <w:tblPrEx>
          <w:tblCellMar>
            <w:top w:w="0" w:type="dxa"/>
            <w:left w:w="0" w:type="dxa"/>
            <w:bottom w:w="0" w:type="dxa"/>
            <w:right w:w="0" w:type="dxa"/>
          </w:tblCellMar>
        </w:tblPrEx>
        <w:trPr>
          <w:trHeight w:val="500" w:hRule="atLeast"/>
        </w:trPr>
        <w:tc>
          <w:tcPr>
            <w:tcW w:w="183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年度总金额</w:t>
            </w:r>
          </w:p>
        </w:tc>
        <w:tc>
          <w:tcPr>
            <w:tcW w:w="50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50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5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1,972,776.45 </w:t>
            </w:r>
          </w:p>
        </w:tc>
        <w:tc>
          <w:tcPr>
            <w:tcW w:w="7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10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1,787,931.70 </w:t>
            </w:r>
          </w:p>
        </w:tc>
        <w:tc>
          <w:tcPr>
            <w:tcW w:w="55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1,787,931.70 </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83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其中：财政拨款</w:t>
            </w:r>
          </w:p>
        </w:tc>
        <w:tc>
          <w:tcPr>
            <w:tcW w:w="50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50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5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1,972,776.45 </w:t>
            </w:r>
          </w:p>
        </w:tc>
        <w:tc>
          <w:tcPr>
            <w:tcW w:w="7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10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1,787,931.70 </w:t>
            </w:r>
          </w:p>
        </w:tc>
        <w:tc>
          <w:tcPr>
            <w:tcW w:w="55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1,787,931.70 </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10.00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 xml:space="preserve">10.00 </w:t>
            </w:r>
          </w:p>
        </w:tc>
      </w:tr>
      <w:tr>
        <w:tblPrEx>
          <w:tblCellMar>
            <w:top w:w="0" w:type="dxa"/>
            <w:left w:w="0" w:type="dxa"/>
            <w:bottom w:w="0" w:type="dxa"/>
            <w:right w:w="0" w:type="dxa"/>
          </w:tblCellMar>
        </w:tblPrEx>
        <w:trPr>
          <w:trHeight w:val="500" w:hRule="atLeast"/>
        </w:trPr>
        <w:tc>
          <w:tcPr>
            <w:tcW w:w="183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一般公共预算</w:t>
            </w:r>
          </w:p>
        </w:tc>
        <w:tc>
          <w:tcPr>
            <w:tcW w:w="50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50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5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1,972,776.45 </w:t>
            </w:r>
          </w:p>
        </w:tc>
        <w:tc>
          <w:tcPr>
            <w:tcW w:w="7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10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1,787,931.70 </w:t>
            </w:r>
          </w:p>
        </w:tc>
        <w:tc>
          <w:tcPr>
            <w:tcW w:w="55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1,787,931.70 </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18"/>
                <w:szCs w:val="18"/>
              </w:rPr>
            </w:pPr>
          </w:p>
        </w:tc>
      </w:tr>
      <w:tr>
        <w:tblPrEx>
          <w:tblCellMar>
            <w:top w:w="0" w:type="dxa"/>
            <w:left w:w="0" w:type="dxa"/>
            <w:bottom w:w="0" w:type="dxa"/>
            <w:right w:w="0" w:type="dxa"/>
          </w:tblCellMar>
        </w:tblPrEx>
        <w:trPr>
          <w:trHeight w:val="600" w:hRule="atLeast"/>
        </w:trPr>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lang w:bidi="ar"/>
              </w:rPr>
              <w:t>绩效目标</w:t>
            </w:r>
          </w:p>
        </w:tc>
      </w:tr>
      <w:tr>
        <w:tblPrEx>
          <w:tblCellMar>
            <w:top w:w="0" w:type="dxa"/>
            <w:left w:w="0" w:type="dxa"/>
            <w:bottom w:w="0" w:type="dxa"/>
            <w:right w:w="0" w:type="dxa"/>
          </w:tblCellMar>
        </w:tblPrEx>
        <w:trPr>
          <w:trHeight w:val="500" w:hRule="atLeast"/>
        </w:trPr>
        <w:tc>
          <w:tcPr>
            <w:tcW w:w="359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年初绩效目标</w:t>
            </w:r>
          </w:p>
        </w:tc>
        <w:tc>
          <w:tcPr>
            <w:tcW w:w="30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全年（调整）绩效目标</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全年目标实际完成情况</w:t>
            </w:r>
          </w:p>
        </w:tc>
      </w:tr>
      <w:tr>
        <w:tblPrEx>
          <w:tblCellMar>
            <w:top w:w="0" w:type="dxa"/>
            <w:left w:w="0" w:type="dxa"/>
            <w:bottom w:w="0" w:type="dxa"/>
            <w:right w:w="0" w:type="dxa"/>
          </w:tblCellMar>
        </w:tblPrEx>
        <w:trPr>
          <w:trHeight w:val="1600" w:hRule="atLeast"/>
        </w:trPr>
        <w:tc>
          <w:tcPr>
            <w:tcW w:w="35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18"/>
                <w:szCs w:val="18"/>
              </w:rPr>
            </w:pPr>
            <w:r>
              <w:rPr>
                <w:rFonts w:cs="宋体"/>
                <w:color w:val="000000"/>
                <w:sz w:val="18"/>
                <w:szCs w:val="18"/>
                <w:lang w:bidi="ar"/>
              </w:rPr>
              <w:t>通过年度预算支出，完成如下工作目标：1.开展学术交流；2.开展科普工作；3.对县级学会进行管理，对乡镇（街道）科协和企事业科协进行业务指导, 负责基层科普行动计划的组织实施；4.开展对科技工作者的专业技术培训和继续教育，培养农村和企业的科技实用人才，促进知识经济型人才的成长与提高；5.组织全县科技工作者建立以企业为主体的技术创新体系，为全面提升企业的自主创新能力作贡献。推广先进技术，开展科学论证、咨询服务，提出政策建议，促进科学技术成果的转化；6.组织科技工作者开展学术活动，推动学科发展；7.向科技人员宣传党和国家的方针政策和法律法规；反映科技工作者建议、意见和诉求；举荐科技人才；8.举办符合科协宗旨的社会公益性事业。推动学会与企业的协作，发挥学会和企业、事业单位科协的作用；9. 维护科技工作者的合法权益，科技工作者的合法权益受到侵犯时，应对其支持和帮助，向行为发生单位或有关部门提出处理建议；10.完成县委、县政府交办的其他事项。</w:t>
            </w:r>
          </w:p>
        </w:tc>
        <w:tc>
          <w:tcPr>
            <w:tcW w:w="30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hint="default" w:cs="宋体"/>
                <w:color w:val="000000"/>
                <w:sz w:val="18"/>
                <w:szCs w:val="18"/>
              </w:rPr>
            </w:pP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18"/>
                <w:szCs w:val="18"/>
              </w:rPr>
            </w:pPr>
            <w:r>
              <w:rPr>
                <w:rFonts w:cs="宋体"/>
                <w:color w:val="000000"/>
                <w:sz w:val="18"/>
                <w:szCs w:val="18"/>
                <w:lang w:bidi="ar"/>
              </w:rPr>
              <w:t>完成如下工作目标：1.开展学术交流；2.开展科普工作；3.对县级学会进行管理，对乡镇（街道）科协和企事业科协进行业务指导, 负责基层科普行动计划的组织实施；4.开展对科技工作者的专业技术培训和继续教育，培养农村和企业的科技实用人才，促进知识经济型人才的成长与提高；5.组织全县科技工作者建立以企业为主体的技术创新体系，为全面提升企业的自主创新能力作贡献。推广先进技术，开展科学论证、咨询服务，提出政策建议，促进科学技术成果的转化；6.组织科技工作者开展学术活动，推动学科发展；7.向科技人员宣传党和国家的方针政策和法律法规；反映科技工作者建议、意见和诉求；举荐科技人才；8.举办符合科协宗旨的社会公益性事业。推动学会与企业的协作，发挥学会和企业、事业单位科协的作用；9. 维护科技工作者的合法权益，科技工作者的合法权益受到侵犯时，应对其支持和帮助，向行为发生单位或有关部门提出处理建议；10.完成县委、县政府交办的其他事项。</w:t>
            </w:r>
          </w:p>
        </w:tc>
      </w:tr>
      <w:tr>
        <w:tblPrEx>
          <w:tblCellMar>
            <w:top w:w="0" w:type="dxa"/>
            <w:left w:w="0" w:type="dxa"/>
            <w:bottom w:w="0" w:type="dxa"/>
            <w:right w:w="0" w:type="dxa"/>
          </w:tblCellMar>
        </w:tblPrEx>
        <w:trPr>
          <w:trHeight w:val="600" w:hRule="atLeast"/>
        </w:trPr>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lang w:bidi="ar"/>
              </w:rPr>
              <w:t>绩效指标</w:t>
            </w:r>
          </w:p>
        </w:tc>
      </w:tr>
      <w:tr>
        <w:tblPrEx>
          <w:tblCellMar>
            <w:top w:w="0" w:type="dxa"/>
            <w:left w:w="0" w:type="dxa"/>
            <w:bottom w:w="0" w:type="dxa"/>
            <w:right w:w="0" w:type="dxa"/>
          </w:tblCellMar>
        </w:tblPrEx>
        <w:trPr>
          <w:trHeight w:val="500" w:hRule="atLeast"/>
        </w:trPr>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指标名称</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计量单位</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指标性质</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指标值</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全年完成值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偏离度（%）</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得分系数（%）</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指标权重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指标得分</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是否核心指标</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说明</w:t>
            </w:r>
          </w:p>
        </w:tc>
      </w:tr>
      <w:tr>
        <w:tblPrEx>
          <w:tblCellMar>
            <w:top w:w="0" w:type="dxa"/>
            <w:left w:w="0" w:type="dxa"/>
            <w:bottom w:w="0" w:type="dxa"/>
            <w:right w:w="0" w:type="dxa"/>
          </w:tblCellMar>
        </w:tblPrEx>
        <w:trPr>
          <w:trHeight w:val="500" w:hRule="atLeast"/>
        </w:trPr>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订购科普类书籍、报刊</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份</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220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老科协科普宣传活动</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场次</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全年防邪反邪宣传</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场次</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全年预算支出执行率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98</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2.04</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是</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组织参加市县级赛事</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场次</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科普工作完成率</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是</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部门预决算按时公开率</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是</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三季度执行预算进度</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75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75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是</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推进农业农村科普、助力乡村振兴，为农户增收</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万元</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服务对象满意度</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是</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bl>
    <w:p>
      <w:pPr>
        <w:pStyle w:val="12"/>
        <w:autoSpaceDE w:val="0"/>
        <w:ind w:firstLine="640"/>
        <w:rPr>
          <w:rFonts w:ascii="方正仿宋_GBK" w:hAnsi="方正仿宋_GBK" w:eastAsia="方正仿宋_GBK" w:cs="方正仿宋_GBK"/>
          <w:sz w:val="32"/>
          <w:szCs w:val="32"/>
          <w:shd w:val="clear" w:color="auto" w:fill="FFFFFF"/>
        </w:rPr>
      </w:pPr>
    </w:p>
    <w:tbl>
      <w:tblPr>
        <w:tblStyle w:val="8"/>
        <w:tblW w:w="8345" w:type="dxa"/>
        <w:tblInd w:w="0" w:type="dxa"/>
        <w:tblLayout w:type="fixed"/>
        <w:tblCellMar>
          <w:top w:w="0" w:type="dxa"/>
          <w:left w:w="0" w:type="dxa"/>
          <w:bottom w:w="0" w:type="dxa"/>
          <w:right w:w="0" w:type="dxa"/>
        </w:tblCellMar>
      </w:tblPr>
      <w:tblGrid>
        <w:gridCol w:w="1198"/>
        <w:gridCol w:w="338"/>
        <w:gridCol w:w="338"/>
        <w:gridCol w:w="821"/>
        <w:gridCol w:w="589"/>
        <w:gridCol w:w="1009"/>
        <w:gridCol w:w="652"/>
        <w:gridCol w:w="440"/>
        <w:gridCol w:w="403"/>
        <w:gridCol w:w="1197"/>
        <w:gridCol w:w="1360"/>
      </w:tblGrid>
      <w:tr>
        <w:tblPrEx>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18"/>
                <w:szCs w:val="18"/>
              </w:rPr>
            </w:pPr>
            <w:r>
              <w:rPr>
                <w:rFonts w:ascii="微软雅黑" w:hAnsi="微软雅黑" w:eastAsia="微软雅黑" w:cs="微软雅黑"/>
                <w:b/>
                <w:color w:val="000000"/>
                <w:sz w:val="18"/>
                <w:szCs w:val="18"/>
                <w:lang w:bidi="ar"/>
              </w:rPr>
              <w:t>2024年度二级项目绩效自评表</w:t>
            </w:r>
          </w:p>
        </w:tc>
      </w:tr>
      <w:tr>
        <w:tblPrEx>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1" w:firstLineChars="100"/>
              <w:jc w:val="right"/>
              <w:textAlignment w:val="center"/>
              <w:rPr>
                <w:rFonts w:hint="default" w:cs="宋体"/>
                <w:b/>
                <w:color w:val="DA3232"/>
                <w:sz w:val="18"/>
                <w:szCs w:val="18"/>
              </w:rPr>
            </w:pPr>
            <w:r>
              <w:rPr>
                <w:rFonts w:cs="宋体"/>
                <w:b/>
                <w:color w:val="DA3232"/>
                <w:sz w:val="18"/>
                <w:szCs w:val="18"/>
                <w:lang w:bidi="ar"/>
              </w:rPr>
              <w:t>状态：绩效审核已审</w:t>
            </w: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项目名称：</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科普项目及工作经费</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项目编码：</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50023123T000003061024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自评总分：</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94.00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项目主管部门：</w:t>
            </w:r>
          </w:p>
        </w:tc>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151-垫江县科学技术协会</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财政归口处室：</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004-行财科</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部门联系人：</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李明建</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联系电话：</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74527956</w:t>
            </w:r>
          </w:p>
        </w:tc>
      </w:tr>
      <w:tr>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lang w:bidi="ar"/>
              </w:rPr>
              <w:t>资金情况</w:t>
            </w:r>
          </w:p>
        </w:tc>
      </w:tr>
      <w:tr>
        <w:tblPrEx>
          <w:tblCellMar>
            <w:top w:w="0" w:type="dxa"/>
            <w:left w:w="0" w:type="dxa"/>
            <w:bottom w:w="0" w:type="dxa"/>
            <w:right w:w="0" w:type="dxa"/>
          </w:tblCellMar>
        </w:tblPrEx>
        <w:trPr>
          <w:trHeight w:val="500"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18"/>
                <w:szCs w:val="18"/>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年初预算数</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全年（调整）预算数</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全年执行数</w:t>
            </w:r>
          </w:p>
        </w:tc>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执行率</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18"/>
                <w:szCs w:val="18"/>
              </w:rPr>
            </w:pPr>
            <w:r>
              <w:rPr>
                <w:rFonts w:cs="宋体"/>
                <w:b/>
                <w:color w:val="000000"/>
                <w:sz w:val="18"/>
                <w:szCs w:val="18"/>
                <w:lang w:bidi="ar"/>
              </w:rPr>
              <w:t>执行率权重</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执行率得分</w:t>
            </w: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年度总金额</w:t>
            </w:r>
          </w:p>
        </w:tc>
        <w:tc>
          <w:tcPr>
            <w:tcW w:w="33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3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82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1,000,000.00 </w:t>
            </w:r>
          </w:p>
        </w:tc>
        <w:tc>
          <w:tcPr>
            <w:tcW w:w="58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10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595,761.58 </w:t>
            </w:r>
          </w:p>
        </w:tc>
        <w:tc>
          <w:tcPr>
            <w:tcW w:w="65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4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595,761.58 </w:t>
            </w:r>
          </w:p>
        </w:tc>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其中：财政拨款</w:t>
            </w:r>
          </w:p>
        </w:tc>
        <w:tc>
          <w:tcPr>
            <w:tcW w:w="33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3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82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1,000,000.00 </w:t>
            </w:r>
          </w:p>
        </w:tc>
        <w:tc>
          <w:tcPr>
            <w:tcW w:w="58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10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595,761.58 </w:t>
            </w:r>
          </w:p>
        </w:tc>
        <w:tc>
          <w:tcPr>
            <w:tcW w:w="65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4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595,761.58 </w:t>
            </w:r>
          </w:p>
        </w:tc>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10.00</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 xml:space="preserve">10.00 </w:t>
            </w: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一般公共预算</w:t>
            </w:r>
          </w:p>
        </w:tc>
        <w:tc>
          <w:tcPr>
            <w:tcW w:w="33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3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82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1,000,000.00 </w:t>
            </w:r>
          </w:p>
        </w:tc>
        <w:tc>
          <w:tcPr>
            <w:tcW w:w="58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10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595,761.58 </w:t>
            </w:r>
          </w:p>
        </w:tc>
        <w:tc>
          <w:tcPr>
            <w:tcW w:w="65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4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595,761.58 </w:t>
            </w:r>
          </w:p>
        </w:tc>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18"/>
                <w:szCs w:val="18"/>
              </w:rPr>
            </w:pPr>
          </w:p>
        </w:tc>
      </w:tr>
      <w:tr>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lang w:bidi="ar"/>
              </w:rPr>
              <w:t>绩效目标</w:t>
            </w:r>
          </w:p>
        </w:tc>
      </w:tr>
      <w:tr>
        <w:tblPrEx>
          <w:tblCellMar>
            <w:top w:w="0" w:type="dxa"/>
            <w:left w:w="0" w:type="dxa"/>
            <w:bottom w:w="0" w:type="dxa"/>
            <w:right w:w="0" w:type="dxa"/>
          </w:tblCellMar>
        </w:tblPrEx>
        <w:trPr>
          <w:trHeight w:val="500" w:hRule="atLeast"/>
        </w:trPr>
        <w:tc>
          <w:tcPr>
            <w:tcW w:w="269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年初绩效目标</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全年（调整）绩效目标</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全年目标实际完成情况</w:t>
            </w:r>
          </w:p>
        </w:tc>
      </w:tr>
      <w:tr>
        <w:tblPrEx>
          <w:tblCellMar>
            <w:top w:w="0" w:type="dxa"/>
            <w:left w:w="0" w:type="dxa"/>
            <w:bottom w:w="0" w:type="dxa"/>
            <w:right w:w="0" w:type="dxa"/>
          </w:tblCellMar>
        </w:tblPrEx>
        <w:trPr>
          <w:trHeight w:val="1600" w:hRule="atLeast"/>
        </w:trPr>
        <w:tc>
          <w:tcPr>
            <w:tcW w:w="26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18"/>
                <w:szCs w:val="18"/>
              </w:rPr>
            </w:pPr>
            <w:r>
              <w:rPr>
                <w:rFonts w:cs="宋体"/>
                <w:color w:val="000000"/>
                <w:sz w:val="18"/>
                <w:szCs w:val="18"/>
                <w:lang w:bidi="ar"/>
              </w:rPr>
              <w:t>推进农业农村科普、助力乡村振兴；组织参加市县赛事活动、防邪反邪宣传、全国科普日、科普短信、科技活动周、全国科技工作者日、老科协科普宣传活动 、日常及应急科普宣传等工作。</w:t>
            </w:r>
          </w:p>
        </w:tc>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18"/>
                <w:szCs w:val="18"/>
              </w:rPr>
            </w:pPr>
            <w:r>
              <w:rPr>
                <w:rFonts w:cs="宋体"/>
                <w:color w:val="000000"/>
                <w:sz w:val="18"/>
                <w:szCs w:val="18"/>
                <w:lang w:bidi="ar"/>
              </w:rPr>
              <w:t>推进农业农村科普、助力乡村振兴；组织参加市县赛事活动、防邪反邪宣传、全国科普日、科普短信、科技活动周、全国科技工作者日、老科协科普宣传活动 、日常及应急科普宣传等工作。</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18"/>
                <w:szCs w:val="18"/>
              </w:rPr>
            </w:pPr>
            <w:r>
              <w:rPr>
                <w:rFonts w:cs="宋体"/>
                <w:color w:val="000000"/>
                <w:sz w:val="18"/>
                <w:szCs w:val="18"/>
                <w:lang w:bidi="ar"/>
              </w:rPr>
              <w:t>推进农业农村科普、助力乡村振兴；组织参加市县赛事活动、防邪反邪宣传、全国科普日、科普短信、科技活动周、全国科技工作者日、老科协科普宣传活动 、日常及应急科普宣传等工作。</w:t>
            </w:r>
          </w:p>
        </w:tc>
      </w:tr>
      <w:tr>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lang w:bidi="ar"/>
              </w:rPr>
              <w:t>绩效指标</w:t>
            </w: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指标名称</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计量单位</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指标性质</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指标值</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全年完成值</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偏离度（%）</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得分系数（%）</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指标权重</w:t>
            </w:r>
          </w:p>
        </w:tc>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指标得分</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是否核心指标</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说明</w:t>
            </w: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创建县级科普示范基地</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个</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0.1</w:t>
            </w:r>
          </w:p>
        </w:tc>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订购科普类书籍、报刊</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份</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140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140</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4</w:t>
            </w:r>
          </w:p>
        </w:tc>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科教电影放映</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场次</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0.1</w:t>
            </w:r>
          </w:p>
        </w:tc>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老科协科普宣传活动</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场次</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w:t>
            </w:r>
          </w:p>
        </w:tc>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青少年科普（校园科技馆）</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个</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0.1</w:t>
            </w:r>
          </w:p>
        </w:tc>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全国科普日、科技活动周</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场次</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w:t>
            </w:r>
          </w:p>
        </w:tc>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全年防邪反邪宣传</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场次</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7.6</w:t>
            </w:r>
          </w:p>
        </w:tc>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7.6</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乡村科普设施建设</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个</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0.1</w:t>
            </w:r>
          </w:p>
        </w:tc>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0.1</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组织参加市县级赛事</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场次</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w:t>
            </w:r>
          </w:p>
        </w:tc>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科普工作完成率</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4</w:t>
            </w:r>
          </w:p>
        </w:tc>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工作任务及时完成率</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4</w:t>
            </w:r>
          </w:p>
        </w:tc>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推进农业农村科普、助力乡村振兴，带动农户增收</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万元</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800</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20</w:t>
            </w:r>
          </w:p>
        </w:tc>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服务对象满意度</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85</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85</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6</w:t>
            </w:r>
          </w:p>
        </w:tc>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科普项目及工作经费</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万元</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97</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3</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70</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20</w:t>
            </w:r>
          </w:p>
        </w:tc>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是</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调标给学校、乡镇等</w:t>
            </w:r>
          </w:p>
        </w:tc>
      </w:tr>
    </w:tbl>
    <w:p>
      <w:pPr>
        <w:pStyle w:val="12"/>
        <w:autoSpaceDE w:val="0"/>
        <w:ind w:firstLine="640"/>
        <w:rPr>
          <w:rFonts w:ascii="方正仿宋_GBK" w:hAnsi="方正仿宋_GBK" w:eastAsia="方正仿宋_GBK" w:cs="方正仿宋_GBK"/>
          <w:sz w:val="32"/>
          <w:szCs w:val="32"/>
          <w:shd w:val="clear" w:color="auto" w:fill="FFFFFF"/>
        </w:rPr>
      </w:pPr>
    </w:p>
    <w:p>
      <w:pPr>
        <w:pStyle w:val="12"/>
        <w:autoSpaceDE w:val="0"/>
        <w:ind w:firstLine="640"/>
        <w:rPr>
          <w:rFonts w:ascii="方正仿宋_GBK" w:hAnsi="方正仿宋_GBK" w:eastAsia="方正仿宋_GBK" w:cs="方正仿宋_GBK"/>
          <w:sz w:val="32"/>
          <w:szCs w:val="32"/>
          <w:shd w:val="clear" w:color="auto" w:fill="FFFFFF"/>
        </w:rPr>
      </w:pPr>
    </w:p>
    <w:p>
      <w:pPr>
        <w:pStyle w:val="12"/>
        <w:autoSpaceDE w:val="0"/>
        <w:ind w:firstLine="640"/>
        <w:rPr>
          <w:rFonts w:ascii="方正仿宋_GBK" w:hAnsi="方正仿宋_GBK" w:eastAsia="方正仿宋_GBK" w:cs="方正仿宋_GBK"/>
          <w:sz w:val="32"/>
          <w:szCs w:val="32"/>
          <w:shd w:val="clear" w:color="auto" w:fill="FFFFFF"/>
        </w:rPr>
      </w:pPr>
    </w:p>
    <w:p>
      <w:pPr>
        <w:pStyle w:val="12"/>
        <w:autoSpaceDE w:val="0"/>
        <w:ind w:firstLine="640"/>
        <w:rPr>
          <w:rFonts w:ascii="方正仿宋_GBK" w:hAnsi="方正仿宋_GBK" w:eastAsia="方正仿宋_GBK" w:cs="方正仿宋_GBK"/>
          <w:sz w:val="32"/>
          <w:szCs w:val="32"/>
          <w:shd w:val="clear" w:color="auto" w:fill="FFFFFF"/>
        </w:rPr>
      </w:pPr>
    </w:p>
    <w:p>
      <w:pPr>
        <w:pStyle w:val="12"/>
        <w:autoSpaceDE w:val="0"/>
        <w:ind w:firstLine="640"/>
        <w:rPr>
          <w:rFonts w:ascii="方正仿宋_GBK" w:hAnsi="方正仿宋_GBK" w:eastAsia="方正仿宋_GBK" w:cs="方正仿宋_GBK"/>
          <w:sz w:val="32"/>
          <w:szCs w:val="32"/>
          <w:shd w:val="clear" w:color="auto" w:fill="FFFFFF"/>
        </w:rPr>
      </w:pPr>
    </w:p>
    <w:tbl>
      <w:tblPr>
        <w:tblStyle w:val="8"/>
        <w:tblW w:w="8345" w:type="dxa"/>
        <w:tblInd w:w="0" w:type="dxa"/>
        <w:tblLayout w:type="fixed"/>
        <w:tblCellMar>
          <w:top w:w="0" w:type="dxa"/>
          <w:left w:w="0" w:type="dxa"/>
          <w:bottom w:w="0" w:type="dxa"/>
          <w:right w:w="0" w:type="dxa"/>
        </w:tblCellMar>
      </w:tblPr>
      <w:tblGrid>
        <w:gridCol w:w="1415"/>
        <w:gridCol w:w="481"/>
        <w:gridCol w:w="482"/>
        <w:gridCol w:w="770"/>
        <w:gridCol w:w="893"/>
        <w:gridCol w:w="1049"/>
        <w:gridCol w:w="715"/>
        <w:gridCol w:w="756"/>
        <w:gridCol w:w="446"/>
        <w:gridCol w:w="661"/>
        <w:gridCol w:w="677"/>
      </w:tblGrid>
      <w:tr>
        <w:tblPrEx>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18"/>
                <w:szCs w:val="18"/>
              </w:rPr>
            </w:pPr>
            <w:r>
              <w:rPr>
                <w:rFonts w:ascii="微软雅黑" w:hAnsi="微软雅黑" w:eastAsia="微软雅黑" w:cs="微软雅黑"/>
                <w:b/>
                <w:color w:val="000000"/>
                <w:sz w:val="18"/>
                <w:szCs w:val="18"/>
                <w:lang w:bidi="ar"/>
              </w:rPr>
              <w:t>2024年度二级项目绩效自评表</w:t>
            </w:r>
          </w:p>
        </w:tc>
      </w:tr>
      <w:tr>
        <w:tblPrEx>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1" w:firstLineChars="100"/>
              <w:jc w:val="right"/>
              <w:textAlignment w:val="center"/>
              <w:rPr>
                <w:rFonts w:hint="default" w:cs="宋体"/>
                <w:b/>
                <w:color w:val="DA3232"/>
                <w:sz w:val="18"/>
                <w:szCs w:val="18"/>
              </w:rPr>
            </w:pPr>
            <w:r>
              <w:rPr>
                <w:rFonts w:cs="宋体"/>
                <w:b/>
                <w:color w:val="DA3232"/>
                <w:sz w:val="18"/>
                <w:szCs w:val="18"/>
                <w:lang w:bidi="ar"/>
              </w:rPr>
              <w:t>状态：绩效审核已审</w:t>
            </w: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项目名称：</w:t>
            </w:r>
          </w:p>
        </w:tc>
        <w:tc>
          <w:tcPr>
            <w:tcW w:w="9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基层科普行动计划</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项目编码：</w:t>
            </w:r>
          </w:p>
        </w:tc>
        <w:tc>
          <w:tcPr>
            <w:tcW w:w="19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50023123T000003754499</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自评总分：</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100.00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项目主管部门：</w:t>
            </w:r>
          </w:p>
        </w:tc>
        <w:tc>
          <w:tcPr>
            <w:tcW w:w="9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151-垫江县科学技术协会</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财政归口处室：</w:t>
            </w:r>
          </w:p>
        </w:tc>
        <w:tc>
          <w:tcPr>
            <w:tcW w:w="19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004-行财科</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部门联系人：</w:t>
            </w:r>
          </w:p>
        </w:tc>
        <w:tc>
          <w:tcPr>
            <w:tcW w:w="12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李明建</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联系电话：</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74527956</w:t>
            </w:r>
          </w:p>
        </w:tc>
      </w:tr>
      <w:tr>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lang w:bidi="ar"/>
              </w:rPr>
              <w:t>资金情况</w:t>
            </w:r>
          </w:p>
        </w:tc>
      </w:tr>
      <w:tr>
        <w:tblPrEx>
          <w:tblCellMar>
            <w:top w:w="0" w:type="dxa"/>
            <w:left w:w="0" w:type="dxa"/>
            <w:bottom w:w="0" w:type="dxa"/>
            <w:right w:w="0" w:type="dxa"/>
          </w:tblCellMar>
        </w:tblPrEx>
        <w:trPr>
          <w:trHeight w:val="500"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18"/>
                <w:szCs w:val="18"/>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年初预算数</w:t>
            </w:r>
          </w:p>
        </w:tc>
        <w:tc>
          <w:tcPr>
            <w:tcW w:w="19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全年（调整）预算数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全年执行数</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执行率</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18"/>
                <w:szCs w:val="18"/>
              </w:rPr>
            </w:pPr>
            <w:r>
              <w:rPr>
                <w:rFonts w:cs="宋体"/>
                <w:b/>
                <w:color w:val="000000"/>
                <w:sz w:val="18"/>
                <w:szCs w:val="18"/>
                <w:lang w:bidi="ar"/>
              </w:rPr>
              <w:t>执行率权重</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执行率得分</w:t>
            </w: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年度总金额</w:t>
            </w:r>
          </w:p>
        </w:tc>
        <w:tc>
          <w:tcPr>
            <w:tcW w:w="4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48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7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0.00 </w:t>
            </w:r>
          </w:p>
        </w:tc>
        <w:tc>
          <w:tcPr>
            <w:tcW w:w="8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50,000.00 </w:t>
            </w:r>
          </w:p>
        </w:tc>
        <w:tc>
          <w:tcPr>
            <w:tcW w:w="71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5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50,000.00 </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其中：财政拨款</w:t>
            </w:r>
          </w:p>
        </w:tc>
        <w:tc>
          <w:tcPr>
            <w:tcW w:w="4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48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7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0.00 </w:t>
            </w:r>
          </w:p>
        </w:tc>
        <w:tc>
          <w:tcPr>
            <w:tcW w:w="8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50,000.00 </w:t>
            </w:r>
          </w:p>
        </w:tc>
        <w:tc>
          <w:tcPr>
            <w:tcW w:w="71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5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50,000.00 </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10.00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 xml:space="preserve">10.00 </w:t>
            </w: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一般公共预算</w:t>
            </w:r>
          </w:p>
        </w:tc>
        <w:tc>
          <w:tcPr>
            <w:tcW w:w="4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48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7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0.00 </w:t>
            </w:r>
          </w:p>
        </w:tc>
        <w:tc>
          <w:tcPr>
            <w:tcW w:w="8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104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50,000.00 </w:t>
            </w:r>
          </w:p>
        </w:tc>
        <w:tc>
          <w:tcPr>
            <w:tcW w:w="71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5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50,000.00 </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18"/>
                <w:szCs w:val="18"/>
              </w:rPr>
            </w:pPr>
          </w:p>
        </w:tc>
      </w:tr>
      <w:tr>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lang w:bidi="ar"/>
              </w:rPr>
              <w:t>绩效目标</w:t>
            </w:r>
          </w:p>
        </w:tc>
      </w:tr>
      <w:tr>
        <w:tblPrEx>
          <w:tblCellMar>
            <w:top w:w="0" w:type="dxa"/>
            <w:left w:w="0" w:type="dxa"/>
            <w:bottom w:w="0" w:type="dxa"/>
            <w:right w:w="0" w:type="dxa"/>
          </w:tblCellMar>
        </w:tblPrEx>
        <w:trPr>
          <w:trHeight w:val="500" w:hRule="atLeast"/>
        </w:trPr>
        <w:tc>
          <w:tcPr>
            <w:tcW w:w="314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年初绩效目标</w:t>
            </w:r>
          </w:p>
        </w:tc>
        <w:tc>
          <w:tcPr>
            <w:tcW w:w="34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全年（调整）绩效目标</w:t>
            </w:r>
          </w:p>
        </w:tc>
        <w:tc>
          <w:tcPr>
            <w:tcW w:w="178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全年目标实际完成情况</w:t>
            </w:r>
          </w:p>
        </w:tc>
      </w:tr>
      <w:tr>
        <w:tblPrEx>
          <w:tblCellMar>
            <w:top w:w="0" w:type="dxa"/>
            <w:left w:w="0" w:type="dxa"/>
            <w:bottom w:w="0" w:type="dxa"/>
            <w:right w:w="0" w:type="dxa"/>
          </w:tblCellMar>
        </w:tblPrEx>
        <w:trPr>
          <w:trHeight w:val="1600" w:hRule="atLeast"/>
        </w:trPr>
        <w:tc>
          <w:tcPr>
            <w:tcW w:w="31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18"/>
                <w:szCs w:val="18"/>
              </w:rPr>
            </w:pPr>
            <w:r>
              <w:rPr>
                <w:rFonts w:cs="宋体"/>
                <w:color w:val="000000"/>
                <w:sz w:val="18"/>
                <w:szCs w:val="18"/>
                <w:lang w:bidi="ar"/>
              </w:rPr>
              <w:t>举办会员农村实用技术培训、开展农技服务培训、编印农村实用技术科普宣传资料、发挥县级科普示范基地的示范带头作用、邀请农技专家解决疑难技术问题。</w:t>
            </w:r>
          </w:p>
        </w:tc>
        <w:tc>
          <w:tcPr>
            <w:tcW w:w="34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18"/>
                <w:szCs w:val="18"/>
              </w:rPr>
            </w:pPr>
            <w:r>
              <w:rPr>
                <w:rFonts w:cs="宋体"/>
                <w:color w:val="000000"/>
                <w:sz w:val="18"/>
                <w:szCs w:val="18"/>
                <w:lang w:bidi="ar"/>
              </w:rPr>
              <w:t>举办会员农村实用技术培训、开展农技服务培训、编印农村实用技术科普宣传资料、发挥县级科普示范基地的示范带头作用、邀请农技专家解决疑难技术问题。</w:t>
            </w:r>
          </w:p>
        </w:tc>
        <w:tc>
          <w:tcPr>
            <w:tcW w:w="17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18"/>
                <w:szCs w:val="18"/>
              </w:rPr>
            </w:pPr>
            <w:r>
              <w:rPr>
                <w:rFonts w:cs="宋体"/>
                <w:color w:val="000000"/>
                <w:sz w:val="18"/>
                <w:szCs w:val="18"/>
                <w:lang w:bidi="ar"/>
              </w:rPr>
              <w:t>举办会员农村实用技术培训、开展农技服务培训、编印农村实用技术科普宣传资料、发挥县级科普示范基地的示范带头作用、邀请农技专家解决疑难技术问题。</w:t>
            </w:r>
          </w:p>
        </w:tc>
      </w:tr>
      <w:tr>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lang w:bidi="ar"/>
              </w:rPr>
              <w:t>绩效指标</w:t>
            </w: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指标名称</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计量单位</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指标性质</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指标值</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全年完成值</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偏离度（%）</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得分系数（%）</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指标权重</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指标得分</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是否核心指标</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说明</w:t>
            </w: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举办农村会员实用技术培训</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场次</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开展现场农技服务活动</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场次</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科普示范面积增产</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科普宣传资料</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张</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8000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8000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中药肥叶面喷施</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万亩</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0.1</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0.1</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科普展品验收合格率</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项目按时完成率</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科普培训受众人次</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人数</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20</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是</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科普培训受众满意度</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85</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85</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举办会员农村实用技术培训</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元</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14000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14000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开展科普宣传</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元</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12000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12000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开展现场农技服务活动</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元</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12000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12000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中药肥叶面喷施</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元</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12000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12000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bl>
    <w:p>
      <w:pPr>
        <w:pStyle w:val="12"/>
        <w:autoSpaceDE w:val="0"/>
        <w:ind w:firstLine="640"/>
        <w:rPr>
          <w:rFonts w:ascii="方正仿宋_GBK" w:hAnsi="方正仿宋_GBK" w:eastAsia="方正仿宋_GBK" w:cs="方正仿宋_GBK"/>
          <w:sz w:val="32"/>
          <w:szCs w:val="32"/>
          <w:shd w:val="clear" w:color="auto" w:fill="FFFFFF"/>
        </w:rPr>
      </w:pPr>
    </w:p>
    <w:p>
      <w:pPr>
        <w:pStyle w:val="12"/>
        <w:autoSpaceDE w:val="0"/>
        <w:ind w:firstLine="640"/>
        <w:rPr>
          <w:rFonts w:ascii="方正仿宋_GBK" w:hAnsi="方正仿宋_GBK" w:eastAsia="方正仿宋_GBK" w:cs="方正仿宋_GBK"/>
          <w:sz w:val="32"/>
          <w:szCs w:val="32"/>
          <w:shd w:val="clear" w:color="auto" w:fill="FFFFFF"/>
        </w:rPr>
      </w:pPr>
    </w:p>
    <w:p>
      <w:pPr>
        <w:pStyle w:val="12"/>
        <w:autoSpaceDE w:val="0"/>
        <w:ind w:firstLine="640"/>
        <w:rPr>
          <w:rFonts w:ascii="方正仿宋_GBK" w:hAnsi="方正仿宋_GBK" w:eastAsia="方正仿宋_GBK" w:cs="方正仿宋_GBK"/>
          <w:sz w:val="32"/>
          <w:szCs w:val="32"/>
          <w:shd w:val="clear" w:color="auto" w:fill="FFFFFF"/>
        </w:rPr>
      </w:pPr>
    </w:p>
    <w:p>
      <w:pPr>
        <w:pStyle w:val="12"/>
        <w:autoSpaceDE w:val="0"/>
        <w:ind w:firstLine="640"/>
        <w:rPr>
          <w:rFonts w:ascii="方正仿宋_GBK" w:hAnsi="方正仿宋_GBK" w:eastAsia="方正仿宋_GBK" w:cs="方正仿宋_GBK"/>
          <w:sz w:val="32"/>
          <w:szCs w:val="32"/>
          <w:shd w:val="clear" w:color="auto" w:fill="FFFFFF"/>
        </w:rPr>
      </w:pPr>
    </w:p>
    <w:p>
      <w:pPr>
        <w:pStyle w:val="12"/>
        <w:autoSpaceDE w:val="0"/>
        <w:ind w:firstLine="640"/>
        <w:rPr>
          <w:rFonts w:ascii="方正仿宋_GBK" w:hAnsi="方正仿宋_GBK" w:eastAsia="方正仿宋_GBK" w:cs="方正仿宋_GBK"/>
          <w:sz w:val="32"/>
          <w:szCs w:val="32"/>
          <w:shd w:val="clear" w:color="auto" w:fill="FFFFFF"/>
        </w:rPr>
      </w:pPr>
    </w:p>
    <w:p>
      <w:pPr>
        <w:pStyle w:val="12"/>
        <w:autoSpaceDE w:val="0"/>
        <w:ind w:firstLine="640"/>
        <w:rPr>
          <w:rFonts w:ascii="方正仿宋_GBK" w:hAnsi="方正仿宋_GBK" w:eastAsia="方正仿宋_GBK" w:cs="方正仿宋_GBK"/>
          <w:sz w:val="32"/>
          <w:szCs w:val="32"/>
          <w:shd w:val="clear" w:color="auto" w:fill="FFFFFF"/>
        </w:rPr>
      </w:pPr>
    </w:p>
    <w:p>
      <w:pPr>
        <w:pStyle w:val="12"/>
        <w:autoSpaceDE w:val="0"/>
        <w:ind w:firstLine="0" w:firstLineChars="0"/>
        <w:rPr>
          <w:rFonts w:ascii="方正仿宋_GBK" w:hAnsi="方正仿宋_GBK" w:eastAsia="方正仿宋_GBK" w:cs="方正仿宋_GBK"/>
          <w:sz w:val="32"/>
          <w:szCs w:val="32"/>
          <w:shd w:val="clear" w:color="auto" w:fill="FFFFFF"/>
        </w:rPr>
      </w:pPr>
    </w:p>
    <w:p>
      <w:pPr>
        <w:pStyle w:val="12"/>
        <w:autoSpaceDE w:val="0"/>
        <w:ind w:firstLine="640"/>
        <w:rPr>
          <w:rFonts w:ascii="方正仿宋_GBK" w:hAnsi="方正仿宋_GBK" w:eastAsia="方正仿宋_GBK" w:cs="方正仿宋_GBK"/>
          <w:sz w:val="32"/>
          <w:szCs w:val="32"/>
          <w:shd w:val="clear" w:color="auto" w:fill="FFFFFF"/>
        </w:rPr>
      </w:pPr>
    </w:p>
    <w:tbl>
      <w:tblPr>
        <w:tblStyle w:val="8"/>
        <w:tblW w:w="8345" w:type="dxa"/>
        <w:tblInd w:w="0" w:type="dxa"/>
        <w:tblLayout w:type="fixed"/>
        <w:tblCellMar>
          <w:top w:w="0" w:type="dxa"/>
          <w:left w:w="0" w:type="dxa"/>
          <w:bottom w:w="0" w:type="dxa"/>
          <w:right w:w="0" w:type="dxa"/>
        </w:tblCellMar>
      </w:tblPr>
      <w:tblGrid>
        <w:gridCol w:w="1483"/>
        <w:gridCol w:w="546"/>
        <w:gridCol w:w="435"/>
        <w:gridCol w:w="752"/>
        <w:gridCol w:w="828"/>
        <w:gridCol w:w="1103"/>
        <w:gridCol w:w="696"/>
        <w:gridCol w:w="752"/>
        <w:gridCol w:w="435"/>
        <w:gridCol w:w="644"/>
        <w:gridCol w:w="671"/>
      </w:tblGrid>
      <w:tr>
        <w:tblPrEx>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18"/>
                <w:szCs w:val="18"/>
              </w:rPr>
            </w:pPr>
            <w:r>
              <w:rPr>
                <w:rFonts w:ascii="微软雅黑" w:hAnsi="微软雅黑" w:eastAsia="微软雅黑" w:cs="微软雅黑"/>
                <w:b/>
                <w:color w:val="000000"/>
                <w:sz w:val="18"/>
                <w:szCs w:val="18"/>
                <w:lang w:bidi="ar"/>
              </w:rPr>
              <w:t>2024年度二级项目绩效自评表</w:t>
            </w:r>
          </w:p>
        </w:tc>
      </w:tr>
      <w:tr>
        <w:tblPrEx>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1" w:firstLineChars="100"/>
              <w:jc w:val="right"/>
              <w:textAlignment w:val="center"/>
              <w:rPr>
                <w:rFonts w:hint="default" w:cs="宋体"/>
                <w:b/>
                <w:color w:val="DA3232"/>
                <w:sz w:val="18"/>
                <w:szCs w:val="18"/>
              </w:rPr>
            </w:pPr>
            <w:r>
              <w:rPr>
                <w:rFonts w:cs="宋体"/>
                <w:b/>
                <w:color w:val="DA3232"/>
                <w:sz w:val="18"/>
                <w:szCs w:val="18"/>
                <w:lang w:bidi="ar"/>
              </w:rPr>
              <w:t>状态：绩效审核已审</w:t>
            </w:r>
          </w:p>
        </w:tc>
      </w:tr>
      <w:tr>
        <w:tblPrEx>
          <w:tblCellMar>
            <w:top w:w="0" w:type="dxa"/>
            <w:left w:w="0" w:type="dxa"/>
            <w:bottom w:w="0" w:type="dxa"/>
            <w:right w:w="0" w:type="dxa"/>
          </w:tblCellMar>
        </w:tblPrEx>
        <w:trPr>
          <w:trHeight w:val="50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项目名称：</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购买服务人员经费</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项目编码：</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50023123T000003125807</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自评总分：</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100.00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18"/>
                <w:szCs w:val="18"/>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851"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项目主管部门：</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151-垫江县科学技术协会</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财政归口处室：</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004-行财科</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部门联系人：</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李明建</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lang w:bidi="ar"/>
              </w:rPr>
              <w:t>联系电话：</w:t>
            </w: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74527956</w:t>
            </w:r>
          </w:p>
        </w:tc>
      </w:tr>
      <w:tr>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lang w:bidi="ar"/>
              </w:rPr>
              <w:t>资金情况</w:t>
            </w:r>
          </w:p>
        </w:tc>
      </w:tr>
      <w:tr>
        <w:tblPrEx>
          <w:tblCellMar>
            <w:top w:w="0" w:type="dxa"/>
            <w:left w:w="0" w:type="dxa"/>
            <w:bottom w:w="0" w:type="dxa"/>
            <w:right w:w="0" w:type="dxa"/>
          </w:tblCellMar>
        </w:tblPrEx>
        <w:trPr>
          <w:trHeight w:val="500" w:hRule="atLeast"/>
        </w:trPr>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18"/>
                <w:szCs w:val="18"/>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年初预算数</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全年（调整）预算数</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全年执行数</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执行率</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18"/>
                <w:szCs w:val="18"/>
              </w:rPr>
            </w:pPr>
            <w:r>
              <w:rPr>
                <w:rFonts w:cs="宋体"/>
                <w:b/>
                <w:color w:val="000000"/>
                <w:sz w:val="18"/>
                <w:szCs w:val="18"/>
                <w:lang w:bidi="ar"/>
              </w:rPr>
              <w:t>执行率权重</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执行率得分</w:t>
            </w:r>
          </w:p>
        </w:tc>
      </w:tr>
      <w:tr>
        <w:tblPrEx>
          <w:tblCellMar>
            <w:top w:w="0" w:type="dxa"/>
            <w:left w:w="0" w:type="dxa"/>
            <w:bottom w:w="0" w:type="dxa"/>
            <w:right w:w="0" w:type="dxa"/>
          </w:tblCellMar>
        </w:tblPrEx>
        <w:trPr>
          <w:trHeight w:val="500" w:hRule="atLeast"/>
        </w:trPr>
        <w:tc>
          <w:tcPr>
            <w:tcW w:w="148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年度总金额</w:t>
            </w:r>
          </w:p>
        </w:tc>
        <w:tc>
          <w:tcPr>
            <w:tcW w:w="54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43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5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48,000.00 </w:t>
            </w:r>
          </w:p>
        </w:tc>
        <w:tc>
          <w:tcPr>
            <w:tcW w:w="82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11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48,000.00 </w:t>
            </w:r>
          </w:p>
        </w:tc>
        <w:tc>
          <w:tcPr>
            <w:tcW w:w="6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5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48,000.00 </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8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其中：财政拨款</w:t>
            </w:r>
          </w:p>
        </w:tc>
        <w:tc>
          <w:tcPr>
            <w:tcW w:w="54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43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5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48,000.00 </w:t>
            </w:r>
          </w:p>
        </w:tc>
        <w:tc>
          <w:tcPr>
            <w:tcW w:w="82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11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48,000.00 </w:t>
            </w:r>
          </w:p>
        </w:tc>
        <w:tc>
          <w:tcPr>
            <w:tcW w:w="6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5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48,000.00 </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10.00</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 xml:space="preserve">10.00 </w:t>
            </w:r>
          </w:p>
        </w:tc>
      </w:tr>
      <w:tr>
        <w:tblPrEx>
          <w:tblCellMar>
            <w:top w:w="0" w:type="dxa"/>
            <w:left w:w="0" w:type="dxa"/>
            <w:bottom w:w="0" w:type="dxa"/>
            <w:right w:w="0" w:type="dxa"/>
          </w:tblCellMar>
        </w:tblPrEx>
        <w:trPr>
          <w:trHeight w:val="500" w:hRule="atLeast"/>
        </w:trPr>
        <w:tc>
          <w:tcPr>
            <w:tcW w:w="148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lang w:bidi="ar"/>
              </w:rPr>
              <w:t>一般公共预算</w:t>
            </w:r>
          </w:p>
        </w:tc>
        <w:tc>
          <w:tcPr>
            <w:tcW w:w="54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43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5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48,000.00 </w:t>
            </w:r>
          </w:p>
        </w:tc>
        <w:tc>
          <w:tcPr>
            <w:tcW w:w="82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11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48,000.00 </w:t>
            </w:r>
          </w:p>
        </w:tc>
        <w:tc>
          <w:tcPr>
            <w:tcW w:w="6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18"/>
                <w:szCs w:val="18"/>
              </w:rPr>
            </w:pPr>
          </w:p>
        </w:tc>
        <w:tc>
          <w:tcPr>
            <w:tcW w:w="75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48,000.00 </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18"/>
                <w:szCs w:val="18"/>
              </w:rPr>
            </w:pPr>
          </w:p>
        </w:tc>
      </w:tr>
      <w:tr>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lang w:bidi="ar"/>
              </w:rPr>
              <w:t>绩效目标</w:t>
            </w:r>
          </w:p>
        </w:tc>
      </w:tr>
      <w:tr>
        <w:tblPrEx>
          <w:tblCellMar>
            <w:top w:w="0" w:type="dxa"/>
            <w:left w:w="0" w:type="dxa"/>
            <w:bottom w:w="0" w:type="dxa"/>
            <w:right w:w="0" w:type="dxa"/>
          </w:tblCellMar>
        </w:tblPrEx>
        <w:trPr>
          <w:trHeight w:val="500" w:hRule="atLeast"/>
        </w:trPr>
        <w:tc>
          <w:tcPr>
            <w:tcW w:w="321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年初绩效目标</w:t>
            </w:r>
          </w:p>
        </w:tc>
        <w:tc>
          <w:tcPr>
            <w:tcW w:w="337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全年（调整）绩效目标</w:t>
            </w:r>
          </w:p>
        </w:tc>
        <w:tc>
          <w:tcPr>
            <w:tcW w:w="17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全年目标实际完成情况</w:t>
            </w:r>
          </w:p>
        </w:tc>
      </w:tr>
      <w:tr>
        <w:tblPrEx>
          <w:tblCellMar>
            <w:top w:w="0" w:type="dxa"/>
            <w:left w:w="0" w:type="dxa"/>
            <w:bottom w:w="0" w:type="dxa"/>
            <w:right w:w="0" w:type="dxa"/>
          </w:tblCellMar>
        </w:tblPrEx>
        <w:trPr>
          <w:trHeight w:val="690" w:hRule="atLeast"/>
        </w:trPr>
        <w:tc>
          <w:tcPr>
            <w:tcW w:w="321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18"/>
                <w:szCs w:val="18"/>
              </w:rPr>
            </w:pPr>
            <w:r>
              <w:rPr>
                <w:rFonts w:cs="宋体"/>
                <w:color w:val="000000"/>
                <w:sz w:val="18"/>
                <w:szCs w:val="18"/>
                <w:lang w:bidi="ar"/>
              </w:rPr>
              <w:t>为单位履行职能职责提供保障。</w:t>
            </w:r>
          </w:p>
        </w:tc>
        <w:tc>
          <w:tcPr>
            <w:tcW w:w="33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18"/>
                <w:szCs w:val="18"/>
              </w:rPr>
            </w:pPr>
            <w:r>
              <w:rPr>
                <w:rFonts w:cs="宋体"/>
                <w:color w:val="000000"/>
                <w:sz w:val="18"/>
                <w:szCs w:val="18"/>
                <w:lang w:bidi="ar"/>
              </w:rPr>
              <w:t>为单位履行职能职责提供保障。</w:t>
            </w:r>
          </w:p>
        </w:tc>
        <w:tc>
          <w:tcPr>
            <w:tcW w:w="17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18"/>
                <w:szCs w:val="18"/>
              </w:rPr>
            </w:pPr>
            <w:r>
              <w:rPr>
                <w:rFonts w:cs="宋体"/>
                <w:color w:val="000000"/>
                <w:sz w:val="18"/>
                <w:szCs w:val="18"/>
                <w:lang w:bidi="ar"/>
              </w:rPr>
              <w:t>为单位履行职能职责提供保障。</w:t>
            </w:r>
          </w:p>
        </w:tc>
      </w:tr>
      <w:tr>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18"/>
                <w:szCs w:val="18"/>
              </w:rPr>
            </w:pPr>
            <w:r>
              <w:rPr>
                <w:rFonts w:ascii="微软雅黑" w:hAnsi="微软雅黑" w:eastAsia="微软雅黑" w:cs="微软雅黑"/>
                <w:b/>
                <w:color w:val="808080"/>
                <w:sz w:val="18"/>
                <w:szCs w:val="18"/>
                <w:lang w:bidi="ar"/>
              </w:rPr>
              <w:t>绩效指标</w:t>
            </w:r>
          </w:p>
        </w:tc>
      </w:tr>
      <w:tr>
        <w:tblPrEx>
          <w:tblCellMar>
            <w:top w:w="0" w:type="dxa"/>
            <w:left w:w="0" w:type="dxa"/>
            <w:bottom w:w="0" w:type="dxa"/>
            <w:right w:w="0" w:type="dxa"/>
          </w:tblCellMar>
        </w:tblPrEx>
        <w:trPr>
          <w:trHeight w:val="50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指标名称</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计量单位</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指标性质</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指标值</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全年完成值</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偏离度（%）</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得分系数（%）</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指标权重</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指标得分</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是否核心指标</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lang w:bidi="ar"/>
              </w:rPr>
              <w:t>说明</w:t>
            </w:r>
          </w:p>
        </w:tc>
      </w:tr>
      <w:tr>
        <w:tblPrEx>
          <w:tblCellMar>
            <w:top w:w="0" w:type="dxa"/>
            <w:left w:w="0" w:type="dxa"/>
            <w:bottom w:w="0" w:type="dxa"/>
            <w:right w:w="0" w:type="dxa"/>
          </w:tblCellMar>
        </w:tblPrEx>
        <w:trPr>
          <w:trHeight w:val="50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临时工工资发放人数</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人数</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14</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临时工工作质量达标率</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13</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临时工工资发放及时率</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13</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为单位履行职能职责提供保障</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30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30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是</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服务对象满意度</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90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90</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r>
        <w:tblPrEx>
          <w:tblCellMar>
            <w:top w:w="0" w:type="dxa"/>
            <w:left w:w="0" w:type="dxa"/>
            <w:bottom w:w="0" w:type="dxa"/>
            <w:right w:w="0" w:type="dxa"/>
          </w:tblCellMar>
        </w:tblPrEx>
        <w:trPr>
          <w:trHeight w:val="50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临时工工资标准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元/人*月</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2000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2000</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18"/>
                <w:szCs w:val="18"/>
              </w:rPr>
            </w:pPr>
          </w:p>
        </w:tc>
      </w:tr>
    </w:tbl>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2"/>
        <w:autoSpaceDE w:val="0"/>
        <w:ind w:firstLine="640"/>
        <w:rPr>
          <w:rFonts w:ascii="楷体" w:hAnsi="楷体" w:eastAsia="楷体" w:cs="楷体"/>
          <w:b/>
          <w:bCs/>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我部门未组织开展绩效评价。</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2"/>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县财政局未委托第三方对我部门开展绩效评价。</w:t>
      </w:r>
    </w:p>
    <w:p>
      <w:pPr>
        <w:pStyle w:val="7"/>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  六、专业名词解释</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（十二）</w:t>
      </w:r>
      <w:r>
        <w:rPr>
          <w:rStyle w:val="11"/>
          <w:rFonts w:hint="eastAsia" w:ascii="楷体" w:hAnsi="楷体" w:eastAsia="楷体" w:cs="楷体"/>
          <w:sz w:val="32"/>
          <w:szCs w:val="32"/>
          <w:shd w:val="clear" w:color="auto" w:fill="FFFFFF"/>
          <w:lang w:eastAsia="zh-CN"/>
        </w:rPr>
        <w:t>三公</w:t>
      </w:r>
      <w:r>
        <w:rPr>
          <w:rStyle w:val="11"/>
          <w:rFonts w:ascii="楷体" w:hAnsi="楷体" w:eastAsia="楷体" w:cs="楷体"/>
          <w:sz w:val="32"/>
          <w:szCs w:val="32"/>
          <w:shd w:val="clear" w:color="auto" w:fill="FFFFFF"/>
        </w:rPr>
        <w:t>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ind w:firstLine="643" w:firstLineChars="200"/>
        <w:rPr>
          <w:rStyle w:val="11"/>
          <w:rFonts w:hint="default" w:ascii="方正仿宋_GBK" w:hAnsi="方正仿宋_GBK" w:eastAsia="方正仿宋_GBK" w:cs="方正仿宋_GBK"/>
          <w:sz w:val="32"/>
          <w:szCs w:val="32"/>
          <w:shd w:val="clear" w:color="auto" w:fill="FFFFFF"/>
        </w:rPr>
      </w:pPr>
      <w:r>
        <w:rPr>
          <w:rStyle w:val="11"/>
          <w:rFonts w:ascii="黑体" w:hAnsi="黑体" w:eastAsia="黑体" w:cs="黑体"/>
          <w:sz w:val="32"/>
          <w:szCs w:val="32"/>
          <w:shd w:val="clear" w:color="auto" w:fill="FFFFFF"/>
        </w:rPr>
        <w:t>七、决算公开联系方式及信息反馈渠道</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本部门决算公开信息反馈和联系方式：刘老师 </w:t>
      </w:r>
      <w:r>
        <w:rPr>
          <w:rFonts w:hint="default" w:ascii="方正仿宋_GBK" w:hAnsi="方正仿宋_GBK" w:eastAsia="方正仿宋_GBK" w:cs="方正仿宋_GBK"/>
          <w:sz w:val="32"/>
          <w:szCs w:val="32"/>
          <w:shd w:val="clear" w:color="auto" w:fill="FFFFFF"/>
        </w:rPr>
        <w:t xml:space="preserve"> </w:t>
      </w:r>
      <w:r>
        <w:rPr>
          <w:rFonts w:hint="default" w:ascii="Times New Roman" w:hAnsi="Times New Roman" w:eastAsia="方正仿宋_GBK"/>
          <w:sz w:val="32"/>
          <w:szCs w:val="32"/>
          <w:shd w:val="clear" w:color="auto" w:fill="FFFFFF"/>
        </w:rPr>
        <w:t>023-74527956</w:t>
      </w:r>
    </w:p>
    <w:p>
      <w:pPr>
        <w:pStyle w:val="12"/>
        <w:autoSpaceDE w:val="0"/>
        <w:spacing w:line="596" w:lineRule="exact"/>
        <w:ind w:firstLine="643"/>
        <w:jc w:val="both"/>
        <w:rPr>
          <w:rStyle w:val="11"/>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rPr>
              <w:t>垫江县科学技术协会</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178.79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178.79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180.88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180.88</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180.88</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sz w:val="20"/>
              </w:rPr>
              <w:t>垫江县科学技术协会</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178.79</w:t>
            </w:r>
            <w:r>
              <w:rPr>
                <w:rFonts w:ascii="Times New Roman" w:hAnsi="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178.79</w:t>
            </w:r>
            <w:r>
              <w:rPr>
                <w:rFonts w:ascii="Times New Roman" w:hAnsi="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149.31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149.31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其他科学技术管理事务支出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科学技术普及</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144.51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144.51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机构运行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科普活动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垫江县科学技术协会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180.88</w:t>
            </w:r>
            <w:r>
              <w:rPr>
                <w:rFonts w:ascii="Times New Roman" w:hAnsi="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109.42</w:t>
            </w:r>
            <w:r>
              <w:rPr>
                <w:rFonts w:ascii="Times New Roman" w:hAnsi="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71.47</w:t>
            </w:r>
            <w:r>
              <w:rPr>
                <w:rFonts w:ascii="Times New Roman" w:hAnsi="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151.40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其他科学技术管理事务支出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科学技术普及</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146.60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66.67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机构运行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科普活动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66.67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66.67</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垫江县科学技术协会</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178.79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151.40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151.40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178.79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180.88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180.88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180.88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180.88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180.88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垫江县科学技术协会</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180.88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109.42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71.47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151.40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71.47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其他科学技术管理事务支出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科学技术普及</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66.67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机构运行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79.94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79.94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科普活动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66.67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66.67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垫江县科学技术协会</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97.00</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12.41</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垫江县科学技术协会</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垫江县科学技术协会</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垫江县科学技术协会</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5.09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- 20 -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w:r>
    <w:r>
      <w:rPr>
        <w:rFonts w:hint="default"/>
      </w:rPr>
      <w:pict>
        <v:shape id="_x0000_s2051" o:spid="_x0000_s205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lkNmIwODI1Y2QwNGQxZDFhYmRhZWMyNWM5ZTJhMjUifQ=="/>
  </w:docVars>
  <w:rsids>
    <w:rsidRoot w:val="00B03CCD"/>
    <w:rsid w:val="000C01CC"/>
    <w:rsid w:val="000D7702"/>
    <w:rsid w:val="000F6721"/>
    <w:rsid w:val="00125C90"/>
    <w:rsid w:val="001632EC"/>
    <w:rsid w:val="00261065"/>
    <w:rsid w:val="002D0E5A"/>
    <w:rsid w:val="002D71F4"/>
    <w:rsid w:val="002E5443"/>
    <w:rsid w:val="0032196C"/>
    <w:rsid w:val="003E1A1F"/>
    <w:rsid w:val="004852DA"/>
    <w:rsid w:val="004C12FF"/>
    <w:rsid w:val="004D0390"/>
    <w:rsid w:val="00534C09"/>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95652"/>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012F98"/>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3C3F57"/>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6A066D"/>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B130C7"/>
    <w:rsid w:val="6AAD2300"/>
    <w:rsid w:val="6B474EF5"/>
    <w:rsid w:val="6BBF53FD"/>
    <w:rsid w:val="6C560CAE"/>
    <w:rsid w:val="6C576495"/>
    <w:rsid w:val="6D903FF5"/>
    <w:rsid w:val="6DA60E4B"/>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ind w:firstLine="567"/>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 w:type="paragraph" w:customStyle="1" w:styleId="18">
    <w:name w:val="普通(网站) Char Char"/>
    <w:basedOn w:val="1"/>
    <w:qFormat/>
    <w:uiPriority w:val="0"/>
    <w:pPr>
      <w:spacing w:beforeAutospacing="1" w:afterAutospacing="1"/>
    </w:pPr>
  </w:style>
  <w:style w:type="character" w:customStyle="1" w:styleId="19">
    <w:name w:val="29"/>
    <w:basedOn w:val="10"/>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12735</Words>
  <Characters>16122</Characters>
  <Lines>142</Lines>
  <Paragraphs>40</Paragraphs>
  <TotalTime>22</TotalTime>
  <ScaleCrop>false</ScaleCrop>
  <LinksUpToDate>false</LinksUpToDate>
  <CharactersWithSpaces>17270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毕欢</cp:lastModifiedBy>
  <dcterms:modified xsi:type="dcterms:W3CDTF">2025-09-22T07:56:48Z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