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jc w:val="center"/>
        <w:rPr>
          <w:rFonts w:hint="default" w:ascii="TimesNewRoman" w:hAnsi="TimesNewRoman" w:eastAsia="方正小标宋_GBK" w:cs="TimesNewRoman"/>
          <w:sz w:val="44"/>
          <w:szCs w:val="44"/>
        </w:rPr>
      </w:pPr>
      <w:bookmarkStart w:id="0" w:name="_GoBack"/>
      <w:bookmarkEnd w:id="0"/>
      <w:r>
        <w:rPr>
          <w:rFonts w:hint="default" w:ascii="TimesNewRoman" w:hAnsi="TimesNewRoman" w:eastAsia="方正小标宋_GBK" w:cs="TimesNewRoman"/>
          <w:sz w:val="44"/>
          <w:szCs w:val="44"/>
        </w:rPr>
        <w:t>垫江县归侨侨眷联合会</w:t>
      </w:r>
      <w:r>
        <w:rPr>
          <w:rFonts w:ascii="TimesNewRoman" w:hAnsi="TimesNewRoman" w:eastAsia="方正小标宋_GBK" w:cs="TimesNewRoman"/>
          <w:sz w:val="44"/>
          <w:szCs w:val="44"/>
        </w:rPr>
        <w:t>（本级）</w:t>
      </w:r>
    </w:p>
    <w:p>
      <w:pPr>
        <w:pStyle w:val="6"/>
        <w:spacing w:before="0" w:beforeAutospacing="0"/>
        <w:jc w:val="center"/>
        <w:rPr>
          <w:rFonts w:hint="default" w:ascii="TimesNewRoman" w:hAnsi="TimesNewRoman" w:eastAsia="方正小标宋_GBK" w:cs="TimesNewRoman"/>
          <w:sz w:val="44"/>
          <w:szCs w:val="44"/>
          <w:shd w:val="clear" w:color="auto" w:fill="FFFFFF"/>
        </w:rPr>
      </w:pPr>
      <w:r>
        <w:rPr>
          <w:rFonts w:hint="default" w:ascii="TimesNewRoman" w:hAnsi="TimesNewRoman" w:eastAsia="方正小标宋_GBK" w:cs="TimesNewRoman"/>
          <w:sz w:val="44"/>
          <w:szCs w:val="44"/>
          <w:shd w:val="clear" w:color="auto" w:fill="FFFFFF"/>
        </w:rPr>
        <w:t>2024年度决算公开说明</w:t>
      </w:r>
    </w:p>
    <w:p>
      <w:pPr>
        <w:spacing w:line="594" w:lineRule="exact"/>
        <w:ind w:firstLine="640" w:firstLineChars="200"/>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一、</w:t>
      </w:r>
      <w:r>
        <w:rPr>
          <w:rFonts w:ascii="TimesNewRoman" w:hAnsi="TimesNewRoman" w:eastAsia="方正黑体_GBK" w:cs="TimesNewRoman"/>
          <w:sz w:val="32"/>
          <w:szCs w:val="32"/>
        </w:rPr>
        <w:t>单位</w:t>
      </w:r>
      <w:r>
        <w:rPr>
          <w:rFonts w:hint="default" w:ascii="TimesNewRoman" w:hAnsi="TimesNewRoman" w:eastAsia="方正黑体_GBK" w:cs="TimesNewRoman"/>
          <w:sz w:val="32"/>
          <w:szCs w:val="32"/>
        </w:rPr>
        <w:t>基本情况</w:t>
      </w:r>
    </w:p>
    <w:p>
      <w:pPr>
        <w:spacing w:line="594" w:lineRule="exact"/>
        <w:ind w:firstLine="640" w:firstLineChars="200"/>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（一）职能职责</w:t>
      </w:r>
    </w:p>
    <w:p>
      <w:pPr>
        <w:spacing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垫江县归侨侨眷联合会，为垫江县委领导下的群众团体，主要职能是：</w:t>
      </w:r>
    </w:p>
    <w:p>
      <w:pPr>
        <w:spacing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1.积极引导归侨侨眷按照《中华全国归国华侨联合会章程》独立负责地完成各项工作任务，把广大归侨侨眷和海外侨胞的智慧和力量凝聚到振兴中华的战略上来。</w:t>
      </w:r>
    </w:p>
    <w:p>
      <w:pPr>
        <w:spacing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2.发挥归侨侨眷海外关系广泛、信息资源丰富的优势，协助有关</w:t>
      </w:r>
      <w:r>
        <w:rPr>
          <w:rFonts w:ascii="TimesNewRoman" w:hAnsi="TimesNewRoman" w:eastAsia="方正仿宋_GBK" w:cs="TimesNewRoman"/>
          <w:sz w:val="32"/>
          <w:szCs w:val="32"/>
        </w:rPr>
        <w:t>单位</w:t>
      </w:r>
      <w:r>
        <w:rPr>
          <w:rFonts w:hint="default" w:ascii="TimesNewRoman" w:hAnsi="TimesNewRoman" w:eastAsia="方正仿宋_GBK" w:cs="TimesNewRoman"/>
          <w:sz w:val="32"/>
          <w:szCs w:val="32"/>
        </w:rPr>
        <w:t>做好引进技术和人才的工作，为全县经济建设服务。</w:t>
      </w:r>
    </w:p>
    <w:p>
      <w:pPr>
        <w:spacing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3.积极开展海内外联谊工作。定期搞好侨情普查，开展对新一代华侨华人及其亲属情况的调研，把党和政府的关怀送到归侨侨眷心中，充分发挥民间交流的优势，促进交流合作。</w:t>
      </w:r>
    </w:p>
    <w:p>
      <w:pPr>
        <w:spacing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4.依法保护归侨侨眷的合法权益、积极参政议政。学习、宣传贯彻《中华人民共和国归侨侨眷权益保护法》及其实施办法，切实保护归侨侨眷的合法权益；参与人大、政协中归侨侨眷代表、委员的推荐、协商工作，做好民主监督、参政议政工作。</w:t>
      </w:r>
    </w:p>
    <w:p>
      <w:pPr>
        <w:spacing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5.弘扬中华文化。广大归侨侨眷和海外侨胞是中华文化走向世界的重要使者。顺应海外侨胞的文化情结，依照有关规定开展民俗文化交流、祖地文化交流、寻根之旅、重大历史事件纪念等活动，增进对中华文化的了解和认同。</w:t>
      </w:r>
    </w:p>
    <w:p>
      <w:pPr>
        <w:spacing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6.保障和改善侨界民生、参与社会建设。深入了解归侨侨眷工作生活状况，推动各项保障和改善民生政策的具体落实，为困难归侨侨眷排忧解难，关心帮助侨界留守儿童、空巢老人。协调有关</w:t>
      </w:r>
      <w:r>
        <w:rPr>
          <w:rFonts w:ascii="TimesNewRoman" w:hAnsi="TimesNewRoman" w:eastAsia="方正仿宋_GBK" w:cs="TimesNewRoman"/>
          <w:sz w:val="32"/>
          <w:szCs w:val="32"/>
        </w:rPr>
        <w:t>单位</w:t>
      </w:r>
      <w:r>
        <w:rPr>
          <w:rFonts w:hint="default" w:ascii="TimesNewRoman" w:hAnsi="TimesNewRoman" w:eastAsia="方正仿宋_GBK" w:cs="TimesNewRoman"/>
          <w:sz w:val="32"/>
          <w:szCs w:val="32"/>
        </w:rPr>
        <w:t>为海外华人华侨回来探亲访友、就业创业搞好服务。加强法治宣传，引导归侨侨眷学法守法用法，通过合法渠道理性表达诉求。</w:t>
      </w:r>
    </w:p>
    <w:p>
      <w:pPr>
        <w:spacing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7.在县委的领导下，搞好侨联组织建设。</w:t>
      </w:r>
    </w:p>
    <w:p>
      <w:pPr>
        <w:spacing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8.完成重庆市侨联，</w:t>
      </w:r>
      <w:r>
        <w:rPr>
          <w:rFonts w:hint="eastAsia" w:ascii="TimesNewRoman" w:hAnsi="TimesNewRoman" w:eastAsia="方正仿宋_GBK" w:cs="TimesNewRoman"/>
          <w:sz w:val="32"/>
          <w:szCs w:val="32"/>
          <w:lang w:eastAsia="zh-CN"/>
        </w:rPr>
        <w:t>县委、县政府</w:t>
      </w:r>
      <w:r>
        <w:rPr>
          <w:rFonts w:hint="default" w:ascii="TimesNewRoman" w:hAnsi="TimesNewRoman" w:eastAsia="方正仿宋_GBK" w:cs="TimesNewRoman"/>
          <w:sz w:val="32"/>
          <w:szCs w:val="32"/>
        </w:rPr>
        <w:t>交办的其他事项。</w:t>
      </w:r>
    </w:p>
    <w:p>
      <w:pPr>
        <w:spacing w:line="594" w:lineRule="exact"/>
        <w:ind w:firstLine="640" w:firstLineChars="200"/>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（二）机构设置</w:t>
      </w:r>
    </w:p>
    <w:p>
      <w:pPr>
        <w:spacing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县侨联设办公室1个内设机构。2024年末，机关实有在职人数3人。</w:t>
      </w:r>
    </w:p>
    <w:p>
      <w:pPr>
        <w:spacing w:line="594" w:lineRule="exact"/>
        <w:ind w:firstLine="640" w:firstLineChars="200"/>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二、</w:t>
      </w:r>
      <w:r>
        <w:rPr>
          <w:rFonts w:ascii="TimesNewRoman" w:hAnsi="TimesNewRoman" w:eastAsia="方正黑体_GBK" w:cs="TimesNewRoman"/>
          <w:sz w:val="32"/>
          <w:szCs w:val="32"/>
        </w:rPr>
        <w:t>单位</w:t>
      </w:r>
      <w:r>
        <w:rPr>
          <w:rFonts w:hint="default" w:ascii="TimesNewRoman" w:hAnsi="TimesNewRoman" w:eastAsia="方正黑体_GBK" w:cs="TimesNewRoman"/>
          <w:sz w:val="32"/>
          <w:szCs w:val="32"/>
        </w:rPr>
        <w:t>决算情况说明</w:t>
      </w:r>
    </w:p>
    <w:p>
      <w:pPr>
        <w:spacing w:line="594" w:lineRule="exact"/>
        <w:ind w:firstLine="640" w:firstLineChars="200"/>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（一）收入支出决算总体情况说明</w:t>
      </w:r>
    </w:p>
    <w:p>
      <w:pPr>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1.总体情况。2024年度收入总计93.51万元，支出总计93.51万元。收、支与2023年度相比，增加3.67万元，增长4.1%，主要原因是本年度职工正常工资福利的增长，再加上本年度招商项目和侨属联谊活动有所增加，对应项目收支也有一定幅度增长。</w:t>
      </w:r>
    </w:p>
    <w:p>
      <w:pPr>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2.收入情况。2024年度收入合计93.51万元，与2023年度相比，增加4.67万元，增长5.3%，主要原因是本年度职工正常工资福利的增长，再加上本年度招商项目和侨属联谊活动有所增加，对应项目收支也有一定幅度增长。</w:t>
      </w:r>
      <w:r>
        <w:rPr>
          <w:rFonts w:ascii="方正仿宋_GBK" w:hAnsi="方正仿宋_GBK" w:eastAsia="方正仿宋_GBK" w:cs="方正仿宋_GBK"/>
          <w:sz w:val="32"/>
          <w:szCs w:val="32"/>
        </w:rPr>
        <w:t>其中：财政拨款收入</w:t>
      </w:r>
      <w:r>
        <w:rPr>
          <w:rFonts w:hint="default" w:ascii="方正仿宋_GBK" w:hAnsi="方正仿宋_GBK" w:eastAsia="方正仿宋_GBK" w:cs="方正仿宋_GBK"/>
          <w:sz w:val="32"/>
          <w:szCs w:val="32"/>
        </w:rPr>
        <w:t>93.51万元，占100.0%；事业收入0.00万元，占0.0%；经营收入0.00万元，占0.0%；其他收入0.00万元，占0.0%。此外，使用非财政拨款结余和专用结余0.00万元，年初结转和结余0.00万元。</w:t>
      </w:r>
    </w:p>
    <w:p>
      <w:pPr>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3.支出情况。2024年度支出合计93.51万元，与2023年度相比，增加3.67万元，增长4.1%，主要原因是本年度职工正常工资福利的增长，再加上本年度招商项目和侨属联谊活动有所增加，对应项目收支也有一定幅度增长。</w:t>
      </w:r>
      <w:r>
        <w:rPr>
          <w:rFonts w:ascii="方正仿宋_GBK" w:hAnsi="方正仿宋_GBK" w:eastAsia="方正仿宋_GBK" w:cs="方正仿宋_GBK"/>
          <w:sz w:val="32"/>
          <w:szCs w:val="32"/>
        </w:rPr>
        <w:t>其中：基本支出77.71万元，占83.1%；项目支出15.80万元，占16.9%；经营支出0.00万元，占0.0%。此外，结余分配0.00万元。</w:t>
      </w:r>
    </w:p>
    <w:p>
      <w:pPr>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4.结转结余情况。2024年度年末结转和结余0.00万元，</w:t>
      </w:r>
      <w:r>
        <w:rPr>
          <w:rFonts w:ascii="方正仿宋_GBK" w:hAnsi="方正仿宋_GBK" w:eastAsia="方正仿宋_GBK" w:cs="方正仿宋_GBK"/>
          <w:sz w:val="32"/>
          <w:szCs w:val="32"/>
        </w:rPr>
        <w:t>与</w:t>
      </w:r>
      <w:r>
        <w:rPr>
          <w:rFonts w:hint="default" w:ascii="方正仿宋_GBK" w:hAnsi="方正仿宋_GBK" w:eastAsia="方正仿宋_GBK" w:cs="方正仿宋_GBK"/>
          <w:sz w:val="32"/>
          <w:szCs w:val="32"/>
        </w:rPr>
        <w:t>2023年度相比，无增减，主要原因是本年收支平衡，无财政资金外的收支，故年末无结余。</w:t>
      </w:r>
    </w:p>
    <w:p>
      <w:pPr>
        <w:spacing w:line="594" w:lineRule="exact"/>
        <w:ind w:firstLine="640" w:firstLineChars="200"/>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（二）财政拨款收入支出决算总体情况说明</w:t>
      </w:r>
    </w:p>
    <w:p>
      <w:pPr>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2024年度财政拨款收、支总计93.51万元。与2023年相比，财政拨款收、支总计各增加3.67万元，增长4.1%。主要原因是本年度从本年度职工正常工资福利的增长，再加上本年度招商项目和侨属联谊活动有所增加，对应项目收支也有一定幅度增长。</w:t>
      </w:r>
    </w:p>
    <w:p>
      <w:pPr>
        <w:spacing w:line="594" w:lineRule="exact"/>
        <w:ind w:firstLine="640" w:firstLineChars="200"/>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（三）一般公共预算财政拨款收入支出决算情况说明</w:t>
      </w:r>
    </w:p>
    <w:p>
      <w:pPr>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1.收入情况。2024年度一般公共预算财政拨款收入93.51万元，与2023年度相比，增加4.67万元，增长5.3%。主要原因是本年度职工正常工资福利的增长，再加上本年度招商项目和侨属联谊活动有所增加，对应项目收支也有一定幅度增长。较年初预算数增加2.25万元，增长2.5%。主要原因是本年度实际人员、公用经费、项目经费的增长。此外，年初财政拨款结转和结余0.00万元。</w:t>
      </w:r>
    </w:p>
    <w:p>
      <w:pPr>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2.支出情况。2024年度一般公共预算财政拨款支出93.51万元，与2023年度相比，增加3.67万元，增长4.1%。主要原因是本年度职工正常工资福利的增长，再加上本年度招商项目和侨属联谊活动有所增加，对应项目收支也有一定幅度增长。较年初预算数增加2.25万元，增长2.5%。主要原因是本年度实际人员、公用经费、项目经费的增长。</w:t>
      </w:r>
    </w:p>
    <w:p>
      <w:pPr>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3.结转结余情况。2024年度年末一般公共预算财政拨款结转和结余0.00万元，</w:t>
      </w:r>
      <w:r>
        <w:rPr>
          <w:rFonts w:ascii="方正仿宋_GBK" w:hAnsi="方正仿宋_GBK" w:eastAsia="方正仿宋_GBK" w:cs="方正仿宋_GBK"/>
          <w:sz w:val="32"/>
          <w:szCs w:val="32"/>
        </w:rPr>
        <w:t>与2023年度相比，无增减，</w:t>
      </w:r>
      <w:r>
        <w:rPr>
          <w:rFonts w:hint="default" w:ascii="方正仿宋_GBK" w:hAnsi="方正仿宋_GBK" w:eastAsia="方正仿宋_GBK" w:cs="方正仿宋_GBK"/>
          <w:sz w:val="32"/>
          <w:szCs w:val="32"/>
        </w:rPr>
        <w:t>主要原因是本年收支平衡，无财政资金外的收支，故年末无结余。</w:t>
      </w:r>
    </w:p>
    <w:p>
      <w:pPr>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 xml:space="preserve"> 4.比较情况。本</w:t>
      </w:r>
      <w:r>
        <w:rPr>
          <w:rFonts w:ascii="方正仿宋_GBK" w:hAnsi="方正仿宋_GBK" w:eastAsia="方正仿宋_GBK" w:cs="方正仿宋_GBK"/>
          <w:sz w:val="32"/>
          <w:szCs w:val="32"/>
        </w:rPr>
        <w:t>单位</w:t>
      </w:r>
      <w:r>
        <w:rPr>
          <w:rFonts w:hint="default" w:ascii="方正仿宋_GBK" w:hAnsi="方正仿宋_GBK" w:eastAsia="方正仿宋_GBK" w:cs="方正仿宋_GBK"/>
          <w:sz w:val="32"/>
          <w:szCs w:val="32"/>
        </w:rPr>
        <w:t>2024年度一般公共预算财政拨款支出主要用于以下几个方面：</w:t>
      </w:r>
    </w:p>
    <w:p>
      <w:pPr>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（1）</w:t>
      </w:r>
      <w:r>
        <w:rPr>
          <w:rFonts w:ascii="方正仿宋_GBK" w:hAnsi="方正仿宋_GBK" w:eastAsia="方正仿宋_GBK" w:cs="方正仿宋_GBK"/>
          <w:sz w:val="32"/>
          <w:szCs w:val="32"/>
        </w:rPr>
        <w:t>一般公共服务支出</w:t>
      </w:r>
      <w:r>
        <w:rPr>
          <w:rFonts w:hint="default" w:ascii="方正仿宋_GBK" w:hAnsi="方正仿宋_GBK" w:eastAsia="方正仿宋_GBK" w:cs="方正仿宋_GBK"/>
          <w:sz w:val="32"/>
          <w:szCs w:val="32"/>
        </w:rPr>
        <w:t>74.93万元，占80.1%，较年初预算数增加1.33万元，增长1.8%，主要原因是本年度职工正常工资福利的增长，再加上本年度招商项目和侨属联谊活动有所增加，对应项目收支也有一定幅度增长。</w:t>
      </w:r>
    </w:p>
    <w:p>
      <w:pPr>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（2）</w:t>
      </w:r>
      <w:r>
        <w:rPr>
          <w:rFonts w:ascii="方正仿宋_GBK" w:hAnsi="方正仿宋_GBK" w:eastAsia="方正仿宋_GBK" w:cs="方正仿宋_GBK"/>
          <w:sz w:val="32"/>
          <w:szCs w:val="32"/>
        </w:rPr>
        <w:t>教育支出</w:t>
      </w:r>
      <w:r>
        <w:rPr>
          <w:rFonts w:hint="default" w:ascii="方正仿宋_GBK" w:hAnsi="方正仿宋_GBK" w:eastAsia="方正仿宋_GBK" w:cs="方正仿宋_GBK"/>
          <w:sz w:val="32"/>
          <w:szCs w:val="32"/>
        </w:rPr>
        <w:t>0.20万元，占0.2%，较年初预算数无增减，主要原因本</w:t>
      </w:r>
      <w:r>
        <w:rPr>
          <w:rFonts w:ascii="方正仿宋_GBK" w:hAnsi="方正仿宋_GBK" w:eastAsia="方正仿宋_GBK" w:cs="方正仿宋_GBK"/>
          <w:sz w:val="32"/>
          <w:szCs w:val="32"/>
        </w:rPr>
        <w:t>单位</w:t>
      </w:r>
      <w:r>
        <w:rPr>
          <w:rFonts w:hint="default" w:ascii="方正仿宋_GBK" w:hAnsi="方正仿宋_GBK" w:eastAsia="方正仿宋_GBK" w:cs="方正仿宋_GBK"/>
          <w:sz w:val="32"/>
          <w:szCs w:val="32"/>
        </w:rPr>
        <w:t>严格按年初预算执行。</w:t>
      </w:r>
    </w:p>
    <w:p>
      <w:pPr>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（3）</w:t>
      </w:r>
      <w:r>
        <w:rPr>
          <w:rFonts w:ascii="方正仿宋_GBK" w:hAnsi="方正仿宋_GBK" w:eastAsia="方正仿宋_GBK" w:cs="方正仿宋_GBK"/>
          <w:sz w:val="32"/>
          <w:szCs w:val="32"/>
        </w:rPr>
        <w:t>社会保障与就业支出9.58万元，占10.3%，较年初预算数增加0.75万元，增长8.5%，</w:t>
      </w:r>
      <w:r>
        <w:rPr>
          <w:rFonts w:hint="default" w:ascii="方正仿宋_GBK" w:hAnsi="方正仿宋_GBK" w:eastAsia="方正仿宋_GBK" w:cs="方正仿宋_GBK"/>
          <w:sz w:val="32"/>
          <w:szCs w:val="32"/>
        </w:rPr>
        <w:t>主要原因是政策性调资，社保缴费对应有所增长。</w:t>
      </w:r>
    </w:p>
    <w:p>
      <w:pPr>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（4）</w:t>
      </w:r>
      <w:r>
        <w:rPr>
          <w:rFonts w:ascii="方正仿宋_GBK" w:hAnsi="方正仿宋_GBK" w:eastAsia="方正仿宋_GBK" w:cs="方正仿宋_GBK"/>
          <w:sz w:val="32"/>
          <w:szCs w:val="32"/>
        </w:rPr>
        <w:t>卫生健康支出3.68万元，占3.9%，较年初预算数无增减，</w:t>
      </w:r>
      <w:r>
        <w:rPr>
          <w:rFonts w:hint="default" w:ascii="方正仿宋_GBK" w:hAnsi="方正仿宋_GBK" w:eastAsia="方正仿宋_GBK" w:cs="方正仿宋_GBK"/>
          <w:sz w:val="32"/>
          <w:szCs w:val="32"/>
        </w:rPr>
        <w:t>主要原因是本</w:t>
      </w:r>
      <w:r>
        <w:rPr>
          <w:rFonts w:ascii="方正仿宋_GBK" w:hAnsi="方正仿宋_GBK" w:eastAsia="方正仿宋_GBK" w:cs="方正仿宋_GBK"/>
          <w:sz w:val="32"/>
          <w:szCs w:val="32"/>
        </w:rPr>
        <w:t>单位</w:t>
      </w:r>
      <w:r>
        <w:rPr>
          <w:rFonts w:hint="default" w:ascii="方正仿宋_GBK" w:hAnsi="方正仿宋_GBK" w:eastAsia="方正仿宋_GBK" w:cs="方正仿宋_GBK"/>
          <w:sz w:val="32"/>
          <w:szCs w:val="32"/>
        </w:rPr>
        <w:t>严格按年初预算执行本年度医保缴费。</w:t>
      </w:r>
      <w:r>
        <w:rPr>
          <w:rFonts w:hint="default" w:ascii="Cambria" w:hAnsi="Cambria" w:eastAsia="方正仿宋_GBK" w:cs="Cambria"/>
          <w:sz w:val="32"/>
          <w:szCs w:val="32"/>
        </w:rPr>
        <w:t> </w:t>
      </w:r>
      <w:r>
        <w:rPr>
          <w:rFonts w:hint="default" w:ascii="方正仿宋_GBK" w:hAnsi="方正仿宋_GBK" w:eastAsia="方正仿宋_GBK" w:cs="方正仿宋_GBK"/>
          <w:sz w:val="32"/>
          <w:szCs w:val="32"/>
        </w:rPr>
        <w:t xml:space="preserve"> </w:t>
      </w:r>
    </w:p>
    <w:p>
      <w:pPr>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（5）</w:t>
      </w:r>
      <w:r>
        <w:rPr>
          <w:rFonts w:ascii="方正仿宋_GBK" w:hAnsi="方正仿宋_GBK" w:eastAsia="方正仿宋_GBK" w:cs="方正仿宋_GBK"/>
          <w:sz w:val="32"/>
          <w:szCs w:val="32"/>
        </w:rPr>
        <w:t>住房保障支出5.11万元，占5.5%，较年初预算数增加0.15万元，增长3.0%，</w:t>
      </w:r>
      <w:r>
        <w:rPr>
          <w:rFonts w:hint="default" w:ascii="方正仿宋_GBK" w:hAnsi="方正仿宋_GBK" w:eastAsia="方正仿宋_GBK" w:cs="方正仿宋_GBK"/>
          <w:sz w:val="32"/>
          <w:szCs w:val="32"/>
        </w:rPr>
        <w:t>主要原因是本年度政策性的调资因素，本</w:t>
      </w:r>
      <w:r>
        <w:rPr>
          <w:rFonts w:ascii="方正仿宋_GBK" w:hAnsi="方正仿宋_GBK" w:eastAsia="方正仿宋_GBK" w:cs="方正仿宋_GBK"/>
          <w:sz w:val="32"/>
          <w:szCs w:val="32"/>
        </w:rPr>
        <w:t>单位</w:t>
      </w:r>
      <w:r>
        <w:rPr>
          <w:rFonts w:hint="default" w:ascii="方正仿宋_GBK" w:hAnsi="方正仿宋_GBK" w:eastAsia="方正仿宋_GBK" w:cs="方正仿宋_GBK"/>
          <w:sz w:val="32"/>
          <w:szCs w:val="32"/>
        </w:rPr>
        <w:t>按全口径缴纳公积金，相应支出有一定增幅。</w:t>
      </w:r>
    </w:p>
    <w:p>
      <w:pPr>
        <w:spacing w:line="594" w:lineRule="exact"/>
        <w:ind w:firstLine="640" w:firstLineChars="200"/>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（四）一般公共预算财政拨款基本支出决算情况说明</w:t>
      </w:r>
    </w:p>
    <w:p>
      <w:pPr>
        <w:spacing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2024年度一般公共财政拨款基本支出77.71万元。其中：人员经费62.67万元，与2023年度相比，增加4.71万元，增长8.1%，主要原因是本年度政策性的调资因素，人员经费较上年有所增长。人员经费用途主要包括工资、津贴、奖金、社会保险、公积金、医疗、体检等方面的费用。公用经费15.04万元，与2023年度相比，增加1.44万元，增长10.6%，主要原因是正常公务活动较上年有所调增，对应的办公费，差旅费等公用开支会有所增加。公用经费用途主要包括办公费、差旅费、办公资产购置、福利费、工会经费、公务接待、租车、劳务费等费用开支。</w:t>
      </w:r>
    </w:p>
    <w:p>
      <w:pPr>
        <w:spacing w:line="594" w:lineRule="exact"/>
        <w:ind w:firstLine="640" w:firstLineChars="200"/>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（五）政府性基金预算收支决算情况说明</w:t>
      </w:r>
    </w:p>
    <w:p>
      <w:pPr>
        <w:spacing w:line="594" w:lineRule="exact"/>
        <w:ind w:firstLine="640" w:firstLineChars="200"/>
        <w:rPr>
          <w:rFonts w:hint="default" w:ascii="TimesNewRoman" w:hAnsi="TimesNewRoman" w:eastAsia="方正仿宋_GBK" w:cs="TimesNewRoman"/>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pPr>
        <w:spacing w:line="594" w:lineRule="exact"/>
        <w:ind w:firstLine="640" w:firstLineChars="200"/>
        <w:rPr>
          <w:rFonts w:hint="default" w:ascii="TimesNewRoman" w:hAnsi="TimesNewRoman" w:eastAsia="方正仿宋_GBK" w:cs="TimesNewRoman"/>
          <w:sz w:val="32"/>
          <w:szCs w:val="32"/>
        </w:rPr>
      </w:pPr>
      <w:r>
        <w:rPr>
          <w:rFonts w:ascii="方正楷体_GBK" w:hAnsi="方正楷体_GBK" w:eastAsia="方正楷体_GBK" w:cs="方正楷体_GBK"/>
          <w:sz w:val="32"/>
          <w:szCs w:val="32"/>
        </w:rPr>
        <w:t>（六）国有资本经营预算财政拨款支出决算情况说明</w:t>
      </w:r>
    </w:p>
    <w:p>
      <w:pPr>
        <w:spacing w:line="594" w:lineRule="exact"/>
        <w:ind w:firstLine="640" w:firstLineChars="200"/>
        <w:rPr>
          <w:rFonts w:hint="default" w:ascii="TimesNewRoman" w:hAnsi="TimesNewRoman" w:eastAsia="方正仿宋_GBK" w:cs="TimesNewRoman"/>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spacing w:line="594" w:lineRule="exact"/>
        <w:ind w:firstLine="640" w:firstLineChars="200"/>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三、</w:t>
      </w:r>
      <w:r>
        <w:rPr>
          <w:rFonts w:hint="eastAsia" w:ascii="TimesNewRoman" w:hAnsi="TimesNewRoman" w:eastAsia="方正黑体_GBK" w:cs="TimesNewRoman"/>
          <w:sz w:val="32"/>
          <w:szCs w:val="32"/>
          <w:lang w:eastAsia="zh-CN"/>
        </w:rPr>
        <w:t>三公</w:t>
      </w:r>
      <w:r>
        <w:rPr>
          <w:rFonts w:hint="default" w:ascii="TimesNewRoman" w:hAnsi="TimesNewRoman" w:eastAsia="方正黑体_GBK" w:cs="TimesNewRoman"/>
          <w:sz w:val="32"/>
          <w:szCs w:val="32"/>
        </w:rPr>
        <w:t>经费情况说明</w:t>
      </w:r>
    </w:p>
    <w:p>
      <w:pPr>
        <w:spacing w:line="594" w:lineRule="exact"/>
        <w:ind w:firstLine="640" w:firstLineChars="200"/>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 xml:space="preserve"> （一）</w:t>
      </w:r>
      <w:r>
        <w:rPr>
          <w:rFonts w:hint="eastAsia" w:ascii="TimesNewRoman" w:hAnsi="TimesNewRoman" w:eastAsia="方正楷体_GBK" w:cs="TimesNewRoman"/>
          <w:sz w:val="32"/>
          <w:szCs w:val="32"/>
          <w:lang w:eastAsia="zh-CN"/>
        </w:rPr>
        <w:t>三公</w:t>
      </w:r>
      <w:r>
        <w:rPr>
          <w:rFonts w:hint="default" w:ascii="TimesNewRoman" w:hAnsi="TimesNewRoman" w:eastAsia="方正楷体_GBK" w:cs="TimesNewRoman"/>
          <w:sz w:val="32"/>
          <w:szCs w:val="32"/>
        </w:rPr>
        <w:t>经费支出总体情况说明</w:t>
      </w:r>
    </w:p>
    <w:p>
      <w:pPr>
        <w:spacing w:line="594" w:lineRule="exact"/>
        <w:ind w:firstLine="640" w:firstLineChars="200"/>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三公</w:t>
      </w:r>
      <w:r>
        <w:rPr>
          <w:rFonts w:hint="default" w:ascii="方正仿宋_GBK" w:hAnsi="方正仿宋_GBK" w:eastAsia="方正仿宋_GBK" w:cs="方正仿宋_GBK"/>
          <w:sz w:val="32"/>
          <w:szCs w:val="32"/>
          <w:shd w:val="clear" w:color="auto" w:fill="FFFFFF"/>
        </w:rPr>
        <w:t>经费支出共计0.63万元，较年初预算数减少2.37万元，下降79.0%，主要原因是本年度公务接待较年初预算有较大幅度压缩。较上年支出数增加0.18万元，增长40.0%，主要原因是本年度公务接待频次较上年度有所增长。</w:t>
      </w:r>
    </w:p>
    <w:p>
      <w:pPr>
        <w:spacing w:line="594" w:lineRule="exact"/>
        <w:ind w:firstLine="640" w:firstLineChars="200"/>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（二）</w:t>
      </w:r>
      <w:r>
        <w:rPr>
          <w:rFonts w:hint="eastAsia" w:ascii="TimesNewRoman" w:hAnsi="TimesNewRoman" w:eastAsia="方正楷体_GBK" w:cs="TimesNewRoman"/>
          <w:sz w:val="32"/>
          <w:szCs w:val="32"/>
          <w:lang w:eastAsia="zh-CN"/>
        </w:rPr>
        <w:t>三公</w:t>
      </w:r>
      <w:r>
        <w:rPr>
          <w:rFonts w:hint="default" w:ascii="TimesNewRoman" w:hAnsi="TimesNewRoman" w:eastAsia="方正楷体_GBK" w:cs="TimesNewRoman"/>
          <w:sz w:val="32"/>
          <w:szCs w:val="32"/>
        </w:rPr>
        <w:t>经费分项支出情况</w:t>
      </w:r>
    </w:p>
    <w:p>
      <w:pPr>
        <w:spacing w:line="594" w:lineRule="exact"/>
        <w:ind w:firstLine="640" w:firstLineChars="200"/>
        <w:rPr>
          <w:rFonts w:hint="default" w:ascii="TimesNewRoman" w:hAnsi="TimesNewRoman" w:eastAsia="方正仿宋_GBK" w:cs="TimesNewRoman"/>
          <w:sz w:val="32"/>
          <w:szCs w:val="32"/>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spacing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xml:space="preserve"> </w:t>
      </w:r>
      <w:r>
        <w:rPr>
          <w:rFonts w:ascii="方正仿宋_GBK" w:hAnsi="方正仿宋_GBK" w:eastAsia="方正仿宋_GBK" w:cs="方正仿宋_GBK"/>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spacing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xml:space="preserve"> </w:t>
      </w:r>
      <w:r>
        <w:rPr>
          <w:rFonts w:ascii="方正仿宋_GBK" w:hAnsi="方正仿宋_GBK" w:eastAsia="方正仿宋_GBK" w:cs="方正仿宋_GBK"/>
          <w:sz w:val="32"/>
          <w:szCs w:val="32"/>
          <w:shd w:val="clear" w:color="auto" w:fill="FFFFFF"/>
        </w:rPr>
        <w:t>公务车运行维护费0.00万元。费用支出较年初预算数无增减，主要原因是年初预算未安排且本年未发生公务车运行维护费用。较上年支出数无增减，主要原因是上年和本年均未发生公务车运行维护费用。</w:t>
      </w:r>
    </w:p>
    <w:p>
      <w:pPr>
        <w:spacing w:line="594" w:lineRule="exact"/>
        <w:ind w:firstLine="640" w:firstLineChars="200"/>
        <w:rPr>
          <w:rFonts w:hint="default" w:ascii="方正仿宋_GBK" w:hAnsi="方正仿宋_GBK" w:eastAsia="方正仿宋_GBK" w:cs="方正仿宋_GBK"/>
          <w:sz w:val="32"/>
          <w:szCs w:val="32"/>
          <w:shd w:val="clear" w:color="auto" w:fill="FFFFFF"/>
        </w:rPr>
      </w:pPr>
      <w:r>
        <w:rPr>
          <w:rFonts w:hint="default" w:ascii="TimesNewRoman" w:hAnsi="TimesNewRoman" w:eastAsia="方正仿宋_GBK" w:cs="TimesNewRoman"/>
          <w:sz w:val="32"/>
          <w:szCs w:val="32"/>
        </w:rPr>
        <w:t> </w:t>
      </w:r>
      <w:r>
        <w:rPr>
          <w:rFonts w:hint="default" w:ascii="方正仿宋_GBK" w:hAnsi="方正仿宋_GBK" w:eastAsia="方正仿宋_GBK" w:cs="方正仿宋_GBK"/>
          <w:sz w:val="32"/>
          <w:szCs w:val="32"/>
          <w:shd w:val="clear" w:color="auto" w:fill="FFFFFF"/>
        </w:rPr>
        <w:t>公务接待费0.63万元，较年初预算数减少2.37万元，下降79.0%，主要原因是本年度公务接待较年初预算有较大幅度压缩。较上年支出数增加0.18万元，增长40.0%，主要原因是本年度公务接待频次较上年度有所增长。</w:t>
      </w:r>
    </w:p>
    <w:p>
      <w:pPr>
        <w:spacing w:line="594" w:lineRule="exact"/>
        <w:ind w:firstLine="640" w:firstLineChars="200"/>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（三）</w:t>
      </w:r>
      <w:r>
        <w:rPr>
          <w:rFonts w:hint="eastAsia" w:ascii="TimesNewRoman" w:hAnsi="TimesNewRoman" w:eastAsia="方正楷体_GBK" w:cs="TimesNewRoman"/>
          <w:sz w:val="32"/>
          <w:szCs w:val="32"/>
          <w:lang w:eastAsia="zh-CN"/>
        </w:rPr>
        <w:t>三公</w:t>
      </w:r>
      <w:r>
        <w:rPr>
          <w:rFonts w:hint="default" w:ascii="TimesNewRoman" w:hAnsi="TimesNewRoman" w:eastAsia="方正楷体_GBK" w:cs="TimesNewRoman"/>
          <w:sz w:val="32"/>
          <w:szCs w:val="32"/>
        </w:rPr>
        <w:t>经费实物量情况</w:t>
      </w:r>
    </w:p>
    <w:p>
      <w:pPr>
        <w:spacing w:line="594" w:lineRule="exact"/>
        <w:ind w:firstLine="640" w:firstLineChars="200"/>
        <w:rPr>
          <w:rFonts w:hint="default" w:ascii="方正仿宋_GBK" w:hAnsi="方正仿宋_GBK" w:eastAsia="方正仿宋_GBK" w:cs="方正仿宋_GBK"/>
          <w:sz w:val="32"/>
          <w:szCs w:val="32"/>
          <w:shd w:val="clear" w:color="auto" w:fill="FFFFFF"/>
        </w:rPr>
      </w:pPr>
      <w:r>
        <w:rPr>
          <w:rFonts w:hint="default" w:ascii="TimesNewRoman" w:hAnsi="TimesNewRoman" w:eastAsia="方正仿宋_GBK" w:cs="TimesNewRoman"/>
          <w:sz w:val="32"/>
          <w:szCs w:val="32"/>
        </w:rPr>
        <w:t> </w:t>
      </w:r>
      <w:r>
        <w:rPr>
          <w:rFonts w:hint="default" w:ascii="方正仿宋_GBK" w:hAnsi="方正仿宋_GBK" w:eastAsia="方正仿宋_GBK" w:cs="方正仿宋_GBK"/>
          <w:sz w:val="32"/>
          <w:szCs w:val="32"/>
          <w:shd w:val="clear" w:color="auto" w:fill="FFFFFF"/>
        </w:rPr>
        <w:t xml:space="preserve"> 2024年度本</w:t>
      </w:r>
      <w:r>
        <w:rPr>
          <w:rFonts w:ascii="方正仿宋_GBK" w:hAnsi="方正仿宋_GBK" w:eastAsia="方正仿宋_GBK" w:cs="方正仿宋_GBK"/>
          <w:sz w:val="32"/>
          <w:szCs w:val="32"/>
          <w:shd w:val="clear" w:color="auto" w:fill="FFFFFF"/>
        </w:rPr>
        <w:t>单位</w:t>
      </w:r>
      <w:r>
        <w:rPr>
          <w:rFonts w:hint="default" w:ascii="方正仿宋_GBK" w:hAnsi="方正仿宋_GBK" w:eastAsia="方正仿宋_GBK" w:cs="方正仿宋_GBK"/>
          <w:sz w:val="32"/>
          <w:szCs w:val="32"/>
          <w:shd w:val="clear" w:color="auto" w:fill="FFFFFF"/>
        </w:rPr>
        <w:t>因公出国（境）共计0个团组，0人；公务用车购置0辆，公务车保有量为0辆；国内公务接待8批次65人，其中：国内外事接待0批次，0人；国（境）外公务接待0批次，0人。2024年本</w:t>
      </w:r>
      <w:r>
        <w:rPr>
          <w:rFonts w:ascii="方正仿宋_GBK" w:hAnsi="方正仿宋_GBK" w:eastAsia="方正仿宋_GBK" w:cs="方正仿宋_GBK"/>
          <w:sz w:val="32"/>
          <w:szCs w:val="32"/>
          <w:shd w:val="clear" w:color="auto" w:fill="FFFFFF"/>
        </w:rPr>
        <w:t>单位</w:t>
      </w:r>
      <w:r>
        <w:rPr>
          <w:rFonts w:hint="default" w:ascii="方正仿宋_GBK" w:hAnsi="方正仿宋_GBK" w:eastAsia="方正仿宋_GBK" w:cs="方正仿宋_GBK"/>
          <w:sz w:val="32"/>
          <w:szCs w:val="32"/>
          <w:shd w:val="clear" w:color="auto" w:fill="FFFFFF"/>
        </w:rPr>
        <w:t>人均接待费</w:t>
      </w:r>
      <w:r>
        <w:rPr>
          <w:rFonts w:ascii="方正仿宋_GBK" w:hAnsi="方正仿宋_GBK" w:eastAsia="方正仿宋_GBK" w:cs="方正仿宋_GBK"/>
          <w:sz w:val="32"/>
          <w:szCs w:val="32"/>
          <w:shd w:val="clear" w:color="auto" w:fill="FFFFFF"/>
        </w:rPr>
        <w:t>96.54</w:t>
      </w:r>
      <w:r>
        <w:rPr>
          <w:rFonts w:hint="default" w:ascii="方正仿宋_GBK" w:hAnsi="方正仿宋_GBK" w:eastAsia="方正仿宋_GBK" w:cs="方正仿宋_GBK"/>
          <w:sz w:val="32"/>
          <w:szCs w:val="32"/>
          <w:shd w:val="clear" w:color="auto" w:fill="FFFFFF"/>
        </w:rPr>
        <w:t>元，车均购置费0万元，车均维护费0万元。</w:t>
      </w:r>
    </w:p>
    <w:p>
      <w:pPr>
        <w:spacing w:line="594" w:lineRule="exact"/>
        <w:ind w:firstLine="640" w:firstLineChars="200"/>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四、其他需要说明的事项</w:t>
      </w:r>
    </w:p>
    <w:p>
      <w:pPr>
        <w:spacing w:line="594" w:lineRule="exact"/>
        <w:ind w:firstLine="640" w:firstLineChars="200"/>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  （一）财政拨款会议费和培训费情况说明</w:t>
      </w:r>
    </w:p>
    <w:p>
      <w:pPr>
        <w:spacing w:line="594" w:lineRule="exact"/>
        <w:ind w:firstLine="640" w:firstLineChars="200"/>
        <w:rPr>
          <w:rFonts w:hint="default" w:ascii="方正仿宋_GBK" w:hAnsi="方正仿宋_GBK" w:eastAsia="方正仿宋_GBK" w:cs="方正仿宋_GBK"/>
          <w:sz w:val="32"/>
          <w:szCs w:val="32"/>
          <w:shd w:val="clear" w:color="auto" w:fill="FFFFFF"/>
        </w:rPr>
      </w:pPr>
      <w:r>
        <w:rPr>
          <w:rFonts w:hint="default" w:ascii="TimesNewRoman" w:hAnsi="TimesNewRoman" w:eastAsia="方正仿宋_GBK" w:cs="TimesNewRoman"/>
          <w:sz w:val="32"/>
          <w:szCs w:val="32"/>
        </w:rPr>
        <w:t xml:space="preserve">  </w:t>
      </w:r>
      <w:r>
        <w:rPr>
          <w:rFonts w:hint="default" w:ascii="方正仿宋_GBK" w:hAnsi="方正仿宋_GBK" w:eastAsia="方正仿宋_GBK" w:cs="方正仿宋_GBK"/>
          <w:sz w:val="32"/>
          <w:szCs w:val="32"/>
          <w:shd w:val="clear" w:color="auto" w:fill="FFFFFF"/>
        </w:rPr>
        <w:t>本年度会议费支出0.16万元，与2023年度相比，增加0.16万元，增长100.0%，主要原因是上年度没有会议费用开支。本年度培训费支出0.97万元，与2023年度相比，增加0.51万元，增长110.9%，主要原因是本年对</w:t>
      </w:r>
      <w:r>
        <w:rPr>
          <w:rFonts w:ascii="方正仿宋_GBK" w:hAnsi="方正仿宋_GBK" w:eastAsia="方正仿宋_GBK" w:cs="方正仿宋_GBK"/>
          <w:sz w:val="32"/>
          <w:szCs w:val="32"/>
          <w:shd w:val="clear" w:color="auto" w:fill="FFFFFF"/>
        </w:rPr>
        <w:t>侨眷属开展英语口语培训</w:t>
      </w:r>
      <w:r>
        <w:rPr>
          <w:rFonts w:hint="default" w:ascii="方正仿宋_GBK" w:hAnsi="方正仿宋_GBK" w:eastAsia="方正仿宋_GBK" w:cs="方正仿宋_GBK"/>
          <w:sz w:val="32"/>
          <w:szCs w:val="32"/>
          <w:shd w:val="clear" w:color="auto" w:fill="FFFFFF"/>
        </w:rPr>
        <w:t>。</w:t>
      </w:r>
    </w:p>
    <w:p>
      <w:pPr>
        <w:spacing w:line="594" w:lineRule="exact"/>
        <w:ind w:firstLine="640" w:firstLineChars="200"/>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（二）机关运行经费情况说明</w:t>
      </w:r>
    </w:p>
    <w:p>
      <w:pPr>
        <w:spacing w:line="594" w:lineRule="exact"/>
        <w:ind w:firstLine="640" w:firstLineChars="200"/>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2024年度本</w:t>
      </w:r>
      <w:r>
        <w:rPr>
          <w:rFonts w:ascii="方正仿宋_GBK" w:hAnsi="方正仿宋_GBK" w:eastAsia="方正仿宋_GBK" w:cs="方正仿宋_GBK"/>
          <w:sz w:val="32"/>
          <w:szCs w:val="32"/>
          <w:shd w:val="clear" w:color="auto" w:fill="FFFFFF"/>
        </w:rPr>
        <w:t>单位</w:t>
      </w:r>
      <w:r>
        <w:rPr>
          <w:rFonts w:hint="default" w:ascii="方正仿宋_GBK" w:hAnsi="方正仿宋_GBK" w:eastAsia="方正仿宋_GBK" w:cs="方正仿宋_GBK"/>
          <w:sz w:val="32"/>
          <w:szCs w:val="32"/>
          <w:shd w:val="clear" w:color="auto" w:fill="FFFFFF"/>
        </w:rPr>
        <w:t>机关运行经费支出15.04万元，机关运行经费主要用于开支办公费、差旅费、办公资产购置、福利费、工会经费、公务接待、租车、劳务费等费用。机关运行经费较上年支出数增加1.44万元，增长10.6%，主要原因是本年度公务活动频次有所增加，运行经费较上年有所增长。</w:t>
      </w:r>
    </w:p>
    <w:p>
      <w:pPr>
        <w:spacing w:line="594" w:lineRule="exact"/>
        <w:ind w:firstLine="640" w:firstLineChars="200"/>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（三）国有资产占用情况说明</w:t>
      </w:r>
    </w:p>
    <w:p>
      <w:pPr>
        <w:spacing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xml:space="preserve">  </w:t>
      </w:r>
      <w:r>
        <w:rPr>
          <w:rFonts w:hint="default" w:ascii="方正仿宋_GBK" w:hAnsi="方正仿宋_GBK" w:eastAsia="方正仿宋_GBK" w:cs="方正仿宋_GBK"/>
          <w:sz w:val="32"/>
          <w:szCs w:val="32"/>
          <w:shd w:val="clear" w:color="auto" w:fill="FFFFFF"/>
        </w:rPr>
        <w:t>截至2024年12月31日，本</w:t>
      </w:r>
      <w:r>
        <w:rPr>
          <w:rFonts w:ascii="方正仿宋_GBK" w:hAnsi="方正仿宋_GBK" w:eastAsia="方正仿宋_GBK" w:cs="方正仿宋_GBK"/>
          <w:sz w:val="32"/>
          <w:szCs w:val="32"/>
          <w:shd w:val="clear" w:color="auto" w:fill="FFFFFF"/>
        </w:rPr>
        <w:t>单位</w:t>
      </w:r>
      <w:r>
        <w:rPr>
          <w:rFonts w:hint="default" w:ascii="方正仿宋_GBK" w:hAnsi="方正仿宋_GBK" w:eastAsia="方正仿宋_GBK" w:cs="方正仿宋_GBK"/>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spacing w:line="594" w:lineRule="exact"/>
        <w:ind w:firstLine="640" w:firstLineChars="200"/>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（四）政府采购支出情况说明</w:t>
      </w:r>
    </w:p>
    <w:p>
      <w:pPr>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spacing w:line="594" w:lineRule="exact"/>
        <w:ind w:firstLine="640" w:firstLineChars="200"/>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五、预算绩效管理情况说明</w:t>
      </w:r>
    </w:p>
    <w:p>
      <w:pPr>
        <w:spacing w:line="594" w:lineRule="exact"/>
        <w:ind w:firstLine="640" w:firstLineChars="200"/>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（一）</w:t>
      </w:r>
      <w:r>
        <w:rPr>
          <w:rFonts w:ascii="TimesNewRoman" w:hAnsi="TimesNewRoman" w:eastAsia="方正楷体_GBK" w:cs="TimesNewRoman"/>
          <w:sz w:val="32"/>
          <w:szCs w:val="32"/>
        </w:rPr>
        <w:t>单位</w:t>
      </w:r>
      <w:r>
        <w:rPr>
          <w:rFonts w:hint="default" w:ascii="TimesNewRoman" w:hAnsi="TimesNewRoman" w:eastAsia="方正楷体_GBK" w:cs="TimesNewRoman"/>
          <w:sz w:val="32"/>
          <w:szCs w:val="32"/>
        </w:rPr>
        <w:t>自评情况</w:t>
      </w:r>
    </w:p>
    <w:p>
      <w:pPr>
        <w:pStyle w:val="12"/>
        <w:autoSpaceDE w:val="0"/>
        <w:spacing w:before="0" w:beforeAutospacing="0" w:line="600" w:lineRule="exact"/>
        <w:ind w:firstLine="640" w:firstLineChars="200"/>
        <w:rPr>
          <w:rFonts w:ascii="TimesNewRoman" w:hAnsi="TimesNewRoman" w:eastAsia="方正仿宋_GBK" w:cs="TimesNewRoman"/>
          <w:sz w:val="32"/>
          <w:szCs w:val="32"/>
          <w:shd w:val="clear" w:color="auto" w:fill="FFFFFF"/>
        </w:rPr>
      </w:pPr>
      <w:r>
        <w:rPr>
          <w:rFonts w:ascii="TimesNewRoman" w:hAnsi="TimesNewRoman" w:eastAsia="方正仿宋_GBK" w:cs="TimesNewRoman"/>
          <w:sz w:val="32"/>
          <w:szCs w:val="32"/>
          <w:shd w:val="clear" w:color="auto" w:fill="FFFFFF"/>
        </w:rPr>
        <w:t>根据预算绩效管理要求，我</w:t>
      </w:r>
      <w:r>
        <w:rPr>
          <w:rFonts w:hint="eastAsia" w:ascii="TimesNewRoman" w:hAnsi="TimesNewRoman" w:eastAsia="方正仿宋_GBK" w:cs="TimesNewRoman"/>
          <w:sz w:val="32"/>
          <w:szCs w:val="32"/>
          <w:shd w:val="clear" w:color="auto" w:fill="FFFFFF"/>
        </w:rPr>
        <w:t>单位</w:t>
      </w:r>
      <w:r>
        <w:rPr>
          <w:rFonts w:ascii="TimesNewRoman" w:hAnsi="TimesNewRoman" w:eastAsia="方正仿宋_GBK" w:cs="TimesNewRoman"/>
          <w:sz w:val="32"/>
          <w:szCs w:val="32"/>
          <w:shd w:val="clear" w:color="auto" w:fill="FFFFFF"/>
        </w:rPr>
        <w:t>对3个二级项目开展了绩效自评，涉及财政拨款项目支出资金15.8万元。</w:t>
      </w:r>
    </w:p>
    <w:p>
      <w:pPr>
        <w:pStyle w:val="12"/>
        <w:autoSpaceDE w:val="0"/>
        <w:spacing w:before="0" w:beforeAutospacing="0"/>
        <w:rPr>
          <w:rFonts w:ascii="TimesNewRoman" w:hAnsi="TimesNewRoman" w:eastAsia="方正仿宋_GBK" w:cs="TimesNewRoman"/>
          <w:sz w:val="32"/>
          <w:szCs w:val="32"/>
          <w:shd w:val="clear" w:color="auto" w:fill="FFFFFF"/>
        </w:rPr>
      </w:pPr>
    </w:p>
    <w:p>
      <w:pPr>
        <w:pStyle w:val="12"/>
        <w:autoSpaceDE w:val="0"/>
        <w:spacing w:before="0" w:beforeAutospacing="0"/>
        <w:rPr>
          <w:rFonts w:ascii="TimesNewRoman" w:hAnsi="TimesNewRoman" w:eastAsia="方正仿宋_GBK" w:cs="TimesNewRoman"/>
          <w:sz w:val="32"/>
          <w:szCs w:val="32"/>
          <w:shd w:val="clear" w:color="auto" w:fill="FFFFFF"/>
        </w:rPr>
      </w:pPr>
      <w:r>
        <w:rPr>
          <w:rFonts w:ascii="TimesNewRoman" w:hAnsi="TimesNewRoman" w:eastAsia="方正仿宋_GBK" w:cs="TimesNewRoman"/>
          <w:sz w:val="32"/>
          <w:szCs w:val="32"/>
          <w:shd w:val="clear" w:color="auto" w:fill="FFFFFF"/>
        </w:rPr>
        <w:drawing>
          <wp:inline distT="0" distB="0" distL="114300" distR="114300">
            <wp:extent cx="5489575" cy="3062605"/>
            <wp:effectExtent l="0" t="0" r="15875" b="4445"/>
            <wp:docPr id="2" name="图片 2" descr="f5af82f9e95e238b287d4dafb617df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5af82f9e95e238b287d4dafb617dfb1"/>
                    <pic:cNvPicPr>
                      <a:picLocks noChangeAspect="1"/>
                    </pic:cNvPicPr>
                  </pic:nvPicPr>
                  <pic:blipFill>
                    <a:blip r:embed="rId8"/>
                    <a:stretch>
                      <a:fillRect/>
                    </a:stretch>
                  </pic:blipFill>
                  <pic:spPr>
                    <a:xfrm>
                      <a:off x="0" y="0"/>
                      <a:ext cx="5489575" cy="3062605"/>
                    </a:xfrm>
                    <a:prstGeom prst="rect">
                      <a:avLst/>
                    </a:prstGeom>
                  </pic:spPr>
                </pic:pic>
              </a:graphicData>
            </a:graphic>
          </wp:inline>
        </w:drawing>
      </w:r>
    </w:p>
    <w:p>
      <w:pPr>
        <w:pStyle w:val="12"/>
        <w:autoSpaceDE w:val="0"/>
        <w:spacing w:before="0" w:beforeAutospacing="0"/>
        <w:ind w:firstLine="640" w:firstLineChars="200"/>
        <w:rPr>
          <w:rFonts w:ascii="TimesNewRoman" w:hAnsi="TimesNewRoman" w:eastAsia="方正仿宋_GBK" w:cs="TimesNewRoman"/>
          <w:sz w:val="32"/>
          <w:szCs w:val="32"/>
          <w:shd w:val="clear" w:color="auto" w:fill="FFFFFF"/>
        </w:rPr>
      </w:pPr>
    </w:p>
    <w:p>
      <w:pPr>
        <w:pStyle w:val="12"/>
        <w:autoSpaceDE w:val="0"/>
        <w:spacing w:before="0" w:beforeAutospacing="0"/>
        <w:rPr>
          <w:rFonts w:ascii="TimesNewRoman" w:hAnsi="TimesNewRoman" w:eastAsia="方正仿宋_GBK" w:cs="TimesNewRoman"/>
          <w:sz w:val="32"/>
          <w:szCs w:val="32"/>
          <w:shd w:val="clear" w:color="auto" w:fill="FFFFFF"/>
        </w:rPr>
      </w:pPr>
      <w:r>
        <w:rPr>
          <w:rFonts w:ascii="TimesNewRoman" w:hAnsi="TimesNewRoman" w:eastAsia="方正仿宋_GBK" w:cs="TimesNewRoman"/>
          <w:sz w:val="32"/>
          <w:szCs w:val="32"/>
          <w:shd w:val="clear" w:color="auto" w:fill="FFFFFF"/>
        </w:rPr>
        <w:drawing>
          <wp:inline distT="0" distB="0" distL="114300" distR="114300">
            <wp:extent cx="5278755" cy="2945130"/>
            <wp:effectExtent l="0" t="0" r="17145" b="7620"/>
            <wp:docPr id="5" name="图片 5" descr="d1d02b71efa2bbd63bff13cd4749ad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1d02b71efa2bbd63bff13cd4749add9"/>
                    <pic:cNvPicPr>
                      <a:picLocks noChangeAspect="1"/>
                    </pic:cNvPicPr>
                  </pic:nvPicPr>
                  <pic:blipFill>
                    <a:blip r:embed="rId9"/>
                    <a:stretch>
                      <a:fillRect/>
                    </a:stretch>
                  </pic:blipFill>
                  <pic:spPr>
                    <a:xfrm>
                      <a:off x="0" y="0"/>
                      <a:ext cx="5278755" cy="2945130"/>
                    </a:xfrm>
                    <a:prstGeom prst="rect">
                      <a:avLst/>
                    </a:prstGeom>
                  </pic:spPr>
                </pic:pic>
              </a:graphicData>
            </a:graphic>
          </wp:inline>
        </w:drawing>
      </w:r>
    </w:p>
    <w:p>
      <w:pPr>
        <w:pStyle w:val="12"/>
        <w:autoSpaceDE w:val="0"/>
        <w:spacing w:before="0" w:beforeAutospacing="0" w:after="0" w:afterAutospacing="0"/>
        <w:rPr>
          <w:rFonts w:ascii="TimesNewRoman" w:hAnsi="TimesNewRoman" w:eastAsia="方正仿宋_GBK" w:cs="TimesNewRoman"/>
          <w:sz w:val="32"/>
          <w:szCs w:val="32"/>
          <w:shd w:val="clear" w:color="auto" w:fill="FFFFFF"/>
        </w:rPr>
      </w:pPr>
      <w:r>
        <w:rPr>
          <w:rFonts w:ascii="TimesNewRoman" w:hAnsi="TimesNewRoman" w:eastAsia="方正仿宋_GBK" w:cs="TimesNewRoman"/>
          <w:sz w:val="32"/>
          <w:szCs w:val="32"/>
          <w:shd w:val="clear" w:color="auto" w:fill="FFFFFF"/>
        </w:rPr>
        <w:drawing>
          <wp:inline distT="0" distB="0" distL="114300" distR="114300">
            <wp:extent cx="5278755" cy="2945130"/>
            <wp:effectExtent l="0" t="0" r="17145" b="7620"/>
            <wp:docPr id="6" name="图片 6" descr="4a6e187ff5e43cebac3214bf30dad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a6e187ff5e43cebac3214bf30dad996"/>
                    <pic:cNvPicPr>
                      <a:picLocks noChangeAspect="1"/>
                    </pic:cNvPicPr>
                  </pic:nvPicPr>
                  <pic:blipFill>
                    <a:blip r:embed="rId10"/>
                    <a:stretch>
                      <a:fillRect/>
                    </a:stretch>
                  </pic:blipFill>
                  <pic:spPr>
                    <a:xfrm>
                      <a:off x="0" y="0"/>
                      <a:ext cx="5278755" cy="2945130"/>
                    </a:xfrm>
                    <a:prstGeom prst="rect">
                      <a:avLst/>
                    </a:prstGeom>
                  </pic:spPr>
                </pic:pic>
              </a:graphicData>
            </a:graphic>
          </wp:inline>
        </w:drawing>
      </w:r>
    </w:p>
    <w:p>
      <w:pPr>
        <w:spacing w:line="594" w:lineRule="exact"/>
        <w:ind w:firstLine="640" w:firstLineChars="200"/>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（二）</w:t>
      </w:r>
      <w:r>
        <w:rPr>
          <w:rFonts w:ascii="TimesNewRoman" w:hAnsi="TimesNewRoman" w:eastAsia="方正楷体_GBK" w:cs="TimesNewRoman"/>
          <w:sz w:val="32"/>
          <w:szCs w:val="32"/>
        </w:rPr>
        <w:t>单位</w:t>
      </w:r>
      <w:r>
        <w:rPr>
          <w:rFonts w:hint="default" w:ascii="TimesNewRoman" w:hAnsi="TimesNewRoman" w:eastAsia="方正楷体_GBK" w:cs="TimesNewRoman"/>
          <w:sz w:val="32"/>
          <w:szCs w:val="32"/>
        </w:rPr>
        <w:t>绩效评价情况</w:t>
      </w:r>
    </w:p>
    <w:p>
      <w:pPr>
        <w:spacing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我单位未组织开展绩效评价。</w:t>
      </w:r>
    </w:p>
    <w:p>
      <w:pPr>
        <w:spacing w:line="594" w:lineRule="exact"/>
        <w:ind w:firstLine="640" w:firstLineChars="200"/>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（三）财政绩效评价情况</w:t>
      </w:r>
    </w:p>
    <w:p>
      <w:pPr>
        <w:spacing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县财政局未委托第三方对我单位开展绩效评价。</w:t>
      </w:r>
    </w:p>
    <w:p>
      <w:pPr>
        <w:pStyle w:val="6"/>
        <w:keepLines/>
        <w:shd w:val="clear" w:color="auto" w:fill="FFFFFF"/>
        <w:spacing w:line="594" w:lineRule="exact"/>
        <w:rPr>
          <w:rStyle w:val="10"/>
          <w:rFonts w:hint="default" w:ascii="TimesNewRoman" w:hAnsi="TimesNewRoman" w:eastAsia="方正仿宋_GBK" w:cs="TimesNewRoman"/>
          <w:sz w:val="32"/>
          <w:szCs w:val="32"/>
          <w:shd w:val="clear" w:color="auto" w:fill="FFFFFF"/>
        </w:rPr>
      </w:pPr>
      <w:r>
        <w:rPr>
          <w:rStyle w:val="10"/>
          <w:rFonts w:hint="default" w:ascii="TimesNewRoman" w:hAnsi="TimesNewRoman" w:eastAsia="方正仿宋_GBK" w:cs="TimesNewRoman"/>
          <w:sz w:val="32"/>
          <w:szCs w:val="32"/>
          <w:shd w:val="clear" w:color="auto" w:fill="FFFFFF"/>
        </w:rPr>
        <w:t xml:space="preserve">  </w:t>
      </w:r>
      <w:r>
        <w:rPr>
          <w:rStyle w:val="10"/>
          <w:rFonts w:hint="default" w:ascii="TimesNewRoman" w:hAnsi="TimesNewRoman" w:eastAsia="黑体" w:cs="TimesNewRoman"/>
          <w:sz w:val="32"/>
          <w:szCs w:val="32"/>
          <w:shd w:val="clear" w:color="auto" w:fill="FFFFFF"/>
        </w:rPr>
        <w:t>六、专业名词解释</w:t>
      </w:r>
    </w:p>
    <w:p>
      <w:pPr>
        <w:pStyle w:val="6"/>
        <w:widowControl w:val="0"/>
        <w:spacing w:before="0" w:beforeAutospacing="0" w:after="0" w:afterAutospacing="0" w:line="594" w:lineRule="exact"/>
        <w:ind w:firstLine="643" w:firstLineChars="200"/>
        <w:rPr>
          <w:rFonts w:hint="default" w:ascii="TimesNewRoman" w:hAnsi="TimesNewRoman" w:eastAsia="方正仿宋_GBK" w:cs="TimesNewRoman"/>
          <w:sz w:val="32"/>
          <w:szCs w:val="32"/>
        </w:rPr>
      </w:pPr>
      <w:r>
        <w:rPr>
          <w:rFonts w:hint="default" w:ascii="TimesNewRoman" w:hAnsi="TimesNewRoman" w:eastAsia="方正仿宋_GBK" w:cs="TimesNewRoman"/>
          <w:b/>
          <w:bCs/>
          <w:sz w:val="32"/>
          <w:szCs w:val="32"/>
          <w:shd w:val="clear" w:color="auto" w:fill="FFFFFF"/>
        </w:rPr>
        <w:t> </w:t>
      </w:r>
      <w:r>
        <w:rPr>
          <w:rFonts w:hint="default" w:ascii="TimesNewRoman" w:hAnsi="TimesNewRoman" w:eastAsia="方正楷体_GBK" w:cs="TimesNewRoman"/>
          <w:sz w:val="32"/>
          <w:szCs w:val="32"/>
        </w:rPr>
        <w:t>（一）财政拨款收入：</w:t>
      </w:r>
      <w:r>
        <w:rPr>
          <w:rFonts w:hint="default" w:ascii="TimesNewRoman" w:hAnsi="TimesNewRoman" w:eastAsia="方正仿宋_GBK" w:cs="TimesNewRoman"/>
          <w:sz w:val="32"/>
          <w:szCs w:val="32"/>
          <w:shd w:val="clear" w:color="auto" w:fill="FFFFFF"/>
        </w:rPr>
        <w:t>指本年度从本级财政</w:t>
      </w:r>
      <w:r>
        <w:rPr>
          <w:rFonts w:ascii="TimesNewRoman" w:hAnsi="TimesNewRoman" w:eastAsia="方正仿宋_GBK" w:cs="TimesNewRoman"/>
          <w:sz w:val="32"/>
          <w:szCs w:val="32"/>
          <w:shd w:val="clear" w:color="auto" w:fill="FFFFFF"/>
        </w:rPr>
        <w:t>单位</w:t>
      </w:r>
      <w:r>
        <w:rPr>
          <w:rFonts w:hint="default" w:ascii="TimesNewRoman" w:hAnsi="TimesNewRoman" w:eastAsia="方正仿宋_GBK" w:cs="TimesNewRoman"/>
          <w:sz w:val="32"/>
          <w:szCs w:val="32"/>
          <w:shd w:val="clear" w:color="auto" w:fill="FFFFFF"/>
        </w:rPr>
        <w:t>取得的财政拨款，包括一般公共预算财政拨款和政府性基金预算财政拨款。</w:t>
      </w:r>
    </w:p>
    <w:p>
      <w:pPr>
        <w:pStyle w:val="6"/>
        <w:widowControl w:val="0"/>
        <w:spacing w:before="0" w:beforeAutospacing="0" w:after="0" w:afterAutospacing="0" w:line="594" w:lineRule="exact"/>
        <w:ind w:firstLine="643" w:firstLineChars="200"/>
        <w:rPr>
          <w:rFonts w:hint="default" w:ascii="TimesNewRoman" w:hAnsi="TimesNewRoman" w:eastAsia="方正仿宋_GBK" w:cs="TimesNewRoman"/>
          <w:sz w:val="32"/>
          <w:szCs w:val="32"/>
        </w:rPr>
      </w:pPr>
      <w:r>
        <w:rPr>
          <w:rStyle w:val="10"/>
          <w:rFonts w:hint="default" w:ascii="TimesNewRoman" w:hAnsi="TimesNewRoman" w:eastAsia="方正仿宋_GBK" w:cs="TimesNewRoman"/>
          <w:sz w:val="32"/>
          <w:szCs w:val="32"/>
          <w:shd w:val="clear" w:color="auto" w:fill="FFFFFF"/>
        </w:rPr>
        <w:t> </w:t>
      </w:r>
      <w:r>
        <w:rPr>
          <w:rFonts w:hint="default" w:ascii="TimesNewRoman" w:hAnsi="TimesNewRoman" w:eastAsia="方正楷体_GBK" w:cs="TimesNewRoman"/>
          <w:sz w:val="32"/>
          <w:szCs w:val="32"/>
        </w:rPr>
        <w:t>（二）事业收入：</w:t>
      </w:r>
      <w:r>
        <w:rPr>
          <w:rFonts w:hint="default" w:ascii="TimesNewRoman" w:hAnsi="TimesNewRoman" w:eastAsia="方正仿宋_GBK" w:cs="TimesNewRoman"/>
          <w:sz w:val="32"/>
          <w:szCs w:val="32"/>
          <w:shd w:val="clear" w:color="auto" w:fill="FFFFFF"/>
        </w:rPr>
        <w:t>指事业</w:t>
      </w:r>
      <w:r>
        <w:rPr>
          <w:rFonts w:ascii="TimesNewRoman" w:hAnsi="TimesNewRoman" w:eastAsia="方正仿宋_GBK" w:cs="TimesNewRoman"/>
          <w:sz w:val="32"/>
          <w:szCs w:val="32"/>
          <w:shd w:val="clear" w:color="auto" w:fill="FFFFFF"/>
        </w:rPr>
        <w:t>单位</w:t>
      </w:r>
      <w:r>
        <w:rPr>
          <w:rFonts w:hint="default" w:ascii="TimesNewRoman" w:hAnsi="TimesNewRoman" w:eastAsia="方正仿宋_GBK" w:cs="TimesNewRoman"/>
          <w:sz w:val="32"/>
          <w:szCs w:val="32"/>
          <w:shd w:val="clear" w:color="auto" w:fill="FFFFFF"/>
        </w:rPr>
        <w:t>开展专业业务活动及其辅助活动取得的现金流入；事业</w:t>
      </w:r>
      <w:r>
        <w:rPr>
          <w:rFonts w:ascii="TimesNewRoman" w:hAnsi="TimesNewRoman" w:eastAsia="方正仿宋_GBK" w:cs="TimesNewRoman"/>
          <w:sz w:val="32"/>
          <w:szCs w:val="32"/>
          <w:shd w:val="clear" w:color="auto" w:fill="FFFFFF"/>
        </w:rPr>
        <w:t>单位</w:t>
      </w:r>
      <w:r>
        <w:rPr>
          <w:rFonts w:hint="default" w:ascii="TimesNewRoman" w:hAnsi="TimesNewRoman" w:eastAsia="方正仿宋_GBK" w:cs="TimesNewRoman"/>
          <w:sz w:val="32"/>
          <w:szCs w:val="32"/>
          <w:shd w:val="clear" w:color="auto" w:fill="FFFFFF"/>
        </w:rPr>
        <w:t>收到的财政专户实际核拨的教育收费等资金在此反映。</w:t>
      </w:r>
    </w:p>
    <w:p>
      <w:pPr>
        <w:pStyle w:val="6"/>
        <w:widowControl w:val="0"/>
        <w:spacing w:before="0" w:beforeAutospacing="0" w:after="0" w:afterAutospacing="0"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楷体_GBK" w:cs="TimesNewRoman"/>
          <w:sz w:val="32"/>
          <w:szCs w:val="32"/>
        </w:rPr>
        <w:t> （三）经营收入：</w:t>
      </w:r>
      <w:r>
        <w:rPr>
          <w:rFonts w:hint="default" w:ascii="TimesNewRoman" w:hAnsi="TimesNewRoman" w:eastAsia="方正仿宋_GBK" w:cs="TimesNewRoman"/>
          <w:sz w:val="32"/>
          <w:szCs w:val="32"/>
          <w:shd w:val="clear" w:color="auto" w:fill="FFFFFF"/>
        </w:rPr>
        <w:t>指事业</w:t>
      </w:r>
      <w:r>
        <w:rPr>
          <w:rFonts w:ascii="TimesNewRoman" w:hAnsi="TimesNewRoman" w:eastAsia="方正仿宋_GBK" w:cs="TimesNewRoman"/>
          <w:sz w:val="32"/>
          <w:szCs w:val="32"/>
          <w:shd w:val="clear" w:color="auto" w:fill="FFFFFF"/>
        </w:rPr>
        <w:t>单位</w:t>
      </w:r>
      <w:r>
        <w:rPr>
          <w:rFonts w:hint="default" w:ascii="TimesNewRoman" w:hAnsi="TimesNewRoman" w:eastAsia="方正仿宋_GBK" w:cs="TimesNewRoman"/>
          <w:sz w:val="32"/>
          <w:szCs w:val="32"/>
          <w:shd w:val="clear" w:color="auto" w:fill="FFFFFF"/>
        </w:rPr>
        <w:t>在专业业务活动及其辅助活动之外开展非独立核算经营活动取得的现金流入。</w:t>
      </w:r>
    </w:p>
    <w:p>
      <w:pPr>
        <w:pStyle w:val="6"/>
        <w:widowControl w:val="0"/>
        <w:spacing w:before="0" w:beforeAutospacing="0" w:after="0" w:afterAutospacing="0"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楷体_GBK" w:cs="TimesNewRoman"/>
          <w:sz w:val="32"/>
          <w:szCs w:val="32"/>
        </w:rPr>
        <w:t> （四）其他收入：</w:t>
      </w:r>
      <w:r>
        <w:rPr>
          <w:rFonts w:hint="default" w:ascii="TimesNewRoman" w:hAnsi="TimesNewRoman" w:eastAsia="方正仿宋_GBK" w:cs="TimesNewRoman"/>
          <w:sz w:val="32"/>
          <w:szCs w:val="32"/>
          <w:shd w:val="clear" w:color="auto" w:fill="FFFFFF"/>
        </w:rPr>
        <w:t>指</w:t>
      </w:r>
      <w:r>
        <w:rPr>
          <w:rFonts w:ascii="TimesNewRoman" w:hAnsi="TimesNewRoman" w:eastAsia="方正仿宋_GBK" w:cs="TimesNewRoman"/>
          <w:sz w:val="32"/>
          <w:szCs w:val="32"/>
          <w:shd w:val="clear" w:color="auto" w:fill="FFFFFF"/>
        </w:rPr>
        <w:t>单位</w:t>
      </w:r>
      <w:r>
        <w:rPr>
          <w:rFonts w:hint="default" w:ascii="TimesNewRoman" w:hAnsi="TimesNewRoman" w:eastAsia="方正仿宋_GBK" w:cs="TimesNewRoman"/>
          <w:sz w:val="32"/>
          <w:szCs w:val="32"/>
          <w:shd w:val="clear" w:color="auto" w:fill="FFFFFF"/>
        </w:rPr>
        <w:t>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w:t>
      </w:r>
      <w:r>
        <w:rPr>
          <w:rFonts w:ascii="TimesNewRoman" w:hAnsi="TimesNewRoman" w:eastAsia="方正仿宋_GBK" w:cs="TimesNewRoman"/>
          <w:sz w:val="32"/>
          <w:szCs w:val="32"/>
          <w:shd w:val="clear" w:color="auto" w:fill="FFFFFF"/>
        </w:rPr>
        <w:t>单位</w:t>
      </w:r>
      <w:r>
        <w:rPr>
          <w:rFonts w:hint="default" w:ascii="TimesNewRoman" w:hAnsi="TimesNewRoman" w:eastAsia="方正仿宋_GBK" w:cs="TimesNewRoman"/>
          <w:sz w:val="32"/>
          <w:szCs w:val="32"/>
          <w:shd w:val="clear" w:color="auto" w:fill="FFFFFF"/>
        </w:rPr>
        <w:t>从本级财政</w:t>
      </w:r>
      <w:r>
        <w:rPr>
          <w:rFonts w:ascii="TimesNewRoman" w:hAnsi="TimesNewRoman" w:eastAsia="方正仿宋_GBK" w:cs="TimesNewRoman"/>
          <w:sz w:val="32"/>
          <w:szCs w:val="32"/>
          <w:shd w:val="clear" w:color="auto" w:fill="FFFFFF"/>
        </w:rPr>
        <w:t>单位</w:t>
      </w:r>
      <w:r>
        <w:rPr>
          <w:rFonts w:hint="default" w:ascii="TimesNewRoman" w:hAnsi="TimesNewRoman" w:eastAsia="方正仿宋_GBK" w:cs="TimesNewRoman"/>
          <w:sz w:val="32"/>
          <w:szCs w:val="32"/>
          <w:shd w:val="clear" w:color="auto" w:fill="FFFFFF"/>
        </w:rPr>
        <w:t>以外的同级</w:t>
      </w:r>
      <w:r>
        <w:rPr>
          <w:rFonts w:ascii="TimesNewRoman" w:hAnsi="TimesNewRoman" w:eastAsia="方正仿宋_GBK" w:cs="TimesNewRoman"/>
          <w:sz w:val="32"/>
          <w:szCs w:val="32"/>
          <w:shd w:val="clear" w:color="auto" w:fill="FFFFFF"/>
        </w:rPr>
        <w:t>单位</w:t>
      </w:r>
      <w:r>
        <w:rPr>
          <w:rFonts w:hint="default" w:ascii="TimesNewRoman" w:hAnsi="TimesNewRoman" w:eastAsia="方正仿宋_GBK" w:cs="TimesNewRoman"/>
          <w:sz w:val="32"/>
          <w:szCs w:val="32"/>
          <w:shd w:val="clear" w:color="auto" w:fill="FFFFFF"/>
        </w:rPr>
        <w:t>取得的经费、从非本级财政</w:t>
      </w:r>
      <w:r>
        <w:rPr>
          <w:rFonts w:ascii="TimesNewRoman" w:hAnsi="TimesNewRoman" w:eastAsia="方正仿宋_GBK" w:cs="TimesNewRoman"/>
          <w:sz w:val="32"/>
          <w:szCs w:val="32"/>
          <w:shd w:val="clear" w:color="auto" w:fill="FFFFFF"/>
        </w:rPr>
        <w:t>单位</w:t>
      </w:r>
      <w:r>
        <w:rPr>
          <w:rFonts w:hint="default" w:ascii="TimesNewRoman" w:hAnsi="TimesNewRoman" w:eastAsia="方正仿宋_GBK" w:cs="TimesNewRoman"/>
          <w:sz w:val="32"/>
          <w:szCs w:val="32"/>
          <w:shd w:val="clear" w:color="auto" w:fill="FFFFFF"/>
        </w:rPr>
        <w:t>取得的经费，以及行政</w:t>
      </w:r>
      <w:r>
        <w:rPr>
          <w:rFonts w:ascii="TimesNewRoman" w:hAnsi="TimesNewRoman" w:eastAsia="方正仿宋_GBK" w:cs="TimesNewRoman"/>
          <w:sz w:val="32"/>
          <w:szCs w:val="32"/>
          <w:shd w:val="clear" w:color="auto" w:fill="FFFFFF"/>
        </w:rPr>
        <w:t>单位</w:t>
      </w:r>
      <w:r>
        <w:rPr>
          <w:rFonts w:hint="default" w:ascii="TimesNewRoman" w:hAnsi="TimesNewRoman" w:eastAsia="方正仿宋_GBK" w:cs="TimesNewRoman"/>
          <w:sz w:val="32"/>
          <w:szCs w:val="32"/>
          <w:shd w:val="clear" w:color="auto" w:fill="FFFFFF"/>
        </w:rPr>
        <w:t>收到的财政专户管理资金反映在本项内。</w:t>
      </w:r>
    </w:p>
    <w:p>
      <w:pPr>
        <w:pStyle w:val="6"/>
        <w:widowControl w:val="0"/>
        <w:spacing w:before="0" w:beforeAutospacing="0" w:after="0" w:afterAutospacing="0"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楷体_GBK" w:cs="TimesNewRoman"/>
          <w:sz w:val="32"/>
          <w:szCs w:val="32"/>
        </w:rPr>
        <w:t>（五）使用非财政拨款结余：</w:t>
      </w:r>
      <w:r>
        <w:rPr>
          <w:rFonts w:hint="default" w:ascii="TimesNewRoman" w:hAnsi="TimesNewRoman" w:eastAsia="方正仿宋_GBK" w:cs="TimesNewRoman"/>
          <w:sz w:val="32"/>
          <w:szCs w:val="32"/>
          <w:shd w:val="clear" w:color="auto" w:fill="FFFFFF"/>
        </w:rPr>
        <w:t>指</w:t>
      </w:r>
      <w:r>
        <w:rPr>
          <w:rFonts w:ascii="TimesNewRoman" w:hAnsi="TimesNewRoman" w:eastAsia="方正仿宋_GBK" w:cs="TimesNewRoman"/>
          <w:sz w:val="32"/>
          <w:szCs w:val="32"/>
          <w:shd w:val="clear" w:color="auto" w:fill="FFFFFF"/>
        </w:rPr>
        <w:t>单位</w:t>
      </w:r>
      <w:r>
        <w:rPr>
          <w:rFonts w:hint="default" w:ascii="TimesNewRoman" w:hAnsi="TimesNewRoman" w:eastAsia="方正仿宋_GBK" w:cs="TimesNewRoman"/>
          <w:sz w:val="32"/>
          <w:szCs w:val="32"/>
          <w:shd w:val="clear" w:color="auto" w:fill="FFFFFF"/>
        </w:rPr>
        <w:t>在当年的“财政拨款收入”、“事业收入”、“经营收入”、“其他收入”等不足以安排当年支出的情况下，使用以前年度积累的非财政拨款结余弥补本年度收支缺口的资金。</w:t>
      </w:r>
    </w:p>
    <w:p>
      <w:pPr>
        <w:pStyle w:val="6"/>
        <w:widowControl w:val="0"/>
        <w:spacing w:before="0" w:beforeAutospacing="0" w:after="0" w:afterAutospacing="0"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楷体_GBK" w:cs="TimesNewRoman"/>
          <w:sz w:val="32"/>
          <w:szCs w:val="32"/>
        </w:rPr>
        <w:t> （六）年初结转和结余：</w:t>
      </w:r>
      <w:r>
        <w:rPr>
          <w:rFonts w:hint="default" w:ascii="TimesNewRoman" w:hAnsi="TimesNewRoman" w:eastAsia="方正仿宋_GBK" w:cs="TimesNewRoman"/>
          <w:sz w:val="32"/>
          <w:szCs w:val="32"/>
          <w:shd w:val="clear" w:color="auto" w:fill="FFFFFF"/>
        </w:rPr>
        <w:t>指</w:t>
      </w:r>
      <w:r>
        <w:rPr>
          <w:rFonts w:ascii="TimesNewRoman" w:hAnsi="TimesNewRoman" w:eastAsia="方正仿宋_GBK" w:cs="TimesNewRoman"/>
          <w:sz w:val="32"/>
          <w:szCs w:val="32"/>
          <w:shd w:val="clear" w:color="auto" w:fill="FFFFFF"/>
        </w:rPr>
        <w:t>单位</w:t>
      </w:r>
      <w:r>
        <w:rPr>
          <w:rFonts w:hint="default" w:ascii="TimesNewRoman" w:hAnsi="TimesNewRoman" w:eastAsia="方正仿宋_GBK" w:cs="TimesNewRoman"/>
          <w:sz w:val="32"/>
          <w:szCs w:val="32"/>
          <w:shd w:val="clear" w:color="auto" w:fill="FFFFFF"/>
        </w:rPr>
        <w:t>上年结转本年使用的基本支出结转、项目支出结转和结余、经营结余。</w:t>
      </w:r>
    </w:p>
    <w:p>
      <w:pPr>
        <w:pStyle w:val="6"/>
        <w:widowControl w:val="0"/>
        <w:spacing w:before="0" w:beforeAutospacing="0" w:after="0" w:afterAutospacing="0"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楷体_GBK" w:cs="TimesNewRoman"/>
          <w:sz w:val="32"/>
          <w:szCs w:val="32"/>
        </w:rPr>
        <w:t> （七）结余分配：</w:t>
      </w:r>
      <w:r>
        <w:rPr>
          <w:rFonts w:hint="default" w:ascii="TimesNewRoman" w:hAnsi="TimesNewRoman" w:eastAsia="方正仿宋_GBK" w:cs="TimesNewRoman"/>
          <w:sz w:val="32"/>
          <w:szCs w:val="32"/>
          <w:shd w:val="clear" w:color="auto" w:fill="FFFFFF"/>
        </w:rPr>
        <w:t>指</w:t>
      </w:r>
      <w:r>
        <w:rPr>
          <w:rFonts w:ascii="TimesNewRoman" w:hAnsi="TimesNewRoman" w:eastAsia="方正仿宋_GBK" w:cs="TimesNewRoman"/>
          <w:sz w:val="32"/>
          <w:szCs w:val="32"/>
          <w:shd w:val="clear" w:color="auto" w:fill="FFFFFF"/>
        </w:rPr>
        <w:t>单位</w:t>
      </w:r>
      <w:r>
        <w:rPr>
          <w:rFonts w:hint="default" w:ascii="TimesNewRoman" w:hAnsi="TimesNewRoman" w:eastAsia="方正仿宋_GBK" w:cs="TimesNewRoman"/>
          <w:sz w:val="32"/>
          <w:szCs w:val="32"/>
          <w:shd w:val="clear" w:color="auto" w:fill="FFFFFF"/>
        </w:rPr>
        <w:t>按照国家有关规定，缴纳所得税、提取专用基金、转入非财政拨款结余等当年结余的分配情况。</w:t>
      </w:r>
    </w:p>
    <w:p>
      <w:pPr>
        <w:pStyle w:val="6"/>
        <w:widowControl w:val="0"/>
        <w:spacing w:before="0" w:beforeAutospacing="0" w:after="0" w:afterAutospacing="0" w:line="594" w:lineRule="exact"/>
        <w:ind w:firstLine="643" w:firstLineChars="200"/>
        <w:rPr>
          <w:rFonts w:hint="default" w:ascii="TimesNewRoman" w:hAnsi="TimesNewRoman" w:eastAsia="方正仿宋_GBK" w:cs="TimesNewRoman"/>
          <w:sz w:val="32"/>
          <w:szCs w:val="32"/>
        </w:rPr>
      </w:pPr>
      <w:r>
        <w:rPr>
          <w:rStyle w:val="10"/>
          <w:rFonts w:hint="default" w:ascii="TimesNewRoman" w:hAnsi="TimesNewRoman" w:eastAsia="方正仿宋_GBK" w:cs="TimesNewRoman"/>
          <w:sz w:val="32"/>
          <w:szCs w:val="32"/>
          <w:shd w:val="clear" w:color="auto" w:fill="FFFFFF"/>
        </w:rPr>
        <w:t> </w:t>
      </w:r>
      <w:r>
        <w:rPr>
          <w:rFonts w:hint="default" w:ascii="TimesNewRoman" w:hAnsi="TimesNewRoman" w:eastAsia="方正楷体_GBK" w:cs="TimesNewRoman"/>
          <w:sz w:val="32"/>
          <w:szCs w:val="32"/>
        </w:rPr>
        <w:t>（八）年末结转和结余：</w:t>
      </w:r>
      <w:r>
        <w:rPr>
          <w:rFonts w:hint="default" w:ascii="TimesNewRoman" w:hAnsi="TimesNewRoman" w:eastAsia="方正仿宋_GBK" w:cs="TimesNewRoman"/>
          <w:sz w:val="32"/>
          <w:szCs w:val="32"/>
          <w:shd w:val="clear" w:color="auto" w:fill="FFFFFF"/>
        </w:rPr>
        <w:t>指</w:t>
      </w:r>
      <w:r>
        <w:rPr>
          <w:rFonts w:ascii="TimesNewRoman" w:hAnsi="TimesNewRoman" w:eastAsia="方正仿宋_GBK" w:cs="TimesNewRoman"/>
          <w:sz w:val="32"/>
          <w:szCs w:val="32"/>
          <w:shd w:val="clear" w:color="auto" w:fill="FFFFFF"/>
        </w:rPr>
        <w:t>单位</w:t>
      </w:r>
      <w:r>
        <w:rPr>
          <w:rFonts w:hint="default" w:ascii="TimesNewRoman" w:hAnsi="TimesNewRoman" w:eastAsia="方正仿宋_GBK" w:cs="TimesNewRoman"/>
          <w:sz w:val="32"/>
          <w:szCs w:val="32"/>
          <w:shd w:val="clear" w:color="auto" w:fill="FFFFFF"/>
        </w:rPr>
        <w:t>结转下年的基本支出结转、项目支出结转和结余、经营结余。</w:t>
      </w:r>
    </w:p>
    <w:p>
      <w:pPr>
        <w:pStyle w:val="6"/>
        <w:widowControl w:val="0"/>
        <w:spacing w:before="0" w:beforeAutospacing="0" w:after="0" w:afterAutospacing="0" w:line="594" w:lineRule="exact"/>
        <w:ind w:firstLine="643" w:firstLineChars="200"/>
        <w:rPr>
          <w:rFonts w:hint="default" w:ascii="TimesNewRoman" w:hAnsi="TimesNewRoman" w:eastAsia="方正仿宋_GBK" w:cs="TimesNewRoman"/>
          <w:sz w:val="32"/>
          <w:szCs w:val="32"/>
        </w:rPr>
      </w:pPr>
      <w:r>
        <w:rPr>
          <w:rStyle w:val="10"/>
          <w:rFonts w:hint="default" w:ascii="TimesNewRoman" w:hAnsi="TimesNewRoman" w:eastAsia="方正仿宋_GBK" w:cs="TimesNewRoman"/>
          <w:sz w:val="32"/>
          <w:szCs w:val="32"/>
          <w:shd w:val="clear" w:color="auto" w:fill="FFFFFF"/>
        </w:rPr>
        <w:t> </w:t>
      </w:r>
      <w:r>
        <w:rPr>
          <w:rFonts w:hint="default" w:ascii="TimesNewRoman" w:hAnsi="TimesNewRoman" w:eastAsia="方正楷体_GBK" w:cs="TimesNewRoman"/>
          <w:sz w:val="32"/>
          <w:szCs w:val="32"/>
        </w:rPr>
        <w:t>（九）基本支出：</w:t>
      </w:r>
      <w:r>
        <w:rPr>
          <w:rFonts w:hint="default" w:ascii="TimesNewRoman" w:hAnsi="TimesNewRoman" w:eastAsia="方正仿宋_GBK" w:cs="TimesNew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widowControl w:val="0"/>
        <w:spacing w:before="0" w:beforeAutospacing="0" w:after="0" w:afterAutospacing="0"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楷体_GBK" w:cs="TimesNewRoman"/>
          <w:sz w:val="32"/>
          <w:szCs w:val="32"/>
        </w:rPr>
        <w:t> （十）项目支出：</w:t>
      </w:r>
      <w:r>
        <w:rPr>
          <w:rFonts w:hint="default" w:ascii="TimesNewRoman" w:hAnsi="TimesNewRoman" w:eastAsia="方正仿宋_GBK" w:cs="TimesNewRoman"/>
          <w:sz w:val="32"/>
          <w:szCs w:val="32"/>
          <w:shd w:val="clear" w:color="auto" w:fill="FFFFFF"/>
        </w:rPr>
        <w:t>指在基本支出之外为完成特定行政任务和事业发展目标所发生的支出。</w:t>
      </w:r>
    </w:p>
    <w:p>
      <w:pPr>
        <w:pStyle w:val="6"/>
        <w:widowControl w:val="0"/>
        <w:spacing w:before="0" w:beforeAutospacing="0" w:after="0" w:afterAutospacing="0"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楷体_GBK" w:cs="TimesNewRoman"/>
          <w:sz w:val="32"/>
          <w:szCs w:val="32"/>
        </w:rPr>
        <w:t> （十一）经营支出：</w:t>
      </w:r>
      <w:r>
        <w:rPr>
          <w:rFonts w:hint="default" w:ascii="TimesNewRoman" w:hAnsi="TimesNewRoman" w:eastAsia="方正仿宋_GBK" w:cs="TimesNewRoman"/>
          <w:sz w:val="32"/>
          <w:szCs w:val="32"/>
          <w:shd w:val="clear" w:color="auto" w:fill="FFFFFF"/>
        </w:rPr>
        <w:t>指事业</w:t>
      </w:r>
      <w:r>
        <w:rPr>
          <w:rFonts w:ascii="TimesNewRoman" w:hAnsi="TimesNewRoman" w:eastAsia="方正仿宋_GBK" w:cs="TimesNewRoman"/>
          <w:sz w:val="32"/>
          <w:szCs w:val="32"/>
          <w:shd w:val="clear" w:color="auto" w:fill="FFFFFF"/>
        </w:rPr>
        <w:t>单位</w:t>
      </w:r>
      <w:r>
        <w:rPr>
          <w:rFonts w:hint="default" w:ascii="TimesNewRoman" w:hAnsi="TimesNewRoman" w:eastAsia="方正仿宋_GBK" w:cs="TimesNewRoman"/>
          <w:sz w:val="32"/>
          <w:szCs w:val="32"/>
          <w:shd w:val="clear" w:color="auto" w:fill="FFFFFF"/>
        </w:rPr>
        <w:t>在专业业务活动及其辅助活动之外开展非独立核算经营活动发生的支出。</w:t>
      </w:r>
    </w:p>
    <w:p>
      <w:pPr>
        <w:pStyle w:val="6"/>
        <w:widowControl w:val="0"/>
        <w:spacing w:before="0" w:beforeAutospacing="0" w:after="0" w:afterAutospacing="0"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楷体_GBK" w:cs="TimesNewRoman"/>
          <w:sz w:val="32"/>
          <w:szCs w:val="32"/>
        </w:rPr>
        <w:t> （十二）</w:t>
      </w:r>
      <w:r>
        <w:rPr>
          <w:rFonts w:hint="eastAsia" w:ascii="TimesNewRoman" w:hAnsi="TimesNewRoman" w:eastAsia="方正楷体_GBK" w:cs="TimesNewRoman"/>
          <w:sz w:val="32"/>
          <w:szCs w:val="32"/>
          <w:lang w:eastAsia="zh-CN"/>
        </w:rPr>
        <w:t>三公</w:t>
      </w:r>
      <w:r>
        <w:rPr>
          <w:rFonts w:hint="default" w:ascii="TimesNewRoman" w:hAnsi="TimesNewRoman" w:eastAsia="方正楷体_GBK" w:cs="TimesNewRoman"/>
          <w:sz w:val="32"/>
          <w:szCs w:val="32"/>
        </w:rPr>
        <w:t>经费：</w:t>
      </w:r>
      <w:r>
        <w:rPr>
          <w:rFonts w:hint="default" w:ascii="TimesNewRoman" w:hAnsi="TimesNewRoman" w:eastAsia="方正仿宋_GBK" w:cs="TimesNewRoman"/>
          <w:sz w:val="32"/>
          <w:szCs w:val="32"/>
          <w:shd w:val="clear" w:color="auto" w:fill="FFFFFF"/>
        </w:rPr>
        <w:t>指用一般公共预算财政拨款安排的因公出国（境）费、公务用车购置及运行维护费、公务接待费。其中，因公出国（境）费反映</w:t>
      </w:r>
      <w:r>
        <w:rPr>
          <w:rFonts w:ascii="TimesNewRoman" w:hAnsi="TimesNewRoman" w:eastAsia="方正仿宋_GBK" w:cs="TimesNewRoman"/>
          <w:sz w:val="32"/>
          <w:szCs w:val="32"/>
          <w:shd w:val="clear" w:color="auto" w:fill="FFFFFF"/>
        </w:rPr>
        <w:t>单位</w:t>
      </w:r>
      <w:r>
        <w:rPr>
          <w:rFonts w:hint="default" w:ascii="TimesNewRoman" w:hAnsi="TimesNewRoman" w:eastAsia="方正仿宋_GBK" w:cs="TimesNewRoman"/>
          <w:sz w:val="32"/>
          <w:szCs w:val="32"/>
          <w:shd w:val="clear" w:color="auto" w:fill="FFFFFF"/>
        </w:rPr>
        <w:t>公务出国（境）的国际旅费、国外城市间交通费、住宿费、伙食费、培训费、公杂费等支出；公务用车购置费反映</w:t>
      </w:r>
      <w:r>
        <w:rPr>
          <w:rFonts w:ascii="TimesNewRoman" w:hAnsi="TimesNewRoman" w:eastAsia="方正仿宋_GBK" w:cs="TimesNewRoman"/>
          <w:sz w:val="32"/>
          <w:szCs w:val="32"/>
          <w:shd w:val="clear" w:color="auto" w:fill="FFFFFF"/>
        </w:rPr>
        <w:t>单位</w:t>
      </w:r>
      <w:r>
        <w:rPr>
          <w:rFonts w:hint="default" w:ascii="TimesNewRoman" w:hAnsi="TimesNewRoman" w:eastAsia="方正仿宋_GBK" w:cs="TimesNewRoman"/>
          <w:sz w:val="32"/>
          <w:szCs w:val="32"/>
          <w:shd w:val="clear" w:color="auto" w:fill="FFFFFF"/>
        </w:rPr>
        <w:t>公务用车购置支出（含车辆购置税）；公务用车运行维护费反映</w:t>
      </w:r>
      <w:r>
        <w:rPr>
          <w:rFonts w:ascii="TimesNewRoman" w:hAnsi="TimesNewRoman" w:eastAsia="方正仿宋_GBK" w:cs="TimesNewRoman"/>
          <w:sz w:val="32"/>
          <w:szCs w:val="32"/>
          <w:shd w:val="clear" w:color="auto" w:fill="FFFFFF"/>
        </w:rPr>
        <w:t>单位</w:t>
      </w:r>
      <w:r>
        <w:rPr>
          <w:rFonts w:hint="default" w:ascii="TimesNewRoman" w:hAnsi="TimesNewRoman" w:eastAsia="方正仿宋_GBK" w:cs="TimesNewRoman"/>
          <w:sz w:val="32"/>
          <w:szCs w:val="32"/>
          <w:shd w:val="clear" w:color="auto" w:fill="FFFFFF"/>
        </w:rPr>
        <w:t>按规定保留的公务用车燃料费、维修费、过路过桥费、保险费、安全奖励费用等支出；公务接待费反映</w:t>
      </w:r>
      <w:r>
        <w:rPr>
          <w:rFonts w:ascii="TimesNewRoman" w:hAnsi="TimesNewRoman" w:eastAsia="方正仿宋_GBK" w:cs="TimesNewRoman"/>
          <w:sz w:val="32"/>
          <w:szCs w:val="32"/>
          <w:shd w:val="clear" w:color="auto" w:fill="FFFFFF"/>
        </w:rPr>
        <w:t>单位</w:t>
      </w:r>
      <w:r>
        <w:rPr>
          <w:rFonts w:hint="default" w:ascii="TimesNewRoman" w:hAnsi="TimesNewRoman" w:eastAsia="方正仿宋_GBK" w:cs="TimesNewRoman"/>
          <w:sz w:val="32"/>
          <w:szCs w:val="32"/>
          <w:shd w:val="clear" w:color="auto" w:fill="FFFFFF"/>
        </w:rPr>
        <w:t>按规定开支的各类公务接待（含外宾接待）支出。</w:t>
      </w:r>
    </w:p>
    <w:p>
      <w:pPr>
        <w:pStyle w:val="6"/>
        <w:widowControl w:val="0"/>
        <w:spacing w:before="0" w:beforeAutospacing="0" w:after="0" w:afterAutospacing="0"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楷体_GBK" w:cs="TimesNewRoman"/>
          <w:sz w:val="32"/>
          <w:szCs w:val="32"/>
        </w:rPr>
        <w:t> （十三）机关运行经费：</w:t>
      </w:r>
      <w:r>
        <w:rPr>
          <w:rFonts w:hint="default" w:ascii="TimesNewRoman" w:hAnsi="TimesNewRoman" w:eastAsia="方正仿宋_GBK" w:cs="TimesNewRoman"/>
          <w:sz w:val="32"/>
          <w:szCs w:val="32"/>
          <w:shd w:val="clear" w:color="auto" w:fill="FFFFFF"/>
        </w:rPr>
        <w:t>为保障行政</w:t>
      </w:r>
      <w:r>
        <w:rPr>
          <w:rFonts w:ascii="TimesNewRoman" w:hAnsi="TimesNewRoman" w:eastAsia="方正仿宋_GBK" w:cs="TimesNewRoman"/>
          <w:sz w:val="32"/>
          <w:szCs w:val="32"/>
          <w:shd w:val="clear" w:color="auto" w:fill="FFFFFF"/>
        </w:rPr>
        <w:t>单位</w:t>
      </w:r>
      <w:r>
        <w:rPr>
          <w:rFonts w:hint="default" w:ascii="TimesNewRoman" w:hAnsi="TimesNewRoman" w:eastAsia="方正仿宋_GBK" w:cs="TimesNewRoman"/>
          <w:sz w:val="32"/>
          <w:szCs w:val="32"/>
          <w:shd w:val="clear" w:color="auto" w:fill="FFFFFF"/>
        </w:rPr>
        <w:t>（含参照公务员法管理的事业</w:t>
      </w:r>
      <w:r>
        <w:rPr>
          <w:rFonts w:ascii="TimesNewRoman" w:hAnsi="TimesNewRoman" w:eastAsia="方正仿宋_GBK" w:cs="TimesNewRoman"/>
          <w:sz w:val="32"/>
          <w:szCs w:val="32"/>
          <w:shd w:val="clear" w:color="auto" w:fill="FFFFFF"/>
        </w:rPr>
        <w:t>单位</w:t>
      </w:r>
      <w:r>
        <w:rPr>
          <w:rFonts w:hint="default" w:ascii="TimesNewRoman" w:hAnsi="TimesNewRoman" w:eastAsia="方正仿宋_GBK" w:cs="TimesNewRoman"/>
          <w:sz w:val="32"/>
          <w:szCs w:val="32"/>
          <w:shd w:val="clear" w:color="auto" w:fill="FFFFFF"/>
        </w:rPr>
        <w:t>）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widowControl w:val="0"/>
        <w:spacing w:before="0" w:beforeAutospacing="0" w:after="0" w:afterAutospacing="0"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楷体_GBK" w:cs="TimesNewRoman"/>
          <w:sz w:val="32"/>
          <w:szCs w:val="32"/>
        </w:rPr>
        <w:t> （十四）工资福利支出（支出经济分类科目类级）：</w:t>
      </w:r>
      <w:r>
        <w:rPr>
          <w:rFonts w:hint="default" w:ascii="TimesNewRoman" w:hAnsi="TimesNewRoman" w:eastAsia="方正仿宋_GBK" w:cs="TimesNewRoman"/>
          <w:sz w:val="32"/>
          <w:szCs w:val="32"/>
          <w:shd w:val="clear" w:color="auto" w:fill="FFFFFF"/>
        </w:rPr>
        <w:t>反映</w:t>
      </w:r>
      <w:r>
        <w:rPr>
          <w:rFonts w:ascii="TimesNewRoman" w:hAnsi="TimesNewRoman" w:eastAsia="方正仿宋_GBK" w:cs="TimesNewRoman"/>
          <w:sz w:val="32"/>
          <w:szCs w:val="32"/>
          <w:shd w:val="clear" w:color="auto" w:fill="FFFFFF"/>
        </w:rPr>
        <w:t>单位</w:t>
      </w:r>
      <w:r>
        <w:rPr>
          <w:rFonts w:hint="default" w:ascii="TimesNewRoman" w:hAnsi="TimesNewRoman" w:eastAsia="方正仿宋_GBK" w:cs="TimesNewRoman"/>
          <w:sz w:val="32"/>
          <w:szCs w:val="32"/>
          <w:shd w:val="clear" w:color="auto" w:fill="FFFFFF"/>
        </w:rPr>
        <w:t>开支的在职职工和编制外长期聘用人员的各类劳动报酬，以及为上述人员缴纳的各项社会保险费等。</w:t>
      </w:r>
    </w:p>
    <w:p>
      <w:pPr>
        <w:pStyle w:val="6"/>
        <w:widowControl w:val="0"/>
        <w:spacing w:before="0" w:beforeAutospacing="0" w:after="0" w:afterAutospacing="0"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楷体_GBK" w:cs="TimesNewRoman"/>
          <w:sz w:val="32"/>
          <w:szCs w:val="32"/>
        </w:rPr>
        <w:t> （十五）商品和服务支出（支出经济分类科目类级）</w:t>
      </w:r>
      <w:r>
        <w:rPr>
          <w:rFonts w:hint="default" w:ascii="TimesNewRoman" w:hAnsi="TimesNewRoman" w:eastAsia="楷体" w:cs="TimesNewRoman"/>
          <w:sz w:val="32"/>
          <w:szCs w:val="32"/>
          <w:shd w:val="clear" w:color="auto" w:fill="FFFFFF"/>
        </w:rPr>
        <w:t>：</w:t>
      </w:r>
      <w:r>
        <w:rPr>
          <w:rFonts w:hint="default" w:ascii="TimesNewRoman" w:hAnsi="TimesNewRoman" w:eastAsia="方正仿宋_GBK" w:cs="TimesNewRoman"/>
          <w:sz w:val="32"/>
          <w:szCs w:val="32"/>
          <w:shd w:val="clear" w:color="auto" w:fill="FFFFFF"/>
        </w:rPr>
        <w:t>反映</w:t>
      </w:r>
      <w:r>
        <w:rPr>
          <w:rFonts w:ascii="TimesNewRoman" w:hAnsi="TimesNewRoman" w:eastAsia="方正仿宋_GBK" w:cs="TimesNewRoman"/>
          <w:sz w:val="32"/>
          <w:szCs w:val="32"/>
          <w:shd w:val="clear" w:color="auto" w:fill="FFFFFF"/>
        </w:rPr>
        <w:t>单位</w:t>
      </w:r>
      <w:r>
        <w:rPr>
          <w:rFonts w:hint="default" w:ascii="TimesNewRoman" w:hAnsi="TimesNewRoman" w:eastAsia="方正仿宋_GBK" w:cs="TimesNewRoman"/>
          <w:sz w:val="32"/>
          <w:szCs w:val="32"/>
          <w:shd w:val="clear" w:color="auto" w:fill="FFFFFF"/>
        </w:rPr>
        <w:t>购买商品和服务的支出（不包括用于购置固定资产的支出、战略性和应急储备支出）。</w:t>
      </w:r>
    </w:p>
    <w:p>
      <w:pPr>
        <w:pStyle w:val="6"/>
        <w:widowControl w:val="0"/>
        <w:spacing w:before="0" w:beforeAutospacing="0" w:after="0" w:afterAutospacing="0" w:line="594" w:lineRule="exact"/>
        <w:ind w:firstLine="640" w:firstLineChars="200"/>
        <w:rPr>
          <w:rFonts w:hint="default" w:ascii="TimesNewRoman" w:hAnsi="TimesNewRoman" w:eastAsia="方正仿宋_GBK" w:cs="TimesNewRoman"/>
          <w:sz w:val="32"/>
          <w:szCs w:val="32"/>
        </w:rPr>
      </w:pPr>
      <w:r>
        <w:rPr>
          <w:rFonts w:hint="default" w:ascii="TimesNewRoman" w:hAnsi="TimesNewRoman" w:eastAsia="方正楷体_GBK" w:cs="TimesNewRoman"/>
          <w:sz w:val="32"/>
          <w:szCs w:val="32"/>
        </w:rPr>
        <w:t> （十六）对个人和家庭的补助（支出经济分类科目类级）：</w:t>
      </w:r>
      <w:r>
        <w:rPr>
          <w:rFonts w:hint="default" w:ascii="TimesNewRoman" w:hAnsi="TimesNewRoman" w:eastAsia="方正仿宋_GBK" w:cs="TimesNewRoman"/>
          <w:sz w:val="32"/>
          <w:szCs w:val="32"/>
          <w:shd w:val="clear" w:color="auto" w:fill="FFFFFF"/>
        </w:rPr>
        <w:t>反映用于对个人和家庭的补助支出。</w:t>
      </w:r>
    </w:p>
    <w:p>
      <w:pPr>
        <w:pStyle w:val="6"/>
        <w:widowControl w:val="0"/>
        <w:spacing w:before="0" w:beforeAutospacing="0" w:after="0" w:afterAutospacing="0" w:line="594" w:lineRule="exact"/>
        <w:ind w:firstLine="643" w:firstLineChars="200"/>
        <w:rPr>
          <w:rFonts w:hint="default" w:ascii="TimesNewRoman" w:hAnsi="TimesNewRoman" w:eastAsia="方正仿宋_GBK" w:cs="TimesNewRoman"/>
          <w:sz w:val="32"/>
          <w:szCs w:val="32"/>
        </w:rPr>
      </w:pPr>
      <w:r>
        <w:rPr>
          <w:rStyle w:val="10"/>
          <w:rFonts w:hint="default" w:ascii="TimesNewRoman" w:hAnsi="TimesNewRoman" w:eastAsia="方正仿宋_GBK" w:cs="TimesNewRoman"/>
          <w:sz w:val="32"/>
          <w:szCs w:val="32"/>
          <w:shd w:val="clear" w:color="auto" w:fill="FFFFFF"/>
        </w:rPr>
        <w:t> </w:t>
      </w:r>
      <w:r>
        <w:rPr>
          <w:rFonts w:hint="default" w:ascii="TimesNewRoman" w:hAnsi="TimesNewRoman" w:eastAsia="方正楷体_GBK" w:cs="TimesNewRoman"/>
          <w:sz w:val="32"/>
          <w:szCs w:val="32"/>
        </w:rPr>
        <w:t>（十七）其他资本性支出（支出经济分类科目类级）：</w:t>
      </w:r>
      <w:r>
        <w:rPr>
          <w:rFonts w:hint="default" w:ascii="TimesNewRoman" w:hAnsi="TimesNewRoman" w:eastAsia="方正仿宋_GBK" w:cs="TimesNewRoman"/>
          <w:sz w:val="32"/>
          <w:szCs w:val="32"/>
          <w:shd w:val="clear" w:color="auto" w:fill="FFFFFF"/>
        </w:rPr>
        <w:t>反映非各级发展与改革</w:t>
      </w:r>
      <w:r>
        <w:rPr>
          <w:rFonts w:ascii="TimesNewRoman" w:hAnsi="TimesNewRoman" w:eastAsia="方正仿宋_GBK" w:cs="TimesNewRoman"/>
          <w:sz w:val="32"/>
          <w:szCs w:val="32"/>
          <w:shd w:val="clear" w:color="auto" w:fill="FFFFFF"/>
        </w:rPr>
        <w:t>单位</w:t>
      </w:r>
      <w:r>
        <w:rPr>
          <w:rFonts w:hint="default" w:ascii="TimesNewRoman" w:hAnsi="TimesNewRoman" w:eastAsia="方正仿宋_GBK" w:cs="TimesNewRoman"/>
          <w:sz w:val="32"/>
          <w:szCs w:val="32"/>
          <w:shd w:val="clear" w:color="auto" w:fill="FFFFFF"/>
        </w:rPr>
        <w:t>集中安排的用于购置固定资产、战略性和应急性储备、土地和无形资产，以及构建基础设施、大型修缮和财政支持企业更新改造所发生的支出。</w:t>
      </w:r>
    </w:p>
    <w:p>
      <w:pPr>
        <w:pStyle w:val="6"/>
        <w:widowControl w:val="0"/>
        <w:shd w:val="clear" w:color="auto" w:fill="FFFFFF"/>
        <w:spacing w:beforeAutospacing="0" w:afterAutospacing="0" w:line="594" w:lineRule="exact"/>
        <w:rPr>
          <w:rStyle w:val="10"/>
          <w:rFonts w:hint="default" w:ascii="TimesNewRoman" w:hAnsi="TimesNewRoman" w:eastAsia="方正仿宋_GBK" w:cs="TimesNewRoman"/>
          <w:sz w:val="32"/>
          <w:szCs w:val="32"/>
          <w:shd w:val="clear" w:color="auto" w:fill="FFFFFF"/>
        </w:rPr>
      </w:pPr>
      <w:r>
        <w:rPr>
          <w:rStyle w:val="10"/>
          <w:rFonts w:hint="default" w:ascii="TimesNewRoman" w:hAnsi="TimesNewRoman" w:eastAsia="方正仿宋_GBK" w:cs="TimesNewRoman"/>
          <w:sz w:val="32"/>
          <w:szCs w:val="32"/>
          <w:shd w:val="clear" w:color="auto" w:fill="FFFFFF"/>
        </w:rPr>
        <w:t> </w:t>
      </w:r>
      <w:r>
        <w:rPr>
          <w:rStyle w:val="10"/>
          <w:rFonts w:ascii="TimesNewRoman" w:hAnsi="TimesNewRoman" w:eastAsia="方正仿宋_GBK" w:cs="TimesNewRoman"/>
          <w:sz w:val="32"/>
          <w:szCs w:val="32"/>
          <w:shd w:val="clear" w:color="auto" w:fill="FFFFFF"/>
        </w:rPr>
        <w:t xml:space="preserve">    </w:t>
      </w:r>
      <w:r>
        <w:rPr>
          <w:rStyle w:val="10"/>
          <w:rFonts w:hint="default" w:ascii="TimesNewRoman" w:hAnsi="TimesNewRoman" w:eastAsia="黑体" w:cs="TimesNewRoman"/>
          <w:sz w:val="32"/>
          <w:szCs w:val="32"/>
          <w:shd w:val="clear" w:color="auto" w:fill="FFFFFF"/>
        </w:rPr>
        <w:t>七、决算公开联系方式及信息反馈渠道</w:t>
      </w:r>
    </w:p>
    <w:p>
      <w:pPr>
        <w:pStyle w:val="11"/>
        <w:widowControl w:val="0"/>
        <w:spacing w:line="594" w:lineRule="exact"/>
        <w:ind w:left="17" w:leftChars="7" w:firstLine="617" w:firstLineChars="193"/>
        <w:rPr>
          <w:rStyle w:val="10"/>
          <w:rFonts w:ascii="TimesNewRoman" w:hAnsi="TimesNewRoman" w:eastAsia="方正仿宋_GBK" w:cs="TimesNew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TimesNewRoman" w:hAnsi="TimesNewRoman" w:eastAsia="方正仿宋_GBK" w:cs="TimesNewRoman"/>
          <w:sz w:val="32"/>
          <w:szCs w:val="32"/>
          <w:shd w:val="clear" w:color="auto" w:fill="FFFFFF"/>
        </w:rPr>
        <w:t>本</w:t>
      </w:r>
      <w:r>
        <w:rPr>
          <w:rFonts w:hint="eastAsia" w:ascii="TimesNewRoman" w:hAnsi="TimesNewRoman" w:eastAsia="方正仿宋_GBK" w:cs="TimesNewRoman"/>
          <w:sz w:val="32"/>
          <w:szCs w:val="32"/>
          <w:shd w:val="clear" w:color="auto" w:fill="FFFFFF"/>
        </w:rPr>
        <w:t>单位</w:t>
      </w:r>
      <w:r>
        <w:rPr>
          <w:rFonts w:ascii="TimesNewRoman" w:hAnsi="TimesNewRoman" w:eastAsia="方正仿宋_GBK" w:cs="TimesNewRoman"/>
          <w:sz w:val="32"/>
          <w:szCs w:val="32"/>
          <w:shd w:val="clear" w:color="auto" w:fill="FFFFFF"/>
        </w:rPr>
        <w:t>决算公开信息反馈和联系方式：</w:t>
      </w:r>
      <w:r>
        <w:rPr>
          <w:rFonts w:hint="eastAsia" w:ascii="TimesNewRoman" w:hAnsi="TimesNewRoman" w:eastAsia="方正仿宋_GBK" w:cs="TimesNewRoman"/>
          <w:sz w:val="32"/>
          <w:szCs w:val="32"/>
          <w:shd w:val="clear" w:color="auto" w:fill="FFFFFF"/>
        </w:rPr>
        <w:t>皮老师</w:t>
      </w:r>
      <w:r>
        <w:rPr>
          <w:rFonts w:ascii="TimesNewRoman" w:hAnsi="TimesNewRoman" w:eastAsia="方正仿宋_GBK" w:cs="TimesNewRoman"/>
          <w:sz w:val="32"/>
          <w:szCs w:val="32"/>
          <w:shd w:val="clear" w:color="auto" w:fill="FFFFFF"/>
        </w:rPr>
        <w:t>023-74606206</w:t>
      </w:r>
    </w:p>
    <w:p>
      <w:pPr>
        <w:pStyle w:val="11"/>
        <w:autoSpaceDE w:val="0"/>
        <w:spacing w:line="596" w:lineRule="exact"/>
        <w:ind w:firstLine="643"/>
        <w:jc w:val="both"/>
        <w:rPr>
          <w:rStyle w:val="10"/>
          <w:rFonts w:ascii="方正仿宋_GBK" w:hAnsi="方正仿宋_GBK" w:eastAsia="方正仿宋_GBK" w:cs="方正仿宋_GBK"/>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垫江县归侨侨眷联合会(本级)</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93.51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93.51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93.51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93.51</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93.51</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垫江县归侨侨眷联合会(本级)</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93.51</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93.51</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统战事务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2013402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垫江县归侨侨眷联合会(本级)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93.51</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77.71</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15.80</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59.14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统战事务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59.14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2013402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垫江县归侨侨眷联合会(本级)</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93.51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93.51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93.51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93.51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93.51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93.51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93.51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6"/>
        <w:gridCol w:w="4073"/>
        <w:gridCol w:w="3306"/>
        <w:gridCol w:w="3297"/>
        <w:gridCol w:w="334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垫江县归侨侨眷联合会(本级)</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93.51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77.71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74.93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59.14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统战事务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74.93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59.14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59.14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59.14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p>
    <w:tbl>
      <w:tblPr>
        <w:tblStyle w:val="7"/>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垫江县归侨侨眷联合会(本级)</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62.67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62.67</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15.04</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垫江县归侨侨眷联合会(本级)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垫江县归侨侨眷联合会(本级)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垫江县归侨侨眷联合会(本级)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三公</w:t>
            </w:r>
            <w:r>
              <w:rPr>
                <w:rFonts w:cs="宋体"/>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15.04</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0.63</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15.04</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0.63</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
    <w:altName w:val="Segoe Print"/>
    <w:panose1 w:val="00000000000000000000"/>
    <w:charset w:val="00"/>
    <w:family w:val="auto"/>
    <w:pitch w:val="default"/>
    <w:sig w:usb0="00000000" w:usb1="00000000" w:usb2="00000029" w:usb3="00000000" w:csb0="600001FF" w:csb1="FFFF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pict>
        <v:shape id="文本框 1" o:spid="_x0000_s4097" o:spt="202" type="#_x0000_t202" style="position:absolute;left:0pt;margin-top:0pt;height:144pt;width:144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0NHgIAABwEAAAOAAAAZHJzL2Uyb0RvYy54bWysU82O0zAQviPxDpbvNGlXrKqq6arsqgip&#10;YldaEGfXcZpI/pPtNikPAG/AiQt3nqvPsZ+dpIuAE+Jijz3jbzzffLO86ZQkR+F8Y3RBp5OcEqG5&#10;KRu9L+jHD5tXc0p8YLpk0mhR0JPw9Gb18sWytQsxM7WRpXAEINovWlvQOgS7yDLPa6GYnxgrNJyV&#10;cYoFHN0+Kx1rga5kNsvz66w1rrTOcOE9bu96J10l/KoSPNxXlReByILibyGtLq27uGarJVvsHbN1&#10;w4dvsH/4hWKNRtIL1B0LjBxc8weUargz3lRhwo3KTFU1XKQaUM00/62ax5pZkWoBOd5eaPL/D5a/&#10;Pz440pQFvaJEM4UWnb99PX//ef7xhUwjPa31C0Q9WsSF7o3p0Obx3uMyVt1VTsUd9RD4QfTpQq7o&#10;AuHx0Xw2n+dwcfjGA/Cz5+fW+fBWGEWiUVCH7iVS2XHrQx86hsRs2mwaKVMHpSZtQa+vXufpwcUD&#10;cKljrEhaGGBiSf3XoxW6XTcwMJS7M+UJ1TrTy8Vbvmnwoy3z4YE56ANVQPPhHkslDTKbwaKkNu7z&#10;3+5jPNoGLyUt9FZQjYGgRL7TaGeU5mi40diNhj6oWwMBTzFLlicTD1yQo1k5oz5hENYxB1xMc2Qq&#10;aBjN29BrHoPExXqdgiBAy8JWP1oeoSNL3q4PAawmsiM3PRNoUjxAgqldw7hEjf96TlHPQ716Ag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6xAtDR4CAAAcBAAADgAAAAAAAAAAAAAAAAAuAgAAZHJzL2Uyb0RvYy54bWxQSwECLQAUAAYA&#10;CAAAACEAcarRudcAAAAFAQAADwAAAAAAAAAAAAAAAAB4BAAAZHJzL2Rvd25yZXYueG1sUEsFBgAA&#10;AAAEAAQA8wAAAHwFAAAAAA==&#10;">
          <v:path/>
          <v:fill on="f" focussize="0,0"/>
          <v:stroke on="f" weight="0.5pt" joinstyle="miter"/>
          <v:imagedata o:title=""/>
          <o:lock v:ext="edit"/>
          <v:textbox inset="0mm,0mm,0mm,0mm" style="mso-fit-shape-to-text:t;">
            <w:txbxContent>
              <w:p>
                <w:pPr>
                  <w:pStyle w:val="3"/>
                  <w:rPr>
                    <w:rFonts w:hint="default"/>
                  </w:rPr>
                </w:pPr>
                <w:r>
                  <w:rPr>
                    <w:rFonts w:hint="default"/>
                  </w:rPr>
                  <w:fldChar w:fldCharType="begin"/>
                </w:r>
                <w:r>
                  <w:instrText xml:space="preserve"> PAGE  \* MERGEFORMAT </w:instrText>
                </w:r>
                <w:r>
                  <w:rPr>
                    <w:rFonts w:hint="default"/>
                  </w:rPr>
                  <w:fldChar w:fldCharType="separate"/>
                </w:r>
                <w:r>
                  <w:rPr>
                    <w:rFonts w:hint="default"/>
                  </w:rPr>
                  <w:t>- 13 -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- 14 -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v:textbox>
        </v:shape>
      </w:pict>
    </w:r>
    <w:r>
      <w:rPr>
        <w:rFonts w:hint="default"/>
      </w:rPr>
      <w:pict>
        <v:shape id="_x0000_s4100" o:spid="_x0000_s4100"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g4MWM2YmFhNjI2ZjBiMzdmZDQ5YWQxZGNmMDQ4ZW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8D3A1F"/>
    <w:rsid w:val="00984C6A"/>
    <w:rsid w:val="00994AF7"/>
    <w:rsid w:val="009B67B8"/>
    <w:rsid w:val="009C14C9"/>
    <w:rsid w:val="009C6ABF"/>
    <w:rsid w:val="009D2B67"/>
    <w:rsid w:val="009E1452"/>
    <w:rsid w:val="00A566F9"/>
    <w:rsid w:val="00AF2751"/>
    <w:rsid w:val="00B03CCD"/>
    <w:rsid w:val="00B614DD"/>
    <w:rsid w:val="00BE2B89"/>
    <w:rsid w:val="00BF0D89"/>
    <w:rsid w:val="00C10E9E"/>
    <w:rsid w:val="00C20C3E"/>
    <w:rsid w:val="00C5163E"/>
    <w:rsid w:val="00CF2ACF"/>
    <w:rsid w:val="00D03AAF"/>
    <w:rsid w:val="00DD0539"/>
    <w:rsid w:val="00E07662"/>
    <w:rsid w:val="00E368E9"/>
    <w:rsid w:val="00EE1E33"/>
    <w:rsid w:val="00F73F90"/>
    <w:rsid w:val="00FB4B3B"/>
    <w:rsid w:val="00FD7B1B"/>
    <w:rsid w:val="01474EBF"/>
    <w:rsid w:val="01F3521E"/>
    <w:rsid w:val="03B87EA0"/>
    <w:rsid w:val="03E3214F"/>
    <w:rsid w:val="044C50BA"/>
    <w:rsid w:val="05BC6D49"/>
    <w:rsid w:val="06194FF1"/>
    <w:rsid w:val="06A2550B"/>
    <w:rsid w:val="06F80EE2"/>
    <w:rsid w:val="07001CCA"/>
    <w:rsid w:val="075678DB"/>
    <w:rsid w:val="07731ECE"/>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420E84"/>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632A6"/>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autoRedefine/>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autoRedefine/>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Info spid="_x0000_s4099"/>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9327</Words>
  <Characters>11624</Characters>
  <Lines>103</Lines>
  <Paragraphs>29</Paragraphs>
  <TotalTime>5</TotalTime>
  <ScaleCrop>false</ScaleCrop>
  <LinksUpToDate>false</LinksUpToDate>
  <CharactersWithSpaces>12699</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WPS_1664260647</cp:lastModifiedBy>
  <dcterms:modified xsi:type="dcterms:W3CDTF">2025-09-28T09:22:18Z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