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594" w:lineRule="exact"/>
        <w:jc w:val="center"/>
        <w:rPr>
          <w:rFonts w:hint="default" w:ascii="Times New Roman" w:hAnsi="Times New Roman" w:eastAsia="方正小标宋_GBK"/>
          <w:sz w:val="44"/>
          <w:szCs w:val="44"/>
          <w:shd w:val="clear" w:color="auto" w:fill="FFFFFF"/>
        </w:rPr>
      </w:pPr>
      <w:r>
        <w:rPr>
          <w:rFonts w:hint="default" w:ascii="Times New Roman" w:hAnsi="Times New Roman" w:eastAsia="方正小标宋_GBK"/>
          <w:sz w:val="44"/>
          <w:szCs w:val="44"/>
        </w:rPr>
        <w:t>中国共产党垫江县委员会统战部（本级）</w:t>
      </w:r>
      <w:r>
        <w:rPr>
          <w:rFonts w:hint="default" w:ascii="Times New Roman" w:hAnsi="Times New Roman" w:eastAsia="方正小标宋_GBK"/>
          <w:sz w:val="44"/>
          <w:szCs w:val="44"/>
          <w:shd w:val="clear" w:color="auto" w:fill="FFFFFF"/>
        </w:rPr>
        <w:t>2024年度决算公开说明</w:t>
      </w:r>
    </w:p>
    <w:p>
      <w:pPr>
        <w:pStyle w:val="6"/>
        <w:spacing w:before="0" w:beforeAutospacing="0" w:after="0" w:afterAutospacing="0" w:line="594" w:lineRule="exact"/>
        <w:jc w:val="center"/>
        <w:rPr>
          <w:rFonts w:hint="default" w:ascii="Times New Roman" w:hAnsi="Times New Roman" w:eastAsia="方正小标宋_GBK"/>
          <w:sz w:val="44"/>
          <w:szCs w:val="44"/>
          <w:shd w:val="clear" w:color="auto" w:fill="FFFFFF"/>
        </w:rPr>
      </w:pPr>
    </w:p>
    <w:p>
      <w:pPr>
        <w:pStyle w:val="6"/>
        <w:shd w:val="clear" w:color="auto" w:fill="FFFFFF"/>
        <w:spacing w:beforeAutospacing="0" w:after="0" w:afterAutospacing="0" w:line="594" w:lineRule="exact"/>
        <w:ind w:firstLine="643" w:firstLineChars="200"/>
        <w:rPr>
          <w:rFonts w:hint="default" w:ascii="Times New Roman" w:hAnsi="Times New Roman" w:eastAsia="黑体"/>
          <w:sz w:val="32"/>
          <w:szCs w:val="32"/>
        </w:rPr>
      </w:pPr>
      <w:r>
        <w:rPr>
          <w:rStyle w:val="10"/>
          <w:rFonts w:hint="default" w:ascii="Times New Roman" w:hAnsi="Times New Roman" w:eastAsia="黑体"/>
          <w:sz w:val="32"/>
          <w:szCs w:val="32"/>
          <w:shd w:val="clear" w:color="auto" w:fill="FFFFFF"/>
        </w:rPr>
        <w:t>一、</w:t>
      </w:r>
      <w:r>
        <w:rPr>
          <w:rStyle w:val="10"/>
          <w:rFonts w:ascii="Times New Roman" w:hAnsi="Times New Roman" w:eastAsia="黑体"/>
          <w:sz w:val="32"/>
          <w:szCs w:val="32"/>
          <w:shd w:val="clear" w:color="auto" w:fill="FFFFFF"/>
        </w:rPr>
        <w:t>单位</w:t>
      </w:r>
      <w:r>
        <w:rPr>
          <w:rStyle w:val="10"/>
          <w:rFonts w:hint="default" w:ascii="Times New Roman" w:hAnsi="Times New Roman" w:eastAsia="黑体"/>
          <w:sz w:val="32"/>
          <w:szCs w:val="32"/>
          <w:shd w:val="clear" w:color="auto" w:fill="FFFFFF"/>
        </w:rPr>
        <w:t>基本情况</w:t>
      </w:r>
    </w:p>
    <w:p>
      <w:pPr>
        <w:pStyle w:val="6"/>
        <w:shd w:val="clear" w:color="auto" w:fill="FFFFFF"/>
        <w:spacing w:beforeAutospacing="0" w:after="0" w:afterAutospacing="0" w:line="594" w:lineRule="exact"/>
        <w:ind w:firstLine="420"/>
        <w:rPr>
          <w:rFonts w:hint="default" w:ascii="Times New Roman" w:hAnsi="Times New Roman" w:eastAsia="方正仿宋_GBK"/>
          <w:sz w:val="32"/>
          <w:szCs w:val="32"/>
        </w:rPr>
      </w:pPr>
      <w:r>
        <w:rPr>
          <w:rStyle w:val="10"/>
          <w:rFonts w:hint="default" w:ascii="Times New Roman" w:hAnsi="Times New Roman" w:eastAsia="楷体"/>
          <w:sz w:val="32"/>
          <w:szCs w:val="32"/>
          <w:shd w:val="clear" w:color="auto" w:fill="FFFFFF"/>
        </w:rPr>
        <w:t>（一）职能职责</w:t>
      </w:r>
    </w:p>
    <w:p>
      <w:pPr>
        <w:widowControl w:val="0"/>
        <w:spacing w:line="594" w:lineRule="exact"/>
        <w:ind w:firstLine="640" w:firstLineChars="200"/>
        <w:jc w:val="both"/>
        <w:rPr>
          <w:rFonts w:hint="default" w:ascii="Times New Roman" w:hAnsi="Times New Roman" w:eastAsia="方正仿宋_GBK"/>
          <w:bCs/>
          <w:sz w:val="32"/>
        </w:rPr>
      </w:pPr>
      <w:r>
        <w:rPr>
          <w:rFonts w:hint="default" w:ascii="Times New Roman" w:hAnsi="Times New Roman" w:eastAsia="方正仿宋_GBK"/>
          <w:bCs/>
          <w:sz w:val="32"/>
        </w:rPr>
        <w:t>中国共产党垫江县委员会统一战线工作部是县委主管全县统一战线工作的县委工作机构，主要职能职责是：</w:t>
      </w:r>
    </w:p>
    <w:p>
      <w:pPr>
        <w:widowControl w:val="0"/>
        <w:spacing w:line="594" w:lineRule="exact"/>
        <w:ind w:right="46" w:firstLine="640" w:firstLineChars="200"/>
        <w:jc w:val="both"/>
        <w:rPr>
          <w:rFonts w:hint="default" w:ascii="Times New Roman" w:hAnsi="Times New Roman" w:eastAsia="方正仿宋_GBK"/>
          <w:bCs/>
          <w:sz w:val="32"/>
        </w:rPr>
      </w:pPr>
      <w:r>
        <w:rPr>
          <w:rFonts w:hint="default" w:ascii="Times New Roman" w:hAnsi="Times New Roman" w:eastAsia="方正仿宋_GBK"/>
          <w:bCs/>
          <w:sz w:val="32"/>
        </w:rPr>
        <w:t>1.贯彻落实加强党对统一战线工作集中统一领导的要求，发挥县委在统战工作方面的参谋机构、组织协调机构、具体执行机构、督促检查机构作用，了解情况、掌握政策、协调关系、安排人事、增进共识、加强团结，协调统一战线各方面关系，组织和落实党中央关于统一战线工作的决策部署和市委、县委工作要求，巩固壮大最广泛的统一战线。</w:t>
      </w:r>
    </w:p>
    <w:p>
      <w:pPr>
        <w:widowControl w:val="0"/>
        <w:spacing w:line="594" w:lineRule="exact"/>
        <w:ind w:right="46" w:firstLine="640" w:firstLineChars="200"/>
        <w:jc w:val="both"/>
        <w:rPr>
          <w:rFonts w:hint="default" w:ascii="Times New Roman" w:hAnsi="Times New Roman" w:eastAsia="方正仿宋_GBK"/>
          <w:bCs/>
          <w:sz w:val="32"/>
        </w:rPr>
      </w:pPr>
      <w:r>
        <w:rPr>
          <w:rFonts w:hint="default" w:ascii="Times New Roman" w:hAnsi="Times New Roman" w:eastAsia="方正仿宋_GBK"/>
          <w:bCs/>
          <w:sz w:val="32"/>
        </w:rPr>
        <w:t>2.贯彻落实统一战线工作的理论、政策和法律法规，及时向县委报告统一战线工作</w:t>
      </w:r>
      <w:bookmarkStart w:id="0" w:name="page1"/>
      <w:bookmarkEnd w:id="0"/>
      <w:r>
        <w:rPr>
          <w:rFonts w:hint="default" w:ascii="Times New Roman" w:hAnsi="Times New Roman" w:eastAsia="方正仿宋_GBK"/>
          <w:bCs/>
          <w:sz w:val="32"/>
        </w:rPr>
        <w:t>情况并提出建议，组织协调统一战线政策和法律法规的贯彻落实、检查执行情况，统筹协调和指导各乡镇（街道）各部门各单位统一战线工作。</w:t>
      </w:r>
    </w:p>
    <w:p>
      <w:pPr>
        <w:widowControl w:val="0"/>
        <w:spacing w:line="594" w:lineRule="exact"/>
        <w:ind w:right="46" w:firstLine="640" w:firstLineChars="200"/>
        <w:jc w:val="both"/>
        <w:rPr>
          <w:rFonts w:hint="default" w:ascii="Times New Roman" w:hAnsi="Times New Roman" w:eastAsia="方正仿宋_GBK"/>
          <w:bCs/>
          <w:sz w:val="32"/>
        </w:rPr>
      </w:pPr>
      <w:r>
        <w:rPr>
          <w:rFonts w:hint="default" w:ascii="Times New Roman" w:hAnsi="Times New Roman" w:eastAsia="方正仿宋_GBK"/>
          <w:bCs/>
          <w:sz w:val="32"/>
        </w:rPr>
        <w:t>3.负责发现、培养党外代表人士，负责党外人士的政治安排，会同有关部门做好安排党外人士担任政府和司法机关等领导职务的工作，协助民主党派、县工商联做好干部管理工作，反映和协调解决党外代表人士工作生活中的实际困难。</w:t>
      </w:r>
    </w:p>
    <w:p>
      <w:pPr>
        <w:widowControl w:val="0"/>
        <w:spacing w:line="594" w:lineRule="exact"/>
        <w:ind w:firstLine="640" w:firstLineChars="200"/>
        <w:jc w:val="both"/>
        <w:rPr>
          <w:rFonts w:hint="default" w:ascii="Times New Roman" w:hAnsi="Times New Roman" w:eastAsia="方正仿宋_GBK"/>
          <w:bCs/>
          <w:sz w:val="32"/>
        </w:rPr>
      </w:pPr>
      <w:r>
        <w:rPr>
          <w:rFonts w:hint="default" w:ascii="Times New Roman" w:hAnsi="Times New Roman" w:eastAsia="方正仿宋_GBK"/>
          <w:bCs/>
          <w:sz w:val="32"/>
        </w:rPr>
        <w:t>4.负责联系全县各民主党派，通报情况、反映意见，贯彻落实中国共产党领导的多党合作和政治协商制度以及对民主党派的方针政策，支持、帮助全县民主党派加强自身建设，做好支持全县民主党派履行职责、发挥作用的工作。</w:t>
      </w:r>
    </w:p>
    <w:p>
      <w:pPr>
        <w:widowControl w:val="0"/>
        <w:spacing w:line="594" w:lineRule="exact"/>
        <w:ind w:firstLine="640" w:firstLineChars="200"/>
        <w:jc w:val="both"/>
        <w:rPr>
          <w:rFonts w:hint="default" w:ascii="Times New Roman" w:hAnsi="Times New Roman" w:eastAsia="方正仿宋_GBK"/>
          <w:bCs/>
          <w:sz w:val="32"/>
        </w:rPr>
      </w:pPr>
      <w:r>
        <w:rPr>
          <w:rFonts w:hint="default" w:ascii="Times New Roman" w:hAnsi="Times New Roman" w:eastAsia="方正仿宋_GBK"/>
          <w:bCs/>
          <w:sz w:val="32"/>
        </w:rPr>
        <w:t>5.贯彻落实党的民族工作方针、政策和法律法规，牵头协调检查落实情况，协调处理民族工作中的重大问题，根据分工做好少数民族干部工作，依法管理民族事务，全面促进全县民族事业发展。</w:t>
      </w:r>
    </w:p>
    <w:p>
      <w:pPr>
        <w:widowControl w:val="0"/>
        <w:spacing w:line="594" w:lineRule="exact"/>
        <w:ind w:firstLine="640" w:firstLineChars="200"/>
        <w:jc w:val="both"/>
        <w:rPr>
          <w:rFonts w:hint="default" w:ascii="Times New Roman" w:hAnsi="Times New Roman" w:eastAsia="方正仿宋_GBK"/>
          <w:bCs/>
          <w:sz w:val="32"/>
        </w:rPr>
      </w:pPr>
      <w:r>
        <w:rPr>
          <w:rFonts w:hint="default" w:ascii="Times New Roman" w:hAnsi="Times New Roman" w:eastAsia="方正仿宋_GBK"/>
          <w:bCs/>
          <w:sz w:val="32"/>
        </w:rPr>
        <w:t>6.统一领导全县宗教工作，贯彻落实党的宗教工作基本方针和政策，牵头协调检查落实情况，依法管理宗教行政事务、保护公民宗教信仰自由和正常的宗教活动、维护宗教界合法权益、抵御境外利用宗教进行渗透，引导各宗教坚持中国化方向，巩固和发展同宗教界的爱国统一战线。</w:t>
      </w:r>
    </w:p>
    <w:p>
      <w:pPr>
        <w:widowControl w:val="0"/>
        <w:spacing w:line="594" w:lineRule="exact"/>
        <w:ind w:firstLine="640" w:firstLineChars="200"/>
        <w:jc w:val="both"/>
        <w:rPr>
          <w:rFonts w:hint="default" w:ascii="Times New Roman" w:hAnsi="Times New Roman" w:eastAsia="方正仿宋_GBK"/>
          <w:bCs/>
          <w:sz w:val="32"/>
        </w:rPr>
      </w:pPr>
      <w:r>
        <w:rPr>
          <w:rFonts w:hint="default" w:ascii="Times New Roman" w:hAnsi="Times New Roman" w:eastAsia="方正仿宋_GBK"/>
          <w:bCs/>
          <w:sz w:val="32"/>
        </w:rPr>
        <w:t>7.统一领导全县海外统战工作，牵头开展港澳统战工作，开展对台统战工作。贯彻落实党中央、市委海外统战工作政策、规划和县委的相关的工作部署，会同有关部门落实香港、澳门地区统一战线工作政策，贯彻执行党中央</w:t>
      </w:r>
      <w:r>
        <w:rPr>
          <w:rFonts w:hint="eastAsia" w:ascii="Times New Roman" w:hAnsi="Times New Roman" w:eastAsia="方正仿宋_GBK"/>
          <w:bCs/>
          <w:sz w:val="32"/>
          <w:lang w:eastAsia="zh-CN"/>
        </w:rPr>
        <w:t>、</w:t>
      </w:r>
      <w:bookmarkStart w:id="2" w:name="_GoBack"/>
      <w:bookmarkEnd w:id="2"/>
      <w:r>
        <w:rPr>
          <w:rFonts w:hint="default" w:ascii="Times New Roman" w:hAnsi="Times New Roman" w:eastAsia="方正仿宋_GBK"/>
          <w:bCs/>
          <w:sz w:val="32"/>
        </w:rPr>
        <w:t>国务院、市委市政府确定的对台工作的方针政策，联系香港、澳门、台湾有关党派、团体及代表人士，联系海外有关社团及代表人士，做好台胞、台属有关工作。</w:t>
      </w:r>
    </w:p>
    <w:p>
      <w:pPr>
        <w:widowControl w:val="0"/>
        <w:spacing w:line="594" w:lineRule="exact"/>
        <w:ind w:firstLine="640" w:firstLineChars="200"/>
        <w:jc w:val="both"/>
        <w:rPr>
          <w:rFonts w:hint="default" w:ascii="Times New Roman" w:hAnsi="Times New Roman" w:eastAsia="方正仿宋_GBK"/>
          <w:bCs/>
          <w:sz w:val="32"/>
        </w:rPr>
      </w:pPr>
      <w:r>
        <w:rPr>
          <w:rFonts w:hint="default" w:ascii="Times New Roman" w:hAnsi="Times New Roman" w:eastAsia="方正仿宋_GBK"/>
          <w:bCs/>
          <w:sz w:val="32"/>
        </w:rPr>
        <w:t>8.参与制定、推动贯彻落实党中央、市委和县委鼓励支持引导非公有制经济发展的方针和政策，调查研究我县非公有制经济人士情况并提出政策建议，了解和反映非公有制经济人士的意见，团结、服务、引导、教育我县非公有制经济人士，促进全县非公有制经济健康发展和非公有制经济人士健康成长。</w:t>
      </w:r>
    </w:p>
    <w:p>
      <w:pPr>
        <w:widowControl w:val="0"/>
        <w:spacing w:line="594" w:lineRule="exact"/>
        <w:ind w:firstLine="640" w:firstLineChars="200"/>
        <w:jc w:val="both"/>
        <w:rPr>
          <w:rFonts w:hint="default" w:ascii="Times New Roman" w:hAnsi="Times New Roman" w:eastAsia="方正仿宋_GBK"/>
          <w:bCs/>
          <w:sz w:val="32"/>
        </w:rPr>
      </w:pPr>
      <w:r>
        <w:rPr>
          <w:rFonts w:hint="default" w:ascii="Times New Roman" w:hAnsi="Times New Roman" w:eastAsia="方正仿宋_GBK"/>
          <w:bCs/>
          <w:sz w:val="32"/>
        </w:rPr>
        <w:t>9.负责联系、培养全县无党派代表人士，支持、帮助无党派人士加强自身建设、发挥作用。调查研究我县党外知识分子和新的社会阶层人士情况并提出政策建议，联系、培养党外知识分子和新的社会阶层代表人士，开展思想政治工作，指导县级有关单位、企事业等有关单位和社会组织开展党外知识分子和新的社会阶层人士统战工作。做好全县出国和归国留学人员统战工作。</w:t>
      </w:r>
    </w:p>
    <w:p>
      <w:pPr>
        <w:widowControl w:val="0"/>
        <w:spacing w:line="594" w:lineRule="exact"/>
        <w:ind w:firstLine="640" w:firstLineChars="200"/>
        <w:jc w:val="both"/>
        <w:rPr>
          <w:rFonts w:hint="default" w:ascii="Times New Roman" w:hAnsi="Times New Roman" w:eastAsia="方正仿宋_GBK"/>
          <w:bCs/>
          <w:sz w:val="32"/>
        </w:rPr>
      </w:pPr>
      <w:r>
        <w:rPr>
          <w:rFonts w:hint="default" w:ascii="Times New Roman" w:hAnsi="Times New Roman" w:eastAsia="方正仿宋_GBK"/>
          <w:bCs/>
          <w:sz w:val="32"/>
        </w:rPr>
        <w:t>10.统一管理全县侨务工作，管理侨务行政事务，贯彻党中央、市委侨务工作政策和规划，调查研究侨情和侨务工作情况，统筹协调有关部门和社会团体涉侨工作，联系海外有关侨团及代表人士，指导推动涉侨宣传、文化交流、华文教育工作等，保护华侨和归侨侨眷在我县的合法权利和利益。</w:t>
      </w:r>
    </w:p>
    <w:p>
      <w:pPr>
        <w:widowControl w:val="0"/>
        <w:spacing w:line="594" w:lineRule="exact"/>
        <w:ind w:firstLine="640" w:firstLineChars="200"/>
        <w:jc w:val="both"/>
        <w:rPr>
          <w:rFonts w:hint="default" w:ascii="Times New Roman" w:hAnsi="Times New Roman" w:eastAsia="方正仿宋_GBK"/>
          <w:bCs/>
          <w:sz w:val="32"/>
        </w:rPr>
      </w:pPr>
      <w:r>
        <w:rPr>
          <w:rFonts w:hint="default" w:ascii="Times New Roman" w:hAnsi="Times New Roman" w:eastAsia="方正仿宋_GBK"/>
          <w:bCs/>
          <w:sz w:val="32"/>
        </w:rPr>
        <w:t>11.贯彻落实党的宣传工作方针，统筹推进全县统一战线宣传工作和理论政策研究工作。研判涉及统一战线的舆情并协同有关部门应对处置。</w:t>
      </w:r>
    </w:p>
    <w:p>
      <w:pPr>
        <w:widowControl w:val="0"/>
        <w:spacing w:line="594" w:lineRule="exact"/>
        <w:ind w:left="60" w:right="60" w:firstLine="640" w:firstLineChars="200"/>
        <w:jc w:val="both"/>
        <w:rPr>
          <w:rFonts w:hint="default" w:ascii="Times New Roman" w:hAnsi="Times New Roman" w:eastAsia="方正仿宋_GBK"/>
          <w:bCs/>
          <w:sz w:val="32"/>
        </w:rPr>
      </w:pPr>
      <w:r>
        <w:rPr>
          <w:rFonts w:hint="default" w:ascii="Times New Roman" w:hAnsi="Times New Roman" w:eastAsia="方正仿宋_GBK"/>
          <w:bCs/>
          <w:sz w:val="32"/>
        </w:rPr>
        <w:t>12.协助管理乡镇（街道）党（工）委统战委员。受县委委托，领导县工商联党组，指导县工商联工作。指导垫江社会主义学院工作。做好全县统一战线有关单位和团体的管理工作。</w:t>
      </w:r>
    </w:p>
    <w:p>
      <w:pPr>
        <w:widowControl w:val="0"/>
        <w:spacing w:line="594" w:lineRule="exact"/>
        <w:ind w:right="46" w:firstLine="640" w:firstLineChars="200"/>
        <w:jc w:val="both"/>
        <w:rPr>
          <w:rFonts w:hint="default" w:ascii="Times New Roman" w:hAnsi="Times New Roman" w:eastAsia="方正仿宋_GBK"/>
          <w:bCs/>
          <w:sz w:val="32"/>
        </w:rPr>
      </w:pPr>
      <w:r>
        <w:rPr>
          <w:rFonts w:hint="default" w:ascii="Times New Roman" w:hAnsi="Times New Roman" w:eastAsia="方正仿宋_GBK"/>
          <w:bCs/>
          <w:sz w:val="32"/>
        </w:rPr>
        <w:t>13.负责机关、直属单位和主管的社会组织党建工作。</w:t>
      </w:r>
    </w:p>
    <w:p>
      <w:pPr>
        <w:widowControl w:val="0"/>
        <w:spacing w:line="594" w:lineRule="exact"/>
        <w:ind w:right="46" w:firstLine="640" w:firstLineChars="200"/>
        <w:jc w:val="both"/>
        <w:rPr>
          <w:rFonts w:hint="default" w:ascii="Times New Roman" w:hAnsi="Times New Roman" w:eastAsia="方正仿宋_GBK"/>
          <w:sz w:val="32"/>
          <w:szCs w:val="32"/>
        </w:rPr>
      </w:pPr>
      <w:r>
        <w:rPr>
          <w:rFonts w:hint="default" w:ascii="Times New Roman" w:hAnsi="Times New Roman" w:eastAsia="方正仿宋_GBK"/>
          <w:bCs/>
          <w:sz w:val="32"/>
        </w:rPr>
        <w:t>14.完成县委交办的其他任务。</w:t>
      </w:r>
    </w:p>
    <w:p>
      <w:pPr>
        <w:pStyle w:val="6"/>
        <w:shd w:val="clear" w:color="auto" w:fill="FFFFFF"/>
        <w:spacing w:beforeAutospacing="0" w:after="0" w:afterAutospacing="0" w:line="594" w:lineRule="exact"/>
        <w:ind w:firstLine="420"/>
        <w:rPr>
          <w:rFonts w:hint="default" w:ascii="Times New Roman" w:hAnsi="Times New Roman" w:eastAsia="楷体"/>
          <w:sz w:val="32"/>
          <w:szCs w:val="32"/>
        </w:rPr>
      </w:pPr>
      <w:r>
        <w:rPr>
          <w:rStyle w:val="10"/>
          <w:rFonts w:hint="default" w:ascii="Times New Roman" w:hAnsi="Times New Roman" w:eastAsia="楷体"/>
          <w:sz w:val="32"/>
          <w:szCs w:val="32"/>
          <w:shd w:val="clear" w:color="auto" w:fill="FFFFFF"/>
        </w:rPr>
        <w:t>（二）机构设置</w:t>
      </w:r>
    </w:p>
    <w:p>
      <w:pPr>
        <w:widowControl w:val="0"/>
        <w:autoSpaceDE w:val="0"/>
        <w:spacing w:line="594" w:lineRule="exact"/>
        <w:ind w:firstLine="640" w:firstLineChars="200"/>
        <w:jc w:val="both"/>
        <w:rPr>
          <w:rFonts w:hint="default" w:ascii="Times New Roman" w:hAnsi="Times New Roman" w:eastAsia="方正仿宋_GBK"/>
          <w:sz w:val="32"/>
          <w:szCs w:val="32"/>
        </w:rPr>
      </w:pPr>
      <w:r>
        <w:rPr>
          <w:rFonts w:ascii="Times New Roman" w:hAnsi="Times New Roman" w:eastAsia="方正仿宋_GBK"/>
          <w:bCs/>
          <w:sz w:val="32"/>
        </w:rPr>
        <w:t>本单位</w:t>
      </w:r>
      <w:r>
        <w:rPr>
          <w:rFonts w:hint="default" w:ascii="Times New Roman" w:hAnsi="Times New Roman" w:eastAsia="方正仿宋_GBK"/>
          <w:bCs/>
          <w:sz w:val="32"/>
        </w:rPr>
        <w:t>内设办公室、干部科、民主党派工作科、民族宗教工作科、港澳台侨统战工作科、新的社会阶层人士统战工作科。2024年末，本级实有在职人数11人。</w:t>
      </w:r>
    </w:p>
    <w:p>
      <w:pPr>
        <w:pStyle w:val="6"/>
        <w:shd w:val="clear" w:color="auto" w:fill="FFFFFF"/>
        <w:spacing w:beforeAutospacing="0" w:after="0" w:afterAutospacing="0" w:line="594" w:lineRule="exact"/>
        <w:ind w:firstLine="643" w:firstLineChars="200"/>
        <w:rPr>
          <w:rStyle w:val="10"/>
          <w:rFonts w:hint="default" w:ascii="Times New Roman" w:hAnsi="Times New Roman" w:eastAsia="黑体"/>
          <w:sz w:val="32"/>
          <w:szCs w:val="32"/>
          <w:shd w:val="clear" w:color="auto" w:fill="FFFFFF"/>
        </w:rPr>
      </w:pPr>
      <w:r>
        <w:rPr>
          <w:rStyle w:val="10"/>
          <w:rFonts w:hint="default" w:ascii="Times New Roman" w:hAnsi="Times New Roman" w:eastAsia="黑体"/>
          <w:sz w:val="32"/>
          <w:szCs w:val="32"/>
          <w:shd w:val="clear" w:color="auto" w:fill="FFFFFF"/>
        </w:rPr>
        <w:t>二、</w:t>
      </w:r>
      <w:r>
        <w:rPr>
          <w:rStyle w:val="10"/>
          <w:rFonts w:ascii="Times New Roman" w:hAnsi="Times New Roman" w:eastAsia="黑体"/>
          <w:sz w:val="32"/>
          <w:szCs w:val="32"/>
          <w:shd w:val="clear" w:color="auto" w:fill="FFFFFF"/>
        </w:rPr>
        <w:t>单位</w:t>
      </w:r>
      <w:r>
        <w:rPr>
          <w:rStyle w:val="10"/>
          <w:rFonts w:ascii="黑体" w:hAnsi="黑体" w:eastAsia="黑体" w:cs="黑体"/>
          <w:sz w:val="32"/>
          <w:szCs w:val="32"/>
          <w:shd w:val="clear" w:color="auto" w:fill="FFFFFF"/>
        </w:rPr>
        <w:t>决算收支情况说明</w:t>
      </w:r>
    </w:p>
    <w:p>
      <w:pPr>
        <w:pStyle w:val="11"/>
        <w:autoSpaceDE w:val="0"/>
        <w:spacing w:line="594"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（一）收入支出决算总体情况说明。</w:t>
      </w:r>
    </w:p>
    <w:p>
      <w:pPr>
        <w:pStyle w:val="6"/>
        <w:shd w:val="clear" w:color="auto" w:fill="FFFFFF"/>
        <w:spacing w:beforeAutospacing="0" w:after="0" w:afterAutospacing="0" w:line="594" w:lineRule="exact"/>
        <w:ind w:firstLine="643" w:firstLineChars="200"/>
        <w:rPr>
          <w:rFonts w:hint="default" w:ascii="Times New Roman" w:hAnsi="Times New Roman" w:eastAsia="方正仿宋_GBK"/>
          <w:sz w:val="32"/>
          <w:szCs w:val="32"/>
        </w:rPr>
      </w:pPr>
      <w:r>
        <w:rPr>
          <w:rStyle w:val="10"/>
          <w:rFonts w:hint="default" w:ascii="Times New Roman" w:hAnsi="Times New Roman" w:eastAsia="方正仿宋_GBK"/>
          <w:sz w:val="32"/>
          <w:szCs w:val="32"/>
          <w:shd w:val="clear" w:color="auto" w:fill="FFFFFF"/>
        </w:rPr>
        <w:t>1.总体情况。</w:t>
      </w:r>
      <w:r>
        <w:rPr>
          <w:rFonts w:hint="default" w:ascii="Times New Roman" w:hAnsi="Times New Roman" w:eastAsia="方正仿宋_GBK"/>
          <w:sz w:val="32"/>
          <w:szCs w:val="32"/>
          <w:shd w:val="clear" w:color="auto" w:fill="FFFFFF"/>
        </w:rPr>
        <w:t>2024年度收入总计481.39万元，支出总计</w:t>
      </w:r>
      <w:r>
        <w:rPr>
          <w:rFonts w:hint="default" w:ascii="Times New Roman" w:hAnsi="Times New Roman" w:eastAsia="方正仿宋_GBK"/>
          <w:sz w:val="32"/>
          <w:szCs w:val="32"/>
        </w:rPr>
        <w:t>481.39</w:t>
      </w:r>
      <w:r>
        <w:rPr>
          <w:rFonts w:hint="default" w:ascii="Times New Roman" w:hAnsi="Times New Roman" w:eastAsia="方正仿宋_GBK"/>
          <w:sz w:val="32"/>
          <w:szCs w:val="32"/>
          <w:shd w:val="clear" w:color="auto" w:fill="FFFFFF"/>
        </w:rPr>
        <w:t>万元。收、支与2023年度相比，减少35.68万元，下降6.90%，主要原因是</w:t>
      </w:r>
      <w:bookmarkStart w:id="1" w:name="OLE_LINK1"/>
      <w:r>
        <w:rPr>
          <w:rFonts w:hint="default" w:ascii="Times New Roman" w:hAnsi="Times New Roman" w:eastAsia="方正仿宋_GBK"/>
          <w:sz w:val="32"/>
          <w:szCs w:val="32"/>
          <w:shd w:val="clear" w:color="auto" w:fill="FFFFFF"/>
        </w:rPr>
        <w:t>厉行过</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紧日子</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原则，勤俭节约，减少开支。</w:t>
      </w:r>
    </w:p>
    <w:bookmarkEnd w:id="1"/>
    <w:p>
      <w:pPr>
        <w:pStyle w:val="6"/>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shd w:val="clear" w:color="auto" w:fill="FFFFFF"/>
        </w:rPr>
      </w:pPr>
      <w:r>
        <w:rPr>
          <w:rStyle w:val="10"/>
          <w:rFonts w:hint="default" w:ascii="Times New Roman" w:hAnsi="Times New Roman" w:eastAsia="方正仿宋_GBK"/>
          <w:sz w:val="32"/>
          <w:szCs w:val="32"/>
          <w:shd w:val="clear" w:color="auto" w:fill="FFFFFF"/>
        </w:rPr>
        <w:t>2.收入情况。</w:t>
      </w:r>
      <w:r>
        <w:rPr>
          <w:rFonts w:hint="default" w:ascii="Times New Roman" w:hAnsi="Times New Roman" w:eastAsia="方正仿宋_GBK"/>
          <w:sz w:val="32"/>
          <w:szCs w:val="32"/>
          <w:shd w:val="clear" w:color="auto" w:fill="FFFFFF"/>
        </w:rPr>
        <w:t>2024年度收入合计481.39万元，与2023年度相比，减少35.23万元，下降6.82%，主要原因是厉行过</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紧日子</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原则，勤俭节约，减少开支。其中：财政拨款收入</w:t>
      </w:r>
      <w:r>
        <w:rPr>
          <w:rFonts w:hint="default" w:ascii="Times New Roman" w:hAnsi="Times New Roman" w:eastAsia="方正仿宋_GBK"/>
          <w:sz w:val="32"/>
          <w:szCs w:val="32"/>
        </w:rPr>
        <w:t>481.39</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100.00</w:t>
      </w:r>
      <w:r>
        <w:rPr>
          <w:rFonts w:hint="default" w:ascii="Times New Roman" w:hAnsi="Times New Roman" w:eastAsia="方正仿宋_GBK"/>
          <w:sz w:val="32"/>
          <w:szCs w:val="32"/>
          <w:shd w:val="clear" w:color="auto" w:fill="FFFFFF"/>
        </w:rPr>
        <w:t>%；事业收入</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万元，占0.00%；经营收入</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万元，占0.00%；其他收入</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万元，占0.00%。此外，使用非财政拨款结余和专用结余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万元，年初结转和结余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w:t>
      </w:r>
    </w:p>
    <w:p>
      <w:pPr>
        <w:pStyle w:val="6"/>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shd w:val="clear" w:color="auto" w:fill="FFFFFF"/>
        </w:rPr>
      </w:pPr>
      <w:r>
        <w:rPr>
          <w:rStyle w:val="10"/>
          <w:rFonts w:hint="default" w:ascii="Times New Roman" w:hAnsi="Times New Roman" w:eastAsia="方正仿宋_GBK"/>
          <w:sz w:val="32"/>
          <w:szCs w:val="32"/>
          <w:shd w:val="clear" w:color="auto" w:fill="FFFFFF"/>
        </w:rPr>
        <w:t>3.支出情况。</w:t>
      </w:r>
      <w:r>
        <w:rPr>
          <w:rFonts w:hint="default" w:ascii="Times New Roman" w:hAnsi="Times New Roman" w:eastAsia="方正仿宋_GBK"/>
          <w:sz w:val="32"/>
          <w:szCs w:val="32"/>
          <w:shd w:val="clear" w:color="auto" w:fill="FFFFFF"/>
        </w:rPr>
        <w:t>2024年度支出合计</w:t>
      </w:r>
      <w:r>
        <w:rPr>
          <w:rFonts w:hint="default" w:ascii="Times New Roman" w:hAnsi="Times New Roman" w:eastAsia="方正仿宋_GBK"/>
          <w:sz w:val="32"/>
          <w:szCs w:val="32"/>
        </w:rPr>
        <w:t>481.39</w:t>
      </w:r>
      <w:r>
        <w:rPr>
          <w:rFonts w:hint="default" w:ascii="Times New Roman" w:hAnsi="Times New Roman" w:eastAsia="方正仿宋_GBK"/>
          <w:sz w:val="32"/>
          <w:szCs w:val="32"/>
          <w:shd w:val="clear" w:color="auto" w:fill="FFFFFF"/>
        </w:rPr>
        <w:t>万元，与2023年度相比，减少35.58万元，下降6.88%，主要原因是厉行过</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紧日子</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原则，勤俭节约，减少开支。其中：基本支出</w:t>
      </w:r>
      <w:r>
        <w:rPr>
          <w:rFonts w:hint="default" w:ascii="Times New Roman" w:hAnsi="Times New Roman" w:eastAsia="方正仿宋_GBK"/>
          <w:sz w:val="32"/>
          <w:szCs w:val="32"/>
        </w:rPr>
        <w:t>359.79</w:t>
      </w:r>
      <w:r>
        <w:rPr>
          <w:rFonts w:hint="default" w:ascii="Times New Roman" w:hAnsi="Times New Roman" w:eastAsia="方正仿宋_GBK"/>
          <w:sz w:val="32"/>
          <w:szCs w:val="32"/>
          <w:shd w:val="clear" w:color="auto" w:fill="FFFFFF"/>
        </w:rPr>
        <w:t>万元，占74.74%；项目支出</w:t>
      </w:r>
      <w:r>
        <w:rPr>
          <w:rFonts w:hint="default" w:ascii="Times New Roman" w:hAnsi="Times New Roman" w:eastAsia="方正仿宋_GBK"/>
          <w:sz w:val="32"/>
          <w:szCs w:val="32"/>
        </w:rPr>
        <w:t>121.60</w:t>
      </w:r>
      <w:r>
        <w:rPr>
          <w:rFonts w:hint="default" w:ascii="Times New Roman" w:hAnsi="Times New Roman" w:eastAsia="方正仿宋_GBK"/>
          <w:sz w:val="32"/>
          <w:szCs w:val="32"/>
          <w:shd w:val="clear" w:color="auto" w:fill="FFFFFF"/>
        </w:rPr>
        <w:t>万元，占25.26%；经营支出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万元，占0.00%。此外，结余分配</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w:t>
      </w:r>
    </w:p>
    <w:p>
      <w:pPr>
        <w:pStyle w:val="6"/>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shd w:val="clear" w:color="auto" w:fill="FFFFFF"/>
        </w:rPr>
      </w:pPr>
      <w:r>
        <w:rPr>
          <w:rStyle w:val="10"/>
          <w:rFonts w:hint="default" w:ascii="Times New Roman" w:hAnsi="Times New Roman" w:eastAsia="方正仿宋_GBK"/>
          <w:sz w:val="32"/>
          <w:szCs w:val="32"/>
          <w:shd w:val="clear" w:color="auto" w:fill="FFFFFF"/>
        </w:rPr>
        <w:t>4.结转结余情况。</w:t>
      </w:r>
      <w:r>
        <w:rPr>
          <w:rFonts w:hint="default" w:ascii="Times New Roman" w:hAnsi="Times New Roman" w:eastAsia="方正仿宋_GBK"/>
          <w:sz w:val="32"/>
          <w:szCs w:val="32"/>
          <w:shd w:val="clear" w:color="auto" w:fill="FFFFFF"/>
        </w:rPr>
        <w:t>2024年度年末结转和结余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万元，与2023年度相比，减少0.10万元，下降100.00%，主要原因是上年度</w:t>
      </w:r>
      <w:r>
        <w:rPr>
          <w:rFonts w:ascii="Times New Roman" w:hAnsi="Times New Roman" w:eastAsia="方正仿宋_GBK"/>
          <w:sz w:val="32"/>
          <w:szCs w:val="32"/>
          <w:shd w:val="clear" w:color="auto" w:fill="FFFFFF"/>
        </w:rPr>
        <w:t>结余</w:t>
      </w:r>
      <w:r>
        <w:rPr>
          <w:rFonts w:hint="default" w:ascii="Times New Roman" w:hAnsi="Times New Roman" w:eastAsia="方正仿宋_GBK"/>
          <w:sz w:val="32"/>
          <w:szCs w:val="32"/>
          <w:shd w:val="clear" w:color="auto" w:fill="FFFFFF"/>
        </w:rPr>
        <w:t>本年</w:t>
      </w:r>
      <w:r>
        <w:rPr>
          <w:rFonts w:ascii="Times New Roman" w:hAnsi="Times New Roman" w:eastAsia="方正仿宋_GBK"/>
          <w:sz w:val="32"/>
          <w:szCs w:val="32"/>
          <w:shd w:val="clear" w:color="auto" w:fill="FFFFFF"/>
        </w:rPr>
        <w:t>收缴</w:t>
      </w:r>
      <w:r>
        <w:rPr>
          <w:rFonts w:hint="default" w:ascii="Times New Roman" w:hAnsi="Times New Roman" w:eastAsia="方正仿宋_GBK"/>
          <w:sz w:val="32"/>
          <w:szCs w:val="32"/>
          <w:shd w:val="clear" w:color="auto" w:fill="FFFFFF"/>
        </w:rPr>
        <w:t>。</w:t>
      </w:r>
    </w:p>
    <w:p>
      <w:pPr>
        <w:pStyle w:val="11"/>
        <w:autoSpaceDE w:val="0"/>
        <w:spacing w:line="594"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（二）财政拨款收入支出决算总体情况说明</w:t>
      </w:r>
    </w:p>
    <w:p>
      <w:pPr>
        <w:pStyle w:val="6"/>
        <w:shd w:val="clear" w:color="auto" w:fill="FFFFFF"/>
        <w:spacing w:beforeAutospacing="0" w:after="0" w:afterAutospacing="0" w:line="594"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2024年度财政拨款收、支总计481.39万元。与2023年相比，财政拨款收、支总计各减少35.68万元，下降6.90%。主要原因是厉行过</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紧日子</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原则，勤俭节约，减少开支。</w:t>
      </w:r>
    </w:p>
    <w:p>
      <w:pPr>
        <w:pStyle w:val="11"/>
        <w:autoSpaceDE w:val="0"/>
        <w:spacing w:line="594"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（三）一般公共预算财政拨款收入支出决算情况说明</w:t>
      </w:r>
    </w:p>
    <w:p>
      <w:pPr>
        <w:pStyle w:val="6"/>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0"/>
          <w:rFonts w:hint="default" w:ascii="Times New Roman" w:hAnsi="Times New Roman" w:eastAsia="方正仿宋_GBK"/>
          <w:sz w:val="32"/>
          <w:szCs w:val="32"/>
          <w:shd w:val="clear" w:color="auto" w:fill="FFFFFF"/>
        </w:rPr>
        <w:t>1.收入情况。</w:t>
      </w:r>
      <w:r>
        <w:rPr>
          <w:rFonts w:hint="default" w:ascii="Times New Roman" w:hAnsi="Times New Roman" w:eastAsia="方正仿宋_GBK"/>
          <w:sz w:val="32"/>
          <w:szCs w:val="32"/>
          <w:shd w:val="clear" w:color="auto" w:fill="FFFFFF"/>
        </w:rPr>
        <w:t>2024年度一般公共预算财政拨款收入</w:t>
      </w:r>
      <w:r>
        <w:rPr>
          <w:rFonts w:hint="default" w:ascii="Times New Roman" w:hAnsi="Times New Roman" w:eastAsia="方正仿宋_GBK"/>
          <w:sz w:val="32"/>
          <w:szCs w:val="32"/>
        </w:rPr>
        <w:t>481.39</w:t>
      </w:r>
      <w:r>
        <w:rPr>
          <w:rFonts w:hint="default" w:ascii="Times New Roman" w:hAnsi="Times New Roman" w:eastAsia="方正仿宋_GBK"/>
          <w:sz w:val="32"/>
          <w:szCs w:val="32"/>
          <w:shd w:val="clear" w:color="auto" w:fill="FFFFFF"/>
        </w:rPr>
        <w:t>万元，与2023年度相比，减少35.23万元，下降6.82%。主要原因是人员减少，工资福利、商品和服务支出减少。较年初预算数减少40.69万元，下降7.79%。主要原因是厉行过</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紧日子</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原则，勤俭节约，减少开支。此外，年初财政拨款结转和结余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w:t>
      </w:r>
    </w:p>
    <w:p>
      <w:pPr>
        <w:pStyle w:val="6"/>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shd w:val="clear" w:color="auto" w:fill="FFFFFF"/>
        </w:rPr>
      </w:pPr>
      <w:r>
        <w:rPr>
          <w:rStyle w:val="10"/>
          <w:rFonts w:hint="default" w:ascii="Times New Roman" w:hAnsi="Times New Roman" w:eastAsia="方正仿宋_GBK"/>
          <w:sz w:val="32"/>
          <w:szCs w:val="32"/>
          <w:shd w:val="clear" w:color="auto" w:fill="FFFFFF"/>
        </w:rPr>
        <w:t>2.支出情况。</w:t>
      </w:r>
      <w:r>
        <w:rPr>
          <w:rFonts w:hint="default" w:ascii="Times New Roman" w:hAnsi="Times New Roman" w:eastAsia="方正仿宋_GBK"/>
          <w:sz w:val="32"/>
          <w:szCs w:val="32"/>
          <w:shd w:val="clear" w:color="auto" w:fill="FFFFFF"/>
        </w:rPr>
        <w:t>2024年度一般公共预算财政拨款支出</w:t>
      </w:r>
      <w:r>
        <w:rPr>
          <w:rFonts w:hint="default" w:ascii="Times New Roman" w:hAnsi="Times New Roman" w:eastAsia="方正仿宋_GBK"/>
          <w:sz w:val="32"/>
          <w:szCs w:val="32"/>
        </w:rPr>
        <w:t>481.39</w:t>
      </w:r>
      <w:r>
        <w:rPr>
          <w:rFonts w:hint="default" w:ascii="Times New Roman" w:hAnsi="Times New Roman" w:eastAsia="方正仿宋_GBK"/>
          <w:sz w:val="32"/>
          <w:szCs w:val="32"/>
          <w:shd w:val="clear" w:color="auto" w:fill="FFFFFF"/>
        </w:rPr>
        <w:t>万元，与2023年度相比，减少35.58万元，下降6.88%。主要原因是厉行过</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紧日子</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原则，勤俭节约，减少开支。较年初预算数减少40.69万元，下降7.79%。主要原因是人员减少，工资福利、商品和服务支出减少。</w:t>
      </w:r>
    </w:p>
    <w:p>
      <w:pPr>
        <w:pStyle w:val="6"/>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shd w:val="clear" w:color="auto" w:fill="FFFFFF"/>
        </w:rPr>
      </w:pPr>
      <w:r>
        <w:rPr>
          <w:rStyle w:val="10"/>
          <w:rFonts w:hint="default" w:ascii="Times New Roman" w:hAnsi="Times New Roman" w:eastAsia="方正仿宋_GBK"/>
          <w:sz w:val="32"/>
          <w:szCs w:val="32"/>
          <w:shd w:val="clear" w:color="auto" w:fill="FFFFFF"/>
        </w:rPr>
        <w:t>3.结转结余情况。</w:t>
      </w:r>
      <w:r>
        <w:rPr>
          <w:rFonts w:hint="default" w:ascii="Times New Roman" w:hAnsi="Times New Roman" w:eastAsia="方正仿宋_GBK"/>
          <w:sz w:val="32"/>
          <w:szCs w:val="32"/>
          <w:shd w:val="clear" w:color="auto" w:fill="FFFFFF"/>
        </w:rPr>
        <w:t>2024年度年末一般公共预算财政拨款结转和结余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万元，与2023年度相比，减少0.10万元，下降100.00%，主要原因是上年度</w:t>
      </w:r>
      <w:r>
        <w:rPr>
          <w:rFonts w:ascii="Times New Roman" w:hAnsi="Times New Roman" w:eastAsia="方正仿宋_GBK"/>
          <w:sz w:val="32"/>
          <w:szCs w:val="32"/>
          <w:shd w:val="clear" w:color="auto" w:fill="FFFFFF"/>
        </w:rPr>
        <w:t>结余</w:t>
      </w:r>
      <w:r>
        <w:rPr>
          <w:rFonts w:hint="default" w:ascii="Times New Roman" w:hAnsi="Times New Roman" w:eastAsia="方正仿宋_GBK"/>
          <w:sz w:val="32"/>
          <w:szCs w:val="32"/>
          <w:shd w:val="clear" w:color="auto" w:fill="FFFFFF"/>
        </w:rPr>
        <w:t>本年</w:t>
      </w:r>
      <w:r>
        <w:rPr>
          <w:rFonts w:ascii="Times New Roman" w:hAnsi="Times New Roman" w:eastAsia="方正仿宋_GBK"/>
          <w:sz w:val="32"/>
          <w:szCs w:val="32"/>
          <w:shd w:val="clear" w:color="auto" w:fill="FFFFFF"/>
        </w:rPr>
        <w:t>收缴</w:t>
      </w:r>
      <w:r>
        <w:rPr>
          <w:rFonts w:hint="default" w:ascii="Times New Roman" w:hAnsi="Times New Roman" w:eastAsia="方正仿宋_GBK"/>
          <w:sz w:val="32"/>
          <w:szCs w:val="32"/>
          <w:shd w:val="clear" w:color="auto" w:fill="FFFFFF"/>
        </w:rPr>
        <w:t>。</w:t>
      </w:r>
    </w:p>
    <w:p>
      <w:pPr>
        <w:pStyle w:val="6"/>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shd w:val="clear" w:color="auto" w:fill="FFFFFF"/>
        </w:rPr>
      </w:pPr>
      <w:r>
        <w:rPr>
          <w:rStyle w:val="10"/>
          <w:rFonts w:hint="default" w:ascii="Times New Roman" w:hAnsi="Times New Roman" w:eastAsia="方正仿宋_GBK"/>
          <w:sz w:val="32"/>
          <w:szCs w:val="32"/>
          <w:shd w:val="clear" w:color="auto" w:fill="FFFFFF"/>
        </w:rPr>
        <w:t xml:space="preserve"> 4.比较情况。</w:t>
      </w:r>
      <w:r>
        <w:rPr>
          <w:rFonts w:ascii="Times New Roman" w:hAnsi="Times New Roman" w:eastAsia="方正仿宋_GBK"/>
          <w:sz w:val="32"/>
          <w:szCs w:val="32"/>
          <w:shd w:val="clear" w:color="auto" w:fill="FFFFFF"/>
        </w:rPr>
        <w:t>本单位</w:t>
      </w:r>
      <w:r>
        <w:rPr>
          <w:rFonts w:hint="default" w:ascii="Times New Roman" w:hAnsi="Times New Roman" w:eastAsia="方正仿宋_GBK"/>
          <w:sz w:val="32"/>
          <w:szCs w:val="32"/>
          <w:shd w:val="clear" w:color="auto" w:fill="FFFFFF"/>
        </w:rPr>
        <w:t>2024年度一般公共预算财政拨款支出主要用于以下几个方面：</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（1）一般公共服务支出</w:t>
      </w:r>
      <w:r>
        <w:rPr>
          <w:rFonts w:hint="default" w:ascii="Times New Roman" w:hAnsi="Times New Roman" w:eastAsia="方正仿宋_GBK"/>
          <w:sz w:val="32"/>
          <w:szCs w:val="32"/>
        </w:rPr>
        <w:t>375.86</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78.08</w:t>
      </w:r>
      <w:r>
        <w:rPr>
          <w:rFonts w:hint="default" w:ascii="Times New Roman" w:hAnsi="Times New Roman" w:eastAsia="方正仿宋_GBK"/>
          <w:sz w:val="32"/>
          <w:szCs w:val="32"/>
          <w:shd w:val="clear" w:color="auto" w:fill="FFFFFF"/>
        </w:rPr>
        <w:t>%，较年初预算数减少38.07万元，下降9.20%，主要原因是厉行过</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紧日子</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原则，勤俭节约，减少开支。</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（2）教育支出</w:t>
      </w:r>
      <w:r>
        <w:rPr>
          <w:rFonts w:hint="default" w:ascii="Times New Roman" w:hAnsi="Times New Roman" w:eastAsia="方正仿宋_GBK"/>
          <w:sz w:val="32"/>
          <w:szCs w:val="32"/>
        </w:rPr>
        <w:t>0.70</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0.15</w:t>
      </w:r>
      <w:r>
        <w:rPr>
          <w:rFonts w:hint="default" w:ascii="Times New Roman" w:hAnsi="Times New Roman" w:eastAsia="方正仿宋_GBK"/>
          <w:sz w:val="32"/>
          <w:szCs w:val="32"/>
          <w:shd w:val="clear" w:color="auto" w:fill="FFFFFF"/>
        </w:rPr>
        <w:t>%，较年初预算数减少0.19万元，下降21.35%，主要原因是厉行过</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紧日子</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原则，勤俭节约，减少开支。</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（3）社会保障与就业支出</w:t>
      </w:r>
      <w:r>
        <w:rPr>
          <w:rFonts w:hint="default" w:ascii="Times New Roman" w:hAnsi="Times New Roman" w:eastAsia="方正仿宋_GBK"/>
          <w:sz w:val="32"/>
          <w:szCs w:val="32"/>
        </w:rPr>
        <w:t>73.21</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15.21</w:t>
      </w:r>
      <w:r>
        <w:rPr>
          <w:rFonts w:hint="default" w:ascii="Times New Roman" w:hAnsi="Times New Roman" w:eastAsia="方正仿宋_GBK"/>
          <w:sz w:val="32"/>
          <w:szCs w:val="32"/>
          <w:shd w:val="clear" w:color="auto" w:fill="FFFFFF"/>
        </w:rPr>
        <w:t>%，较年初预算数增加3.33万元，增长4.77%，主要原因是社会保障缴费基数调整。</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（4）卫生健康支出</w:t>
      </w:r>
      <w:r>
        <w:rPr>
          <w:rFonts w:hint="default" w:ascii="Times New Roman" w:hAnsi="Times New Roman" w:eastAsia="方正仿宋_GBK"/>
          <w:sz w:val="32"/>
          <w:szCs w:val="32"/>
        </w:rPr>
        <w:t>14.57</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3.03</w:t>
      </w:r>
      <w:r>
        <w:rPr>
          <w:rFonts w:hint="default" w:ascii="Times New Roman" w:hAnsi="Times New Roman" w:eastAsia="方正仿宋_GBK"/>
          <w:sz w:val="32"/>
          <w:szCs w:val="32"/>
          <w:shd w:val="clear" w:color="auto" w:fill="FFFFFF"/>
        </w:rPr>
        <w:t>%，较年初预算数减少1.44万元，下降8.99%，主要原因是年初预算人员调出</w:t>
      </w:r>
      <w:r>
        <w:rPr>
          <w:rFonts w:ascii="Times New Roman" w:hAnsi="Times New Roman" w:eastAsia="方正仿宋_GBK"/>
          <w:sz w:val="32"/>
          <w:szCs w:val="32"/>
          <w:shd w:val="clear" w:color="auto" w:fill="FFFFFF"/>
        </w:rPr>
        <w:t>1名</w:t>
      </w:r>
      <w:r>
        <w:rPr>
          <w:rFonts w:hint="default" w:ascii="Times New Roman" w:hAnsi="Times New Roman" w:eastAsia="方正仿宋_GBK"/>
          <w:sz w:val="32"/>
          <w:szCs w:val="32"/>
          <w:shd w:val="clear" w:color="auto" w:fill="FFFFFF"/>
        </w:rPr>
        <w:t>，医疗保险减少。</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 （5）</w:t>
      </w:r>
      <w:r>
        <w:rPr>
          <w:rFonts w:hint="default" w:ascii="Times New Roman" w:hAnsi="Times New Roman" w:eastAsia="方正仿宋_GBK"/>
          <w:sz w:val="32"/>
          <w:szCs w:val="32"/>
        </w:rPr>
        <w:t>住房保障支出17.05</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3.54</w:t>
      </w:r>
      <w:r>
        <w:rPr>
          <w:rFonts w:hint="default" w:ascii="Times New Roman" w:hAnsi="Times New Roman" w:eastAsia="方正仿宋_GBK"/>
          <w:sz w:val="32"/>
          <w:szCs w:val="32"/>
          <w:shd w:val="clear" w:color="auto" w:fill="FFFFFF"/>
        </w:rPr>
        <w:t>%，较年初预算数减少4.32万元，下降20.22%，主要原因是年初预算人员调出</w:t>
      </w:r>
      <w:r>
        <w:rPr>
          <w:rFonts w:ascii="Times New Roman" w:hAnsi="Times New Roman" w:eastAsia="方正仿宋_GBK"/>
          <w:sz w:val="32"/>
          <w:szCs w:val="32"/>
          <w:shd w:val="clear" w:color="auto" w:fill="FFFFFF"/>
        </w:rPr>
        <w:t>1名</w:t>
      </w:r>
      <w:r>
        <w:rPr>
          <w:rFonts w:hint="default" w:ascii="Times New Roman" w:hAnsi="Times New Roman" w:eastAsia="方正仿宋_GBK"/>
          <w:sz w:val="32"/>
          <w:szCs w:val="32"/>
          <w:shd w:val="clear" w:color="auto" w:fill="FFFFFF"/>
        </w:rPr>
        <w:t>，住房公积金减少。</w:t>
      </w:r>
    </w:p>
    <w:p>
      <w:pPr>
        <w:pStyle w:val="11"/>
        <w:autoSpaceDE w:val="0"/>
        <w:spacing w:line="594"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（四）一般公共预算财政拨款基本支出决算情况说明</w:t>
      </w:r>
    </w:p>
    <w:p>
      <w:pPr>
        <w:pStyle w:val="6"/>
        <w:widowControl w:val="0"/>
        <w:snapToGrid w:val="0"/>
        <w:spacing w:before="0" w:beforeAutospacing="0" w:after="0" w:afterAutospacing="0" w:line="594" w:lineRule="exact"/>
        <w:ind w:firstLine="640" w:firstLineChars="200"/>
        <w:jc w:val="both"/>
        <w:rPr>
          <w:rFonts w:hint="default" w:ascii="Times New Roman" w:hAnsi="Times New Roman" w:eastAsia="方正仿宋_GBK"/>
          <w:bCs/>
          <w:sz w:val="32"/>
          <w:szCs w:val="32"/>
        </w:rPr>
      </w:pPr>
      <w:r>
        <w:rPr>
          <w:rFonts w:hint="default" w:ascii="Times New Roman" w:hAnsi="Times New Roman" w:eastAsia="方正仿宋_GBK"/>
          <w:sz w:val="32"/>
          <w:szCs w:val="32"/>
          <w:shd w:val="clear" w:color="auto" w:fill="FFFFFF"/>
        </w:rPr>
        <w:t> 2024年度一般公共财政拨款基本支出</w:t>
      </w:r>
      <w:r>
        <w:rPr>
          <w:rFonts w:hint="default" w:ascii="Times New Roman" w:hAnsi="Times New Roman" w:eastAsia="方正仿宋_GBK"/>
          <w:sz w:val="32"/>
          <w:szCs w:val="32"/>
        </w:rPr>
        <w:t>359.79</w:t>
      </w:r>
      <w:r>
        <w:rPr>
          <w:rFonts w:hint="default" w:ascii="Times New Roman" w:hAnsi="Times New Roman" w:eastAsia="方正仿宋_GBK"/>
          <w:sz w:val="32"/>
          <w:szCs w:val="32"/>
          <w:shd w:val="clear" w:color="auto" w:fill="FFFFFF"/>
        </w:rPr>
        <w:t>万元。其中：人员经费</w:t>
      </w:r>
      <w:r>
        <w:rPr>
          <w:rFonts w:hint="default" w:ascii="Times New Roman" w:hAnsi="Times New Roman" w:eastAsia="方正仿宋_GBK"/>
          <w:sz w:val="32"/>
          <w:szCs w:val="32"/>
        </w:rPr>
        <w:t>287.24</w:t>
      </w:r>
      <w:r>
        <w:rPr>
          <w:rFonts w:hint="default" w:ascii="Times New Roman" w:hAnsi="Times New Roman" w:eastAsia="方正仿宋_GBK"/>
          <w:sz w:val="32"/>
          <w:szCs w:val="32"/>
          <w:shd w:val="clear" w:color="auto" w:fill="FFFFFF"/>
        </w:rPr>
        <w:t>万元，与2023年度相比，减少13.13万元，下降4.37%，主要原因是人员</w:t>
      </w:r>
      <w:r>
        <w:rPr>
          <w:rFonts w:ascii="Times New Roman" w:hAnsi="Times New Roman" w:eastAsia="方正仿宋_GBK"/>
          <w:sz w:val="32"/>
          <w:szCs w:val="32"/>
          <w:shd w:val="clear" w:color="auto" w:fill="FFFFFF"/>
        </w:rPr>
        <w:t>调出1名</w:t>
      </w:r>
      <w:r>
        <w:rPr>
          <w:rFonts w:hint="default" w:ascii="Times New Roman" w:hAnsi="Times New Roman" w:eastAsia="方正仿宋_GBK"/>
          <w:sz w:val="32"/>
          <w:szCs w:val="32"/>
          <w:shd w:val="clear" w:color="auto" w:fill="FFFFFF"/>
        </w:rPr>
        <w:t>。人员经费用途主要包括</w:t>
      </w:r>
      <w:r>
        <w:rPr>
          <w:rFonts w:hint="default" w:ascii="Times New Roman" w:hAnsi="Times New Roman" w:eastAsia="方正仿宋_GBK"/>
          <w:bCs/>
          <w:sz w:val="32"/>
          <w:szCs w:val="32"/>
        </w:rPr>
        <w:t>工资福利支出。</w:t>
      </w:r>
      <w:r>
        <w:rPr>
          <w:rFonts w:hint="default" w:ascii="Times New Roman" w:hAnsi="Times New Roman" w:eastAsia="方正仿宋_GBK"/>
          <w:sz w:val="32"/>
          <w:szCs w:val="32"/>
          <w:shd w:val="clear" w:color="auto" w:fill="FFFFFF"/>
        </w:rPr>
        <w:t>公用经费</w:t>
      </w:r>
      <w:r>
        <w:rPr>
          <w:rFonts w:hint="default" w:ascii="Times New Roman" w:hAnsi="Times New Roman" w:eastAsia="方正仿宋_GBK"/>
          <w:sz w:val="32"/>
          <w:szCs w:val="32"/>
        </w:rPr>
        <w:t>72.55</w:t>
      </w:r>
      <w:r>
        <w:rPr>
          <w:rFonts w:hint="default" w:ascii="Times New Roman" w:hAnsi="Times New Roman" w:eastAsia="方正仿宋_GBK"/>
          <w:sz w:val="32"/>
          <w:szCs w:val="32"/>
          <w:shd w:val="clear" w:color="auto" w:fill="FFFFFF"/>
        </w:rPr>
        <w:t>万元，与2023年度相比，减少3.13万元，下降4.14%，主要原因是厉行过</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紧日子</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原则，勤俭节约，减少开支。公用经费用途主要包括</w:t>
      </w:r>
      <w:r>
        <w:rPr>
          <w:rFonts w:hint="default" w:ascii="Times New Roman" w:hAnsi="Times New Roman" w:eastAsia="方正仿宋_GBK"/>
          <w:bCs/>
          <w:sz w:val="32"/>
          <w:szCs w:val="32"/>
        </w:rPr>
        <w:t>办公经费、会议费、培训费、公务接待费、公务</w:t>
      </w:r>
      <w:r>
        <w:rPr>
          <w:rFonts w:hint="default" w:ascii="Times New Roman" w:hAnsi="Times New Roman" w:eastAsia="方正仿宋_GBK"/>
          <w:sz w:val="32"/>
          <w:szCs w:val="32"/>
          <w:shd w:val="clear" w:color="auto" w:fill="FFFFFF"/>
        </w:rPr>
        <w:t>用车</w:t>
      </w:r>
      <w:r>
        <w:rPr>
          <w:rFonts w:hint="default" w:ascii="Times New Roman" w:hAnsi="Times New Roman" w:eastAsia="方正仿宋_GBK"/>
          <w:bCs/>
          <w:sz w:val="32"/>
          <w:szCs w:val="32"/>
        </w:rPr>
        <w:t>运行维护费等。</w:t>
      </w:r>
    </w:p>
    <w:p>
      <w:pPr>
        <w:pStyle w:val="11"/>
        <w:autoSpaceDE w:val="0"/>
        <w:spacing w:line="594" w:lineRule="exact"/>
        <w:ind w:firstLine="643"/>
        <w:rPr>
          <w:rFonts w:ascii="Times New Roman" w:hAnsi="Times New Roman" w:eastAsia="楷体"/>
          <w:b/>
          <w:bCs/>
          <w:sz w:val="32"/>
          <w:szCs w:val="32"/>
        </w:rPr>
      </w:pPr>
      <w:r>
        <w:rPr>
          <w:rFonts w:ascii="Times New Roman" w:hAnsi="Times New Roman" w:eastAsia="楷体"/>
          <w:b/>
          <w:bCs/>
          <w:sz w:val="32"/>
          <w:szCs w:val="32"/>
        </w:rPr>
        <w:t>（五）政府性基金预算收支决算情况说明</w:t>
      </w:r>
    </w:p>
    <w:p>
      <w:pPr>
        <w:pStyle w:val="6"/>
        <w:widowControl w:val="0"/>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cs="Times New Roman"/>
          <w:sz w:val="32"/>
          <w:szCs w:val="32"/>
          <w:shd w:val="clear" w:color="auto" w:fill="FFFFFF"/>
        </w:rPr>
        <w:t>2024年度政府性基金预算财政拨款年初结转结余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万元，年末结转结余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万元。本年收入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color w:val="000000" w:themeColor="text1"/>
          <w:sz w:val="32"/>
          <w:szCs w:val="32"/>
          <w:shd w:val="clear" w:color="auto" w:fill="FFFFFF"/>
        </w:rPr>
        <w:t>本年度无政府性基金预算财政拨款收入。</w:t>
      </w:r>
      <w:r>
        <w:rPr>
          <w:rFonts w:hint="default" w:ascii="Times New Roman" w:hAnsi="Times New Roman" w:eastAsia="方正仿宋_GBK" w:cs="Times New Roman"/>
          <w:sz w:val="32"/>
          <w:szCs w:val="32"/>
          <w:shd w:val="clear" w:color="auto" w:fill="FFFFFF"/>
        </w:rPr>
        <w:t>本年支出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color w:val="000000" w:themeColor="text1"/>
          <w:sz w:val="32"/>
          <w:szCs w:val="32"/>
          <w:shd w:val="clear" w:color="auto" w:fill="FFFFFF"/>
        </w:rPr>
        <w:t>是本年度无政府性基金预算财政拨款支出</w:t>
      </w:r>
      <w:r>
        <w:rPr>
          <w:rFonts w:ascii="Times New Roman" w:hAnsi="Times New Roman" w:eastAsia="方正仿宋_GBK"/>
          <w:color w:val="000000" w:themeColor="text1"/>
          <w:sz w:val="32"/>
          <w:szCs w:val="32"/>
          <w:shd w:val="clear" w:color="auto" w:fill="FFFFFF"/>
        </w:rPr>
        <w:t>。本单位2024年度无政府性基金预算财政拨款收支。</w:t>
      </w:r>
    </w:p>
    <w:p>
      <w:pPr>
        <w:pStyle w:val="11"/>
        <w:autoSpaceDE w:val="0"/>
        <w:spacing w:line="594" w:lineRule="exact"/>
        <w:ind w:firstLine="643"/>
        <w:rPr>
          <w:rFonts w:ascii="Times New Roman" w:hAnsi="Times New Roman" w:eastAsia="楷体"/>
          <w:b/>
          <w:bCs/>
          <w:sz w:val="32"/>
          <w:szCs w:val="32"/>
        </w:rPr>
      </w:pPr>
      <w:r>
        <w:rPr>
          <w:rFonts w:ascii="Times New Roman" w:hAnsi="Times New Roman" w:eastAsia="楷体"/>
          <w:b/>
          <w:bCs/>
          <w:sz w:val="32"/>
          <w:szCs w:val="32"/>
        </w:rPr>
        <w:t>（六）国有资本经营预算财政拨款支出决算情况说明</w:t>
      </w:r>
    </w:p>
    <w:p>
      <w:pPr>
        <w:pStyle w:val="6"/>
        <w:widowControl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sz w:val="32"/>
          <w:szCs w:val="32"/>
          <w:shd w:val="clear" w:color="auto" w:fill="FFFFFF"/>
        </w:rPr>
        <w:t> </w:t>
      </w:r>
      <w:r>
        <w:rPr>
          <w:rFonts w:hint="default" w:ascii="Times New Roman" w:hAnsi="Times New Roman" w:eastAsia="方正仿宋_GBK" w:cs="Times New Roman"/>
          <w:sz w:val="32"/>
          <w:szCs w:val="32"/>
          <w:shd w:val="clear" w:color="auto" w:fill="FFFFFF"/>
        </w:rPr>
        <w:t> 2024年度国有资本经营预算财政拨</w:t>
      </w:r>
      <w:r>
        <w:rPr>
          <w:rFonts w:hint="eastAsia" w:ascii="Times New Roman" w:hAnsi="Times New Roman" w:eastAsia="方正仿宋_GBK" w:cs="Times New Roman"/>
          <w:sz w:val="32"/>
          <w:szCs w:val="32"/>
          <w:shd w:val="clear" w:color="auto" w:fill="FFFFFF"/>
          <w:lang w:eastAsia="zh-CN"/>
        </w:rPr>
        <w:t>款</w:t>
      </w:r>
      <w:r>
        <w:rPr>
          <w:rFonts w:hint="default" w:ascii="Times New Roman" w:hAnsi="Times New Roman" w:eastAsia="方正仿宋_GBK" w:cs="Times New Roman"/>
          <w:sz w:val="32"/>
          <w:szCs w:val="32"/>
          <w:shd w:val="clear" w:color="auto" w:fill="FFFFFF"/>
        </w:rPr>
        <w:t>本年支出0.00万元，基本支出0.00万元，项目支出0.00万元。本单位2024年度无国有资本经营预算财政拨款支出。</w:t>
      </w:r>
    </w:p>
    <w:p>
      <w:pPr>
        <w:pStyle w:val="6"/>
        <w:shd w:val="clear" w:color="auto" w:fill="FFFFFF"/>
        <w:spacing w:beforeAutospacing="0" w:after="0" w:afterAutospacing="0" w:line="594" w:lineRule="exact"/>
        <w:ind w:firstLine="643" w:firstLineChars="200"/>
        <w:rPr>
          <w:rStyle w:val="10"/>
          <w:rFonts w:hint="default" w:ascii="Times New Roman" w:hAnsi="Times New Roman" w:eastAsia="黑体"/>
          <w:sz w:val="32"/>
          <w:szCs w:val="32"/>
          <w:shd w:val="clear" w:color="auto" w:fill="FFFFFF"/>
        </w:rPr>
      </w:pPr>
      <w:r>
        <w:rPr>
          <w:rStyle w:val="10"/>
          <w:rFonts w:hint="default" w:ascii="Times New Roman" w:hAnsi="Times New Roman" w:eastAsia="黑体"/>
          <w:sz w:val="32"/>
          <w:szCs w:val="32"/>
          <w:shd w:val="clear" w:color="auto" w:fill="FFFFFF"/>
        </w:rPr>
        <w:t>三、</w:t>
      </w:r>
      <w:r>
        <w:rPr>
          <w:rStyle w:val="10"/>
          <w:rFonts w:ascii="黑体" w:hAnsi="黑体" w:eastAsia="黑体" w:cs="黑体"/>
          <w:sz w:val="32"/>
          <w:szCs w:val="32"/>
          <w:shd w:val="clear" w:color="auto" w:fill="FFFFFF"/>
        </w:rPr>
        <w:t>财政拨款</w:t>
      </w:r>
      <w:r>
        <w:rPr>
          <w:rStyle w:val="10"/>
          <w:rFonts w:hint="eastAsia" w:ascii="黑体" w:hAnsi="黑体" w:eastAsia="黑体" w:cs="黑体"/>
          <w:sz w:val="32"/>
          <w:szCs w:val="32"/>
          <w:shd w:val="clear" w:color="auto" w:fill="FFFFFF"/>
          <w:lang w:eastAsia="zh-CN"/>
        </w:rPr>
        <w:t>三公</w:t>
      </w:r>
      <w:r>
        <w:rPr>
          <w:rStyle w:val="10"/>
          <w:rFonts w:ascii="黑体" w:hAnsi="黑体" w:eastAsia="黑体" w:cs="黑体"/>
          <w:sz w:val="32"/>
          <w:szCs w:val="32"/>
          <w:shd w:val="clear" w:color="auto" w:fill="FFFFFF"/>
        </w:rPr>
        <w:t>经费情况说明</w:t>
      </w:r>
    </w:p>
    <w:p>
      <w:pPr>
        <w:pStyle w:val="11"/>
        <w:autoSpaceDE w:val="0"/>
        <w:spacing w:line="594"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 xml:space="preserve"> （一）</w:t>
      </w:r>
      <w:r>
        <w:rPr>
          <w:rFonts w:hint="eastAsia" w:ascii="Times New Roman" w:hAnsi="Times New Roman" w:eastAsia="楷体"/>
          <w:b/>
          <w:bCs/>
          <w:sz w:val="32"/>
          <w:szCs w:val="32"/>
          <w:shd w:val="clear" w:color="auto" w:fill="FFFFFF"/>
          <w:lang w:eastAsia="zh-CN"/>
        </w:rPr>
        <w:t>三公</w:t>
      </w:r>
      <w:r>
        <w:rPr>
          <w:rFonts w:ascii="Times New Roman" w:hAnsi="Times New Roman" w:eastAsia="楷体"/>
          <w:b/>
          <w:bCs/>
          <w:sz w:val="32"/>
          <w:szCs w:val="32"/>
          <w:shd w:val="clear" w:color="auto" w:fill="FFFFFF"/>
        </w:rPr>
        <w:t>经费支出总体情况说明</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w:t>
      </w:r>
      <w:r>
        <w:rPr>
          <w:rFonts w:hint="eastAsia" w:ascii="Times New Roman" w:hAnsi="Times New Roman" w:eastAsia="方正仿宋_GBK"/>
          <w:sz w:val="32"/>
          <w:szCs w:val="32"/>
          <w:shd w:val="clear" w:color="auto" w:fill="FFFFFF"/>
          <w:lang w:eastAsia="zh-CN"/>
        </w:rPr>
        <w:t>三公</w:t>
      </w:r>
      <w:r>
        <w:rPr>
          <w:rFonts w:hint="default" w:ascii="Times New Roman" w:hAnsi="Times New Roman" w:eastAsia="方正仿宋_GBK"/>
          <w:sz w:val="32"/>
          <w:szCs w:val="32"/>
          <w:shd w:val="clear" w:color="auto" w:fill="FFFFFF"/>
        </w:rPr>
        <w:t>经费支出共计</w:t>
      </w:r>
      <w:r>
        <w:rPr>
          <w:rFonts w:hint="default" w:ascii="Times New Roman" w:hAnsi="Times New Roman" w:eastAsia="方正仿宋_GBK"/>
          <w:sz w:val="32"/>
          <w:szCs w:val="32"/>
        </w:rPr>
        <w:t>5.49</w:t>
      </w:r>
      <w:r>
        <w:rPr>
          <w:rFonts w:hint="default" w:ascii="Times New Roman" w:hAnsi="Times New Roman" w:eastAsia="方正仿宋_GBK"/>
          <w:sz w:val="32"/>
          <w:szCs w:val="32"/>
          <w:shd w:val="clear" w:color="auto" w:fill="FFFFFF"/>
        </w:rPr>
        <w:t>万元，较年初预算数增加2.49万元，增长83.00%，主要原因是公务接待费增加。较上年支出数增加0.44万元，增长8.71%，主要原因是公务接待费增加。</w:t>
      </w:r>
    </w:p>
    <w:p>
      <w:pPr>
        <w:pStyle w:val="11"/>
        <w:autoSpaceDE w:val="0"/>
        <w:spacing w:line="594"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（二）</w:t>
      </w:r>
      <w:r>
        <w:rPr>
          <w:rFonts w:hint="eastAsia" w:ascii="Times New Roman" w:hAnsi="Times New Roman" w:eastAsia="楷体"/>
          <w:b/>
          <w:bCs/>
          <w:sz w:val="32"/>
          <w:szCs w:val="32"/>
          <w:shd w:val="clear" w:color="auto" w:fill="FFFFFF"/>
          <w:lang w:eastAsia="zh-CN"/>
        </w:rPr>
        <w:t>三公</w:t>
      </w:r>
      <w:r>
        <w:rPr>
          <w:rFonts w:ascii="Times New Roman" w:hAnsi="Times New Roman" w:eastAsia="楷体"/>
          <w:b/>
          <w:bCs/>
          <w:sz w:val="32"/>
          <w:szCs w:val="32"/>
          <w:shd w:val="clear" w:color="auto" w:fill="FFFFFF"/>
        </w:rPr>
        <w:t>经费分项支出情况</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ascii="方正仿宋_GBK" w:hAnsi="方正仿宋_GBK" w:eastAsia="方正仿宋_GBK" w:cs="方正仿宋_GBK"/>
          <w:sz w:val="32"/>
          <w:szCs w:val="32"/>
          <w:shd w:val="clear" w:color="auto" w:fill="FFFFFF"/>
        </w:rPr>
        <w:t>2024年度本单位因公出国（境）</w:t>
      </w:r>
      <w:r>
        <w:rPr>
          <w:rFonts w:hint="default" w:ascii="Times New Roman" w:hAnsi="Times New Roman" w:eastAsia="方正仿宋_GBK" w:cs="Times New Roman"/>
          <w:sz w:val="32"/>
          <w:szCs w:val="32"/>
          <w:shd w:val="clear" w:color="auto" w:fill="FFFFFF"/>
        </w:rPr>
        <w:t>费用0.00万元</w:t>
      </w:r>
      <w:r>
        <w:rPr>
          <w:rFonts w:ascii="方正仿宋_GBK" w:hAnsi="方正仿宋_GBK" w:eastAsia="方正仿宋_GBK" w:cs="方正仿宋_GBK"/>
          <w:sz w:val="32"/>
          <w:szCs w:val="32"/>
          <w:shd w:val="clear" w:color="auto" w:fill="FFFFFF"/>
        </w:rPr>
        <w:t>。费用支出较年初预算数无增减，主要原因是年初预算未安排因公出国（境）费用，也未发生因公出国（境）费用。较上年支出数无增减，主要原因是上年和本年均未发生因公出国（境）费用。</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bCs/>
          <w:sz w:val="32"/>
          <w:szCs w:val="32"/>
          <w:shd w:val="clear" w:color="auto" w:fill="FFFFFF"/>
          <w:lang w:bidi="ar"/>
        </w:rPr>
      </w:pPr>
      <w:r>
        <w:rPr>
          <w:rFonts w:hint="default" w:ascii="Times New Roman" w:hAnsi="Times New Roman" w:eastAsia="方正仿宋_GBK"/>
          <w:sz w:val="32"/>
          <w:szCs w:val="32"/>
          <w:shd w:val="clear" w:color="auto" w:fill="FFFFFF"/>
        </w:rPr>
        <w:t> </w:t>
      </w:r>
      <w:r>
        <w:rPr>
          <w:rFonts w:hint="default" w:ascii="Times New Roman" w:hAnsi="Times New Roman" w:eastAsia="方正仿宋_GBK" w:cs="Times New Roman"/>
          <w:sz w:val="32"/>
          <w:szCs w:val="32"/>
          <w:shd w:val="clear" w:color="auto" w:fill="FFFFFF"/>
        </w:rPr>
        <w:t>公务车购置费0.00万元。费</w:t>
      </w:r>
      <w:r>
        <w:rPr>
          <w:rFonts w:ascii="方正仿宋_GBK" w:hAnsi="方正仿宋_GBK" w:eastAsia="方正仿宋_GBK" w:cs="方正仿宋_GBK"/>
          <w:sz w:val="32"/>
          <w:szCs w:val="32"/>
          <w:shd w:val="clear" w:color="auto" w:fill="FFFFFF"/>
        </w:rPr>
        <w:t>用支出较年初预算数无增减，主要原因是年初预算未安排且本年未发生公务车购置费用。较上年支出数无增减，主要原因是上年和本年均未发生公务车购置费用。</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color w:val="333333"/>
          <w:sz w:val="32"/>
          <w:szCs w:val="32"/>
          <w:shd w:val="clear" w:color="auto" w:fill="FFFFFF"/>
        </w:rPr>
      </w:pPr>
      <w:r>
        <w:rPr>
          <w:rFonts w:hint="default" w:ascii="Times New Roman" w:hAnsi="Times New Roman" w:eastAsia="方正仿宋_GBK"/>
          <w:sz w:val="32"/>
          <w:szCs w:val="32"/>
          <w:shd w:val="clear" w:color="auto" w:fill="FFFFFF"/>
        </w:rPr>
        <w:t> 公务车运行维护费</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万元。费用支出较年初预算数无增减，主要原因是</w:t>
      </w:r>
      <w:r>
        <w:rPr>
          <w:rFonts w:hint="default" w:ascii="Times New Roman" w:hAnsi="Times New Roman" w:eastAsia="方正仿宋_GBK"/>
          <w:color w:val="333333"/>
          <w:sz w:val="32"/>
          <w:szCs w:val="32"/>
          <w:shd w:val="clear" w:color="auto" w:fill="FFFFFF"/>
        </w:rPr>
        <w:t>年初预算数未安排公务车运行维护费。</w:t>
      </w:r>
      <w:r>
        <w:rPr>
          <w:rFonts w:hint="default" w:ascii="Times New Roman" w:hAnsi="Times New Roman" w:eastAsia="方正仿宋_GBK"/>
          <w:sz w:val="32"/>
          <w:szCs w:val="32"/>
          <w:shd w:val="clear" w:color="auto" w:fill="FFFFFF"/>
        </w:rPr>
        <w:t>较上年支出数减少3.00万元，下降100.00%，主要原因是</w:t>
      </w:r>
      <w:r>
        <w:rPr>
          <w:rFonts w:hint="default" w:ascii="Times New Roman" w:hAnsi="Times New Roman" w:eastAsia="方正仿宋_GBK"/>
          <w:color w:val="333333"/>
          <w:sz w:val="32"/>
          <w:szCs w:val="32"/>
          <w:shd w:val="clear" w:color="auto" w:fill="FFFFFF"/>
        </w:rPr>
        <w:t>年初预算数未安排公务车运行维护费。</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 公务接待费</w:t>
      </w:r>
      <w:r>
        <w:rPr>
          <w:rFonts w:hint="default" w:ascii="Times New Roman" w:hAnsi="Times New Roman" w:eastAsia="方正仿宋_GBK"/>
          <w:sz w:val="32"/>
          <w:szCs w:val="32"/>
        </w:rPr>
        <w:t>5.49</w:t>
      </w:r>
      <w:r>
        <w:rPr>
          <w:rFonts w:hint="default" w:ascii="Times New Roman" w:hAnsi="Times New Roman" w:eastAsia="方正仿宋_GBK"/>
          <w:sz w:val="32"/>
          <w:szCs w:val="32"/>
          <w:shd w:val="clear" w:color="auto" w:fill="FFFFFF"/>
        </w:rPr>
        <w:t>万元，主要用于招商引资、接待上级、其</w:t>
      </w:r>
      <w:r>
        <w:rPr>
          <w:rFonts w:hint="eastAsia" w:ascii="Times New Roman" w:hAnsi="Times New Roman" w:eastAsia="方正仿宋_GBK"/>
          <w:sz w:val="32"/>
          <w:szCs w:val="32"/>
          <w:shd w:val="clear" w:color="auto" w:fill="FFFFFF"/>
          <w:lang w:eastAsia="zh-CN"/>
        </w:rPr>
        <w:t>他</w:t>
      </w:r>
      <w:r>
        <w:rPr>
          <w:rFonts w:hint="default" w:ascii="Times New Roman" w:hAnsi="Times New Roman" w:eastAsia="方正仿宋_GBK"/>
          <w:sz w:val="32"/>
          <w:szCs w:val="32"/>
          <w:shd w:val="clear" w:color="auto" w:fill="FFFFFF"/>
        </w:rPr>
        <w:t>区县来垫调研。费用支出较年初预算数增加2.49万元，增长83.00%，主要原因是</w:t>
      </w:r>
      <w:r>
        <w:rPr>
          <w:rFonts w:ascii="Times New Roman" w:hAnsi="Times New Roman" w:eastAsia="方正仿宋_GBK"/>
          <w:sz w:val="32"/>
          <w:szCs w:val="32"/>
          <w:shd w:val="clear" w:color="auto" w:fill="FFFFFF"/>
        </w:rPr>
        <w:t>本单位</w:t>
      </w:r>
      <w:r>
        <w:rPr>
          <w:rFonts w:hint="default" w:ascii="Times New Roman" w:hAnsi="Times New Roman" w:eastAsia="方正仿宋_GBK"/>
          <w:sz w:val="32"/>
          <w:szCs w:val="32"/>
          <w:shd w:val="clear" w:color="auto" w:fill="FFFFFF"/>
        </w:rPr>
        <w:t>本年度承担异地商会回垫、市委统战部帮扶大石乡振兴等活动增多。较上年支出数增加3.44万元，增长167.80%，主要原因是</w:t>
      </w:r>
      <w:r>
        <w:rPr>
          <w:rFonts w:ascii="Times New Roman" w:hAnsi="Times New Roman" w:eastAsia="方正仿宋_GBK"/>
          <w:sz w:val="32"/>
          <w:szCs w:val="32"/>
          <w:shd w:val="clear" w:color="auto" w:fill="FFFFFF"/>
        </w:rPr>
        <w:t>本单位</w:t>
      </w:r>
      <w:r>
        <w:rPr>
          <w:rFonts w:hint="default" w:ascii="Times New Roman" w:hAnsi="Times New Roman" w:eastAsia="方正仿宋_GBK"/>
          <w:sz w:val="32"/>
          <w:szCs w:val="32"/>
          <w:shd w:val="clear" w:color="auto" w:fill="FFFFFF"/>
        </w:rPr>
        <w:t>本年度承担异地商会回垫、市委统战部帮扶大石乡振兴等活动增多。</w:t>
      </w:r>
    </w:p>
    <w:p>
      <w:pPr>
        <w:pStyle w:val="11"/>
        <w:autoSpaceDE w:val="0"/>
        <w:spacing w:line="594"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（三）</w:t>
      </w:r>
      <w:r>
        <w:rPr>
          <w:rFonts w:hint="eastAsia" w:ascii="Times New Roman" w:hAnsi="Times New Roman" w:eastAsia="楷体"/>
          <w:b/>
          <w:bCs/>
          <w:sz w:val="32"/>
          <w:szCs w:val="32"/>
          <w:shd w:val="clear" w:color="auto" w:fill="FFFFFF"/>
          <w:lang w:eastAsia="zh-CN"/>
        </w:rPr>
        <w:t>三公</w:t>
      </w:r>
      <w:r>
        <w:rPr>
          <w:rFonts w:ascii="Times New Roman" w:hAnsi="Times New Roman" w:eastAsia="楷体"/>
          <w:b/>
          <w:bCs/>
          <w:sz w:val="32"/>
          <w:szCs w:val="32"/>
          <w:shd w:val="clear" w:color="auto" w:fill="FFFFFF"/>
        </w:rPr>
        <w:t>经费实物量情况</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  2024年度</w:t>
      </w:r>
      <w:r>
        <w:rPr>
          <w:rFonts w:ascii="Times New Roman" w:hAnsi="Times New Roman" w:eastAsia="方正仿宋_GBK"/>
          <w:sz w:val="32"/>
          <w:szCs w:val="32"/>
          <w:shd w:val="clear" w:color="auto" w:fill="FFFFFF"/>
        </w:rPr>
        <w:t>本单位</w:t>
      </w:r>
      <w:r>
        <w:rPr>
          <w:rFonts w:hint="default" w:ascii="Times New Roman" w:hAnsi="Times New Roman" w:eastAsia="方正仿宋_GBK"/>
          <w:sz w:val="32"/>
          <w:szCs w:val="32"/>
          <w:shd w:val="clear" w:color="auto" w:fill="FFFFFF"/>
        </w:rPr>
        <w:t>因公出国（境）共计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个团组，</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人；公务用车购置</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辆，公务车保有量为</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辆；国内公务接待</w:t>
      </w:r>
      <w:r>
        <w:rPr>
          <w:rFonts w:hint="default" w:ascii="Times New Roman" w:hAnsi="Times New Roman" w:eastAsia="方正仿宋_GBK"/>
          <w:sz w:val="32"/>
          <w:szCs w:val="32"/>
        </w:rPr>
        <w:t>77</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610</w:t>
      </w:r>
      <w:r>
        <w:rPr>
          <w:rFonts w:hint="default" w:ascii="Times New Roman" w:hAnsi="Times New Roman" w:eastAsia="方正仿宋_GBK"/>
          <w:sz w:val="32"/>
          <w:szCs w:val="32"/>
          <w:shd w:val="clear" w:color="auto" w:fill="FFFFFF"/>
        </w:rPr>
        <w:t>人，其中：国内外事接待</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人；国（境）外公务接待</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人。2024年</w:t>
      </w:r>
      <w:r>
        <w:rPr>
          <w:rFonts w:ascii="Times New Roman" w:hAnsi="Times New Roman" w:eastAsia="方正仿宋_GBK"/>
          <w:sz w:val="32"/>
          <w:szCs w:val="32"/>
          <w:shd w:val="clear" w:color="auto" w:fill="FFFFFF"/>
        </w:rPr>
        <w:t>本单位</w:t>
      </w:r>
      <w:r>
        <w:rPr>
          <w:rFonts w:hint="default" w:ascii="Times New Roman" w:hAnsi="Times New Roman" w:eastAsia="方正仿宋_GBK"/>
          <w:sz w:val="32"/>
          <w:szCs w:val="32"/>
          <w:shd w:val="clear" w:color="auto" w:fill="FFFFFF"/>
        </w:rPr>
        <w:t>人均接待费</w:t>
      </w:r>
      <w:r>
        <w:rPr>
          <w:rFonts w:hint="default" w:ascii="Times New Roman" w:hAnsi="Times New Roman" w:eastAsia="方正仿宋_GBK"/>
          <w:sz w:val="32"/>
          <w:szCs w:val="32"/>
        </w:rPr>
        <w:t>90.04</w:t>
      </w:r>
      <w:r>
        <w:rPr>
          <w:rFonts w:hint="default" w:ascii="Times New Roman" w:hAnsi="Times New Roman" w:eastAsia="方正仿宋_GBK"/>
          <w:sz w:val="32"/>
          <w:szCs w:val="32"/>
          <w:shd w:val="clear" w:color="auto" w:fill="FFFFFF"/>
        </w:rPr>
        <w:t>元，车均购置费</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万元，车均维护费</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万元。</w:t>
      </w:r>
    </w:p>
    <w:p>
      <w:pPr>
        <w:pStyle w:val="6"/>
        <w:shd w:val="clear" w:color="auto" w:fill="FFFFFF"/>
        <w:spacing w:beforeAutospacing="0" w:after="0" w:afterAutospacing="0" w:line="594" w:lineRule="exact"/>
        <w:ind w:firstLine="643" w:firstLineChars="200"/>
        <w:rPr>
          <w:rStyle w:val="10"/>
          <w:rFonts w:hint="default" w:ascii="Times New Roman" w:hAnsi="Times New Roman" w:eastAsia="黑体"/>
          <w:sz w:val="32"/>
          <w:szCs w:val="32"/>
          <w:shd w:val="clear" w:color="auto" w:fill="FFFFFF"/>
        </w:rPr>
      </w:pPr>
      <w:r>
        <w:rPr>
          <w:rStyle w:val="10"/>
          <w:rFonts w:hint="default" w:ascii="Times New Roman" w:hAnsi="Times New Roman" w:eastAsia="黑体"/>
          <w:sz w:val="32"/>
          <w:szCs w:val="32"/>
          <w:shd w:val="clear" w:color="auto" w:fill="FFFFFF"/>
        </w:rPr>
        <w:t>四、其他需要说明的事项</w:t>
      </w:r>
    </w:p>
    <w:p>
      <w:pPr>
        <w:pStyle w:val="11"/>
        <w:autoSpaceDE w:val="0"/>
        <w:spacing w:line="594"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  （一）财政拨款会议费和培训费情况说明</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  本年度会议费支出</w:t>
      </w:r>
      <w:r>
        <w:rPr>
          <w:rFonts w:hint="default" w:ascii="Times New Roman" w:hAnsi="Times New Roman" w:eastAsia="方正仿宋_GBK"/>
          <w:sz w:val="32"/>
          <w:szCs w:val="32"/>
        </w:rPr>
        <w:t>1.17</w:t>
      </w:r>
      <w:r>
        <w:rPr>
          <w:rFonts w:hint="default" w:ascii="Times New Roman" w:hAnsi="Times New Roman" w:eastAsia="方正仿宋_GBK"/>
          <w:sz w:val="32"/>
          <w:szCs w:val="32"/>
          <w:shd w:val="clear" w:color="auto" w:fill="FFFFFF"/>
        </w:rPr>
        <w:t>万元，与2023年度相比，减少0.13万元，下降10.00%，主要原因是坚持过</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紧日子</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原则，厉行勤俭节约减少了会议费用。本年度培训费支出</w:t>
      </w:r>
      <w:r>
        <w:rPr>
          <w:rFonts w:hint="default" w:ascii="Times New Roman" w:hAnsi="Times New Roman" w:eastAsia="方正仿宋_GBK"/>
          <w:sz w:val="32"/>
          <w:szCs w:val="32"/>
        </w:rPr>
        <w:t>0.83</w:t>
      </w:r>
      <w:r>
        <w:rPr>
          <w:rFonts w:hint="default" w:ascii="Times New Roman" w:hAnsi="Times New Roman" w:eastAsia="方正仿宋_GBK"/>
          <w:sz w:val="32"/>
          <w:szCs w:val="32"/>
          <w:shd w:val="clear" w:color="auto" w:fill="FFFFFF"/>
        </w:rPr>
        <w:t>万元，与2023年度相比，减少0.10万元，下降10.75%，主要原因是坚持过</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紧日子</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原则，厉行勤俭节约减少了培训费用。</w:t>
      </w:r>
    </w:p>
    <w:p>
      <w:pPr>
        <w:pStyle w:val="11"/>
        <w:autoSpaceDE w:val="0"/>
        <w:spacing w:line="594"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（二）机关运行经费情况说明</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w:t>
      </w:r>
      <w:r>
        <w:rPr>
          <w:rFonts w:ascii="Times New Roman" w:hAnsi="Times New Roman" w:eastAsia="方正仿宋_GBK"/>
          <w:sz w:val="32"/>
          <w:szCs w:val="32"/>
          <w:shd w:val="clear" w:color="auto" w:fill="FFFFFF"/>
        </w:rPr>
        <w:t>本单位</w:t>
      </w:r>
      <w:r>
        <w:rPr>
          <w:rFonts w:hint="default" w:ascii="Times New Roman" w:hAnsi="Times New Roman" w:eastAsia="方正仿宋_GBK"/>
          <w:sz w:val="32"/>
          <w:szCs w:val="32"/>
          <w:shd w:val="clear" w:color="auto" w:fill="FFFFFF"/>
        </w:rPr>
        <w:t>机关运行经费支出</w:t>
      </w:r>
      <w:r>
        <w:rPr>
          <w:rFonts w:hint="default" w:ascii="Times New Roman" w:hAnsi="Times New Roman" w:eastAsia="方正仿宋_GBK"/>
          <w:sz w:val="32"/>
          <w:szCs w:val="32"/>
        </w:rPr>
        <w:t>72.55</w:t>
      </w:r>
      <w:r>
        <w:rPr>
          <w:rFonts w:hint="default" w:ascii="Times New Roman" w:hAnsi="Times New Roman" w:eastAsia="方正仿宋_GBK"/>
          <w:sz w:val="32"/>
          <w:szCs w:val="32"/>
          <w:shd w:val="clear" w:color="auto" w:fill="FFFFFF"/>
        </w:rPr>
        <w:t>万元，机关运行经费主要用于开支办公费、邮电费、差旅费</w:t>
      </w:r>
      <w:r>
        <w:rPr>
          <w:rFonts w:hint="default" w:ascii="Times New Roman" w:hAnsi="Times New Roman" w:eastAsia="方正仿宋_GBK"/>
          <w:color w:val="333333"/>
          <w:sz w:val="31"/>
          <w:szCs w:val="31"/>
          <w:shd w:val="clear" w:color="auto" w:fill="FFFFFF"/>
        </w:rPr>
        <w:t>等维持部门正常运转经费。</w:t>
      </w:r>
      <w:r>
        <w:rPr>
          <w:rFonts w:hint="default" w:ascii="Times New Roman" w:hAnsi="Times New Roman" w:eastAsia="方正仿宋_GBK"/>
          <w:sz w:val="32"/>
          <w:szCs w:val="32"/>
          <w:shd w:val="clear" w:color="auto" w:fill="FFFFFF"/>
        </w:rPr>
        <w:t>机关运行经费较上年支出数减少3.13万元，下降4.14%，主要原因是坚持过</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紧日子</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原则，厉行勤俭节约减少了各类运行成本。</w:t>
      </w:r>
    </w:p>
    <w:p>
      <w:pPr>
        <w:pStyle w:val="11"/>
        <w:autoSpaceDE w:val="0"/>
        <w:spacing w:line="594"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（三）国有资产占用情况说明</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  截至2024年12月31日，</w:t>
      </w:r>
      <w:r>
        <w:rPr>
          <w:rFonts w:ascii="Times New Roman" w:hAnsi="Times New Roman" w:eastAsia="方正仿宋_GBK"/>
          <w:sz w:val="32"/>
          <w:szCs w:val="32"/>
          <w:shd w:val="clear" w:color="auto" w:fill="FFFFFF"/>
        </w:rPr>
        <w:t>本单位</w:t>
      </w:r>
      <w:r>
        <w:rPr>
          <w:rFonts w:hint="default" w:ascii="Times New Roman" w:hAnsi="Times New Roman" w:eastAsia="方正仿宋_GBK"/>
          <w:sz w:val="32"/>
          <w:szCs w:val="32"/>
          <w:shd w:val="clear" w:color="auto" w:fill="FFFFFF"/>
        </w:rPr>
        <w:t>共有车辆</w:t>
      </w:r>
      <w:r>
        <w:rPr>
          <w:rFonts w:ascii="Times New Roman" w:hAnsi="Times New Roman" w:eastAsia="方正仿宋_GBK"/>
          <w:sz w:val="32"/>
          <w:szCs w:val="32"/>
          <w:shd w:val="clear" w:color="auto" w:fill="FFFFFF"/>
        </w:rPr>
        <w:t>0</w:t>
      </w:r>
      <w:r>
        <w:rPr>
          <w:rFonts w:hint="default" w:ascii="Times New Roman" w:hAnsi="Times New Roman" w:eastAsia="方正仿宋_GBK"/>
          <w:sz w:val="32"/>
          <w:szCs w:val="32"/>
          <w:shd w:val="clear" w:color="auto" w:fill="FFFFFF"/>
        </w:rPr>
        <w:t>辆，其中，副部（省）级及以上领导用车0辆、主要负责人用车0辆、机要通信用车0辆、应急保障用车</w:t>
      </w:r>
      <w:r>
        <w:rPr>
          <w:rFonts w:ascii="Times New Roman" w:hAnsi="Times New Roman" w:eastAsia="方正仿宋_GBK"/>
          <w:sz w:val="32"/>
          <w:szCs w:val="32"/>
          <w:shd w:val="clear" w:color="auto" w:fill="FFFFFF"/>
        </w:rPr>
        <w:t>0</w:t>
      </w:r>
      <w:r>
        <w:rPr>
          <w:rFonts w:hint="default" w:ascii="Times New Roman" w:hAnsi="Times New Roman" w:eastAsia="方正仿宋_GBK"/>
          <w:sz w:val="32"/>
          <w:szCs w:val="32"/>
          <w:shd w:val="clear" w:color="auto" w:fill="FFFFFF"/>
        </w:rPr>
        <w:t>辆、执法执勤用车0辆，特种专业技术用车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辆，离退休干部用车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辆。单价100万元（含）以上专用设备</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台（套）。</w:t>
      </w:r>
    </w:p>
    <w:p>
      <w:pPr>
        <w:pStyle w:val="11"/>
        <w:autoSpaceDE w:val="0"/>
        <w:spacing w:line="594"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（四）政府采购支出情况说明</w:t>
      </w:r>
    </w:p>
    <w:p>
      <w:pPr>
        <w:pStyle w:val="11"/>
        <w:autoSpaceDE w:val="0"/>
        <w:spacing w:line="594" w:lineRule="exact"/>
        <w:ind w:firstLine="640"/>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2024年度本</w:t>
      </w:r>
      <w:r>
        <w:rPr>
          <w:rFonts w:hint="eastAsia" w:ascii="Times New Roman" w:hAnsi="Times New Roman" w:eastAsia="方正仿宋_GBK" w:cs="Times New Roman"/>
          <w:sz w:val="32"/>
          <w:szCs w:val="32"/>
          <w:shd w:val="clear" w:color="auto" w:fill="FFFFFF"/>
          <w:lang w:val="en-US" w:eastAsia="zh-CN" w:bidi="ar-SA"/>
        </w:rPr>
        <w:t>单位</w:t>
      </w:r>
      <w:r>
        <w:rPr>
          <w:rFonts w:hint="default" w:ascii="Times New Roman" w:hAnsi="Times New Roman" w:eastAsia="方正仿宋_GBK" w:cs="Times New Roman"/>
          <w:sz w:val="32"/>
          <w:szCs w:val="32"/>
          <w:shd w:val="clear" w:color="auto" w:fill="FFFFFF"/>
          <w:lang w:val="en-US" w:eastAsia="zh-CN" w:bidi="ar-SA"/>
        </w:rPr>
        <w:t>政府采购支出总额0.00万元，其中：政府采购货物支出0.00万元、政府采购工程支出0.00万元、</w:t>
      </w:r>
      <w:r>
        <w:rPr>
          <w:rFonts w:ascii="方正仿宋_GBK" w:hAnsi="方正仿宋_GBK" w:eastAsia="方正仿宋_GBK" w:cs="方正仿宋_GBK"/>
          <w:sz w:val="32"/>
          <w:szCs w:val="32"/>
          <w:shd w:val="clear" w:color="auto" w:fill="FFFFFF"/>
        </w:rPr>
        <w:t>政</w:t>
      </w:r>
      <w:r>
        <w:rPr>
          <w:rFonts w:hint="default" w:ascii="Times New Roman" w:hAnsi="Times New Roman" w:eastAsia="方正仿宋_GBK" w:cs="Times New Roman"/>
          <w:sz w:val="32"/>
          <w:szCs w:val="32"/>
          <w:shd w:val="clear" w:color="auto" w:fill="FFFFFF"/>
          <w:lang w:val="en-US" w:eastAsia="zh-CN" w:bidi="ar-SA"/>
        </w:rPr>
        <w:t>府采购服务支出0.00万元。授予中小企业合同金额0.00万元，占政府采购支出总额的0.0%，其中：授予小微企业合同金额0.00万元，占政府采购支出总额的0 .0%。2024年度我</w:t>
      </w:r>
      <w:r>
        <w:rPr>
          <w:rFonts w:hint="eastAsia" w:ascii="Times New Roman" w:hAnsi="Times New Roman" w:eastAsia="方正仿宋_GBK" w:cs="Times New Roman"/>
          <w:sz w:val="32"/>
          <w:szCs w:val="32"/>
          <w:shd w:val="clear" w:color="auto" w:fill="FFFFFF"/>
          <w:lang w:val="en-US" w:eastAsia="zh-CN" w:bidi="ar-SA"/>
        </w:rPr>
        <w:t>单位</w:t>
      </w:r>
      <w:r>
        <w:rPr>
          <w:rFonts w:hint="default" w:ascii="Times New Roman" w:hAnsi="Times New Roman" w:eastAsia="方正仿宋_GBK" w:cs="Times New Roman"/>
          <w:sz w:val="32"/>
          <w:szCs w:val="32"/>
          <w:shd w:val="clear" w:color="auto" w:fill="FFFFFF"/>
          <w:lang w:val="en-US" w:eastAsia="zh-CN" w:bidi="ar-SA"/>
        </w:rPr>
        <w:t>未发生政府采购事项，无相关经费支出。</w:t>
      </w:r>
    </w:p>
    <w:p>
      <w:pPr>
        <w:pStyle w:val="6"/>
        <w:shd w:val="clear" w:color="auto" w:fill="FFFFFF"/>
        <w:spacing w:beforeAutospacing="0" w:after="0" w:afterAutospacing="0" w:line="594" w:lineRule="exact"/>
        <w:ind w:firstLine="643" w:firstLineChars="200"/>
        <w:rPr>
          <w:rStyle w:val="10"/>
          <w:rFonts w:hint="default" w:ascii="Times New Roman" w:hAnsi="Times New Roman" w:eastAsia="黑体"/>
          <w:sz w:val="32"/>
          <w:szCs w:val="32"/>
          <w:shd w:val="clear" w:color="auto" w:fill="FFFFFF"/>
        </w:rPr>
      </w:pPr>
      <w:r>
        <w:rPr>
          <w:rStyle w:val="10"/>
          <w:rFonts w:hint="default" w:ascii="Times New Roman" w:hAnsi="Times New Roman" w:eastAsia="黑体"/>
          <w:sz w:val="32"/>
          <w:szCs w:val="32"/>
          <w:shd w:val="clear" w:color="auto" w:fill="FFFFFF"/>
        </w:rPr>
        <w:t>五、</w:t>
      </w:r>
      <w:r>
        <w:rPr>
          <w:rStyle w:val="10"/>
          <w:rFonts w:ascii="黑体" w:hAnsi="黑体" w:eastAsia="黑体" w:cs="黑体"/>
          <w:sz w:val="32"/>
          <w:szCs w:val="32"/>
          <w:shd w:val="clear" w:color="auto" w:fill="FFFFFF"/>
        </w:rPr>
        <w:t>2024年度预算绩效管理情况说明</w:t>
      </w:r>
    </w:p>
    <w:p>
      <w:pPr>
        <w:pStyle w:val="11"/>
        <w:autoSpaceDE w:val="0"/>
        <w:spacing w:line="594"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（一）</w:t>
      </w:r>
      <w:r>
        <w:rPr>
          <w:rFonts w:hint="eastAsia" w:ascii="Times New Roman" w:hAnsi="Times New Roman" w:eastAsia="楷体"/>
          <w:b/>
          <w:bCs/>
          <w:sz w:val="32"/>
          <w:szCs w:val="32"/>
          <w:shd w:val="clear" w:color="auto" w:fill="FFFFFF"/>
        </w:rPr>
        <w:t>单位</w:t>
      </w:r>
      <w:r>
        <w:rPr>
          <w:rFonts w:ascii="Times New Roman" w:hAnsi="Times New Roman" w:eastAsia="楷体"/>
          <w:b/>
          <w:bCs/>
          <w:sz w:val="32"/>
          <w:szCs w:val="32"/>
          <w:shd w:val="clear" w:color="auto" w:fill="FFFFFF"/>
        </w:rPr>
        <w:t>自评情况</w:t>
      </w:r>
    </w:p>
    <w:p>
      <w:pPr>
        <w:pStyle w:val="11"/>
        <w:autoSpaceDE w:val="0"/>
        <w:spacing w:line="594" w:lineRule="exact"/>
        <w:ind w:firstLine="640"/>
        <w:rPr>
          <w:rFonts w:ascii="Times New Roman" w:hAnsi="Times New Roman" w:eastAsia="方正仿宋_GBK"/>
          <w:sz w:val="32"/>
          <w:szCs w:val="32"/>
          <w:highlight w:val="yellow"/>
          <w:shd w:val="clear" w:color="auto" w:fill="FFFFFF"/>
        </w:rPr>
      </w:pPr>
      <w:r>
        <w:rPr>
          <w:rFonts w:ascii="Times New Roman" w:hAnsi="Times New Roman" w:eastAsia="方正仿宋_GBK"/>
          <w:sz w:val="32"/>
          <w:szCs w:val="32"/>
          <w:shd w:val="clear" w:color="auto" w:fill="FFFFFF"/>
        </w:rPr>
        <w:t>根据预算绩效管理要求，我</w:t>
      </w:r>
      <w:r>
        <w:rPr>
          <w:rFonts w:hint="eastAsia" w:ascii="Times New Roman" w:hAnsi="Times New Roman" w:eastAsia="方正仿宋_GBK"/>
          <w:sz w:val="32"/>
          <w:szCs w:val="32"/>
          <w:shd w:val="clear" w:color="auto" w:fill="FFFFFF"/>
        </w:rPr>
        <w:t>单位</w:t>
      </w:r>
      <w:r>
        <w:rPr>
          <w:rFonts w:ascii="Times New Roman" w:hAnsi="Times New Roman" w:eastAsia="方正仿宋_GBK"/>
          <w:sz w:val="32"/>
          <w:szCs w:val="32"/>
          <w:shd w:val="clear" w:color="auto" w:fill="FFFFFF"/>
        </w:rPr>
        <w:t>对13个二级项目开展了绩效自评，涉及财政拨款项目支出资金121.6万元。</w:t>
      </w:r>
    </w:p>
    <w:p>
      <w:pPr>
        <w:pStyle w:val="12"/>
        <w:spacing w:before="0" w:beforeAutospacing="0"/>
        <w:rPr>
          <w:rFonts w:ascii="Times New Roman" w:hAnsi="Times New Roman" w:eastAsia="方正仿宋_GBK"/>
          <w:sz w:val="32"/>
          <w:szCs w:val="32"/>
        </w:rPr>
      </w:pPr>
      <w:r>
        <w:rPr>
          <w:rFonts w:cs="宋体"/>
        </w:rPr>
        <w:drawing>
          <wp:anchor distT="0" distB="0" distL="114300" distR="114300" simplePos="0" relativeHeight="251659264" behindDoc="0" locked="0" layoutInCell="1" allowOverlap="1">
            <wp:simplePos x="0" y="0"/>
            <wp:positionH relativeFrom="column">
              <wp:posOffset>130175</wp:posOffset>
            </wp:positionH>
            <wp:positionV relativeFrom="paragraph">
              <wp:posOffset>3090545</wp:posOffset>
            </wp:positionV>
            <wp:extent cx="5250180" cy="3054350"/>
            <wp:effectExtent l="0" t="0" r="7620" b="12700"/>
            <wp:wrapNone/>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7"/>
                    <a:stretch>
                      <a:fillRect/>
                    </a:stretch>
                  </pic:blipFill>
                  <pic:spPr>
                    <a:xfrm>
                      <a:off x="0" y="0"/>
                      <a:ext cx="5250180" cy="3054350"/>
                    </a:xfrm>
                    <a:prstGeom prst="rect">
                      <a:avLst/>
                    </a:prstGeom>
                    <a:noFill/>
                    <a:ln w="9525">
                      <a:noFill/>
                    </a:ln>
                  </pic:spPr>
                </pic:pic>
              </a:graphicData>
            </a:graphic>
          </wp:anchor>
        </w:drawing>
      </w:r>
      <w:r>
        <w:rPr>
          <w:rFonts w:ascii="Times New Roman" w:hAnsi="Times New Roman" w:eastAsia="方正仿宋_GBK"/>
          <w:sz w:val="32"/>
          <w:szCs w:val="32"/>
          <w:shd w:val="clear" w:color="auto" w:fill="FFFFFF"/>
        </w:rPr>
        <w:t xml:space="preserve"> </w:t>
      </w:r>
      <w:r>
        <w:rPr>
          <w:rFonts w:ascii="Times New Roman" w:hAnsi="Times New Roman"/>
        </w:rPr>
        <w:drawing>
          <wp:inline distT="0" distB="0" distL="114300" distR="114300">
            <wp:extent cx="5257165" cy="2933700"/>
            <wp:effectExtent l="0" t="0" r="635" b="0"/>
            <wp:docPr id="4"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IMG_256"/>
                    <pic:cNvPicPr>
                      <a:picLocks noChangeAspect="1"/>
                    </pic:cNvPicPr>
                  </pic:nvPicPr>
                  <pic:blipFill>
                    <a:blip r:embed="rId8"/>
                    <a:stretch>
                      <a:fillRect/>
                    </a:stretch>
                  </pic:blipFill>
                  <pic:spPr>
                    <a:xfrm>
                      <a:off x="0" y="0"/>
                      <a:ext cx="5257165" cy="2933700"/>
                    </a:xfrm>
                    <a:prstGeom prst="rect">
                      <a:avLst/>
                    </a:prstGeom>
                    <a:noFill/>
                    <a:ln w="9525">
                      <a:noFill/>
                    </a:ln>
                  </pic:spPr>
                </pic:pic>
              </a:graphicData>
            </a:graphic>
          </wp:inline>
        </w:drawing>
      </w:r>
    </w:p>
    <w:p>
      <w:pPr>
        <w:pStyle w:val="11"/>
        <w:autoSpaceDE w:val="0"/>
        <w:spacing w:line="594" w:lineRule="exact"/>
        <w:ind w:firstLine="643"/>
        <w:rPr>
          <w:rFonts w:ascii="Times New Roman" w:hAnsi="Times New Roman" w:eastAsia="楷体"/>
          <w:b/>
          <w:bCs/>
          <w:sz w:val="32"/>
          <w:szCs w:val="32"/>
          <w:shd w:val="clear" w:color="auto" w:fill="FFFFFF"/>
        </w:rPr>
      </w:pPr>
    </w:p>
    <w:p>
      <w:pPr>
        <w:pStyle w:val="11"/>
        <w:autoSpaceDE w:val="0"/>
        <w:spacing w:line="594" w:lineRule="exact"/>
        <w:ind w:firstLine="643"/>
        <w:rPr>
          <w:rFonts w:ascii="Times New Roman" w:hAnsi="Times New Roman" w:eastAsia="楷体"/>
          <w:b/>
          <w:bCs/>
          <w:sz w:val="32"/>
          <w:szCs w:val="32"/>
          <w:shd w:val="clear" w:color="auto" w:fill="FFFFFF"/>
        </w:rPr>
      </w:pPr>
    </w:p>
    <w:p>
      <w:pPr>
        <w:pStyle w:val="11"/>
        <w:autoSpaceDE w:val="0"/>
        <w:spacing w:line="594" w:lineRule="exact"/>
        <w:ind w:firstLine="643"/>
        <w:rPr>
          <w:rFonts w:ascii="Times New Roman" w:hAnsi="Times New Roman" w:eastAsia="楷体"/>
          <w:b/>
          <w:bCs/>
          <w:sz w:val="32"/>
          <w:szCs w:val="32"/>
          <w:shd w:val="clear" w:color="auto" w:fill="FFFFFF"/>
        </w:rPr>
      </w:pPr>
    </w:p>
    <w:p>
      <w:pPr>
        <w:pStyle w:val="11"/>
        <w:autoSpaceDE w:val="0"/>
        <w:spacing w:line="594" w:lineRule="exact"/>
        <w:ind w:firstLine="643"/>
        <w:rPr>
          <w:rFonts w:ascii="Times New Roman" w:hAnsi="Times New Roman" w:eastAsia="楷体"/>
          <w:b/>
          <w:bCs/>
          <w:sz w:val="32"/>
          <w:szCs w:val="32"/>
          <w:shd w:val="clear" w:color="auto" w:fill="FFFFFF"/>
        </w:rPr>
      </w:pPr>
    </w:p>
    <w:p>
      <w:pPr>
        <w:pStyle w:val="11"/>
        <w:autoSpaceDE w:val="0"/>
        <w:spacing w:line="594" w:lineRule="exact"/>
        <w:ind w:firstLine="643"/>
        <w:rPr>
          <w:rFonts w:ascii="Times New Roman" w:hAnsi="Times New Roman" w:eastAsia="楷体"/>
          <w:b/>
          <w:bCs/>
          <w:sz w:val="32"/>
          <w:szCs w:val="32"/>
          <w:shd w:val="clear" w:color="auto" w:fill="FFFFFF"/>
        </w:rPr>
      </w:pPr>
    </w:p>
    <w:p>
      <w:pPr>
        <w:pStyle w:val="11"/>
        <w:autoSpaceDE w:val="0"/>
        <w:spacing w:line="594" w:lineRule="exact"/>
        <w:ind w:firstLine="643"/>
        <w:rPr>
          <w:rFonts w:ascii="Times New Roman" w:hAnsi="Times New Roman" w:eastAsia="楷体"/>
          <w:b/>
          <w:bCs/>
          <w:sz w:val="32"/>
          <w:szCs w:val="32"/>
          <w:shd w:val="clear" w:color="auto" w:fill="FFFFFF"/>
        </w:rPr>
      </w:pPr>
    </w:p>
    <w:p>
      <w:pPr>
        <w:pStyle w:val="11"/>
        <w:autoSpaceDE w:val="0"/>
        <w:spacing w:line="594" w:lineRule="exact"/>
        <w:ind w:firstLine="0" w:firstLineChars="0"/>
        <w:rPr>
          <w:rFonts w:ascii="Times New Roman" w:hAnsi="Times New Roman" w:eastAsia="楷体"/>
          <w:b/>
          <w:bCs/>
          <w:sz w:val="32"/>
          <w:szCs w:val="32"/>
          <w:shd w:val="clear" w:color="auto" w:fill="FFFFFF"/>
        </w:rPr>
      </w:pPr>
    </w:p>
    <w:p>
      <w:pPr>
        <w:pStyle w:val="11"/>
        <w:autoSpaceDE w:val="0"/>
        <w:spacing w:line="594"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（二）</w:t>
      </w:r>
      <w:r>
        <w:rPr>
          <w:rFonts w:hint="eastAsia" w:ascii="Times New Roman" w:hAnsi="Times New Roman" w:eastAsia="楷体"/>
          <w:b/>
          <w:bCs/>
          <w:sz w:val="32"/>
          <w:szCs w:val="32"/>
          <w:shd w:val="clear" w:color="auto" w:fill="FFFFFF"/>
        </w:rPr>
        <w:t>单位</w:t>
      </w:r>
      <w:r>
        <w:rPr>
          <w:rFonts w:ascii="Times New Roman" w:hAnsi="Times New Roman" w:eastAsia="楷体"/>
          <w:b/>
          <w:bCs/>
          <w:sz w:val="32"/>
          <w:szCs w:val="32"/>
          <w:shd w:val="clear" w:color="auto" w:fill="FFFFFF"/>
        </w:rPr>
        <w:t>绩效评价情况</w:t>
      </w:r>
    </w:p>
    <w:p>
      <w:pPr>
        <w:pStyle w:val="11"/>
        <w:autoSpaceDE w:val="0"/>
        <w:spacing w:line="594" w:lineRule="exact"/>
        <w:ind w:firstLine="640"/>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我</w:t>
      </w:r>
      <w:r>
        <w:rPr>
          <w:rFonts w:hint="eastAsia" w:ascii="Times New Roman" w:hAnsi="Times New Roman" w:eastAsia="方正仿宋_GBK"/>
          <w:sz w:val="32"/>
          <w:szCs w:val="32"/>
          <w:shd w:val="clear" w:color="auto" w:fill="FFFFFF"/>
        </w:rPr>
        <w:t>单位</w:t>
      </w:r>
      <w:r>
        <w:rPr>
          <w:rFonts w:ascii="Times New Roman" w:hAnsi="Times New Roman" w:eastAsia="方正仿宋_GBK"/>
          <w:sz w:val="32"/>
          <w:szCs w:val="32"/>
          <w:shd w:val="clear" w:color="auto" w:fill="FFFFFF"/>
        </w:rPr>
        <w:t>未组织开展绩效评价。</w:t>
      </w:r>
    </w:p>
    <w:p>
      <w:pPr>
        <w:pStyle w:val="11"/>
        <w:autoSpaceDE w:val="0"/>
        <w:spacing w:line="594"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（三）财政绩效评价情况</w:t>
      </w:r>
    </w:p>
    <w:p>
      <w:pPr>
        <w:pStyle w:val="11"/>
        <w:autoSpaceDE w:val="0"/>
        <w:spacing w:line="594" w:lineRule="exact"/>
        <w:ind w:firstLine="640"/>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县财政局未委托第三方对我</w:t>
      </w:r>
      <w:r>
        <w:rPr>
          <w:rFonts w:hint="eastAsia" w:ascii="Times New Roman" w:hAnsi="Times New Roman" w:eastAsia="方正仿宋_GBK"/>
          <w:sz w:val="32"/>
          <w:szCs w:val="32"/>
          <w:shd w:val="clear" w:color="auto" w:fill="FFFFFF"/>
        </w:rPr>
        <w:t>单位</w:t>
      </w:r>
      <w:r>
        <w:rPr>
          <w:rFonts w:ascii="Times New Roman" w:hAnsi="Times New Roman" w:eastAsia="方正仿宋_GBK"/>
          <w:sz w:val="32"/>
          <w:szCs w:val="32"/>
          <w:shd w:val="clear" w:color="auto" w:fill="FFFFFF"/>
        </w:rPr>
        <w:t>开展绩效评价。</w:t>
      </w:r>
    </w:p>
    <w:p>
      <w:pPr>
        <w:pStyle w:val="6"/>
        <w:shd w:val="clear" w:color="auto" w:fill="FFFFFF"/>
        <w:spacing w:before="0" w:beforeAutospacing="0" w:after="0" w:afterAutospacing="0" w:line="594" w:lineRule="exact"/>
        <w:ind w:firstLine="643" w:firstLineChars="200"/>
        <w:rPr>
          <w:rStyle w:val="10"/>
          <w:rFonts w:hint="default" w:ascii="Times New Roman" w:hAnsi="Times New Roman" w:eastAsia="方正仿宋_GBK"/>
          <w:sz w:val="32"/>
          <w:szCs w:val="32"/>
          <w:shd w:val="clear" w:color="auto" w:fill="FFFFFF"/>
        </w:rPr>
      </w:pPr>
      <w:r>
        <w:rPr>
          <w:rStyle w:val="10"/>
          <w:rFonts w:hint="default" w:ascii="Times New Roman" w:hAnsi="Times New Roman" w:eastAsia="方正仿宋_GBK"/>
          <w:sz w:val="32"/>
          <w:szCs w:val="32"/>
          <w:shd w:val="clear" w:color="auto" w:fill="FFFFFF"/>
        </w:rPr>
        <w:t xml:space="preserve">  </w:t>
      </w:r>
      <w:r>
        <w:rPr>
          <w:rStyle w:val="10"/>
          <w:rFonts w:hint="default" w:ascii="Times New Roman" w:hAnsi="Times New Roman" w:eastAsia="黑体"/>
          <w:sz w:val="32"/>
          <w:szCs w:val="32"/>
          <w:shd w:val="clear" w:color="auto" w:fill="FFFFFF"/>
        </w:rPr>
        <w:t>六、专业名词解释</w:t>
      </w:r>
    </w:p>
    <w:p>
      <w:pPr>
        <w:pStyle w:val="6"/>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Fonts w:hint="default" w:ascii="Times New Roman" w:hAnsi="Times New Roman" w:eastAsia="方正仿宋_GBK"/>
          <w:b/>
          <w:bCs/>
          <w:sz w:val="32"/>
          <w:szCs w:val="32"/>
          <w:shd w:val="clear" w:color="auto" w:fill="FFFFFF"/>
        </w:rPr>
        <w:t> </w:t>
      </w:r>
      <w:r>
        <w:rPr>
          <w:rFonts w:hint="default" w:ascii="Times New Roman" w:hAnsi="Times New Roman" w:eastAsia="楷体"/>
          <w:b/>
          <w:bCs/>
          <w:sz w:val="32"/>
          <w:szCs w:val="32"/>
          <w:shd w:val="clear" w:color="auto" w:fill="FFFFFF"/>
        </w:rPr>
        <w:t>（一）财政拨款收入：</w:t>
      </w:r>
      <w:r>
        <w:rPr>
          <w:rFonts w:hint="default" w:ascii="Times New Roman" w:hAnsi="Times New Roman" w:eastAsia="方正仿宋_GBK"/>
          <w:sz w:val="32"/>
          <w:szCs w:val="32"/>
          <w:shd w:val="clear" w:color="auto" w:fill="FFFFFF"/>
        </w:rPr>
        <w:t>指本年度从本级财政部门取得的财政拨款，包括一般公共预算财政拨款和政府性基金预算财政拨款。</w:t>
      </w:r>
    </w:p>
    <w:p>
      <w:pPr>
        <w:pStyle w:val="6"/>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0"/>
          <w:rFonts w:hint="default" w:ascii="Times New Roman" w:hAnsi="Times New Roman" w:eastAsia="方正仿宋_GBK"/>
          <w:sz w:val="32"/>
          <w:szCs w:val="32"/>
          <w:shd w:val="clear" w:color="auto" w:fill="FFFFFF"/>
        </w:rPr>
        <w:t> </w:t>
      </w:r>
      <w:r>
        <w:rPr>
          <w:rStyle w:val="10"/>
          <w:rFonts w:hint="default" w:ascii="Times New Roman" w:hAnsi="Times New Roman" w:eastAsia="楷体"/>
          <w:sz w:val="32"/>
          <w:szCs w:val="32"/>
          <w:shd w:val="clear" w:color="auto" w:fill="FFFFFF"/>
        </w:rPr>
        <w:t>（二）事业收入</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指事业单位开展专业业务活动及其辅助活动取得的现金流入；事业单位收到的财政专户实际核拨的教育收费等资金在此反映。</w:t>
      </w:r>
    </w:p>
    <w:p>
      <w:pPr>
        <w:pStyle w:val="6"/>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0"/>
          <w:rFonts w:hint="default" w:ascii="Times New Roman" w:hAnsi="Times New Roman" w:eastAsia="方正仿宋_GBK"/>
          <w:sz w:val="32"/>
          <w:szCs w:val="32"/>
          <w:shd w:val="clear" w:color="auto" w:fill="FFFFFF"/>
        </w:rPr>
        <w:t> </w:t>
      </w:r>
      <w:r>
        <w:rPr>
          <w:rStyle w:val="10"/>
          <w:rFonts w:hint="default" w:ascii="Times New Roman" w:hAnsi="Times New Roman" w:eastAsia="楷体"/>
          <w:sz w:val="32"/>
          <w:szCs w:val="32"/>
          <w:shd w:val="clear" w:color="auto" w:fill="FFFFFF"/>
        </w:rPr>
        <w:t>（三）经营收入</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指事业单位在专业业务活动及其辅助活动之外开展非独立核算经营活动取得的现金流入。</w:t>
      </w:r>
    </w:p>
    <w:p>
      <w:pPr>
        <w:pStyle w:val="6"/>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0"/>
          <w:rFonts w:hint="default" w:ascii="Times New Roman" w:hAnsi="Times New Roman" w:eastAsia="方正仿宋_GBK"/>
          <w:sz w:val="32"/>
          <w:szCs w:val="32"/>
          <w:shd w:val="clear" w:color="auto" w:fill="FFFFFF"/>
        </w:rPr>
        <w:t> </w:t>
      </w:r>
      <w:r>
        <w:rPr>
          <w:rStyle w:val="10"/>
          <w:rFonts w:hint="default" w:ascii="Times New Roman" w:hAnsi="Times New Roman" w:eastAsia="楷体"/>
          <w:sz w:val="32"/>
          <w:szCs w:val="32"/>
          <w:shd w:val="clear" w:color="auto" w:fill="FFFFFF"/>
        </w:rPr>
        <w:t>（四）其他收入</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指单位取得的除</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财政拨款收入</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事业收入</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经营收入</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0"/>
          <w:rFonts w:hint="default" w:ascii="Times New Roman" w:hAnsi="Times New Roman" w:eastAsia="楷体"/>
          <w:sz w:val="32"/>
          <w:szCs w:val="32"/>
          <w:shd w:val="clear" w:color="auto" w:fill="FFFFFF"/>
        </w:rPr>
        <w:t>（五）使用非财政拨款结余</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指单位在当年的</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财政拨款收入</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事业收入</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经营收入</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其他收入</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等不足以安排当年支出的情况下，使用以前年度积累的非财政拨款结余弥补本年度收支缺口的资金。</w:t>
      </w:r>
    </w:p>
    <w:p>
      <w:pPr>
        <w:pStyle w:val="6"/>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0"/>
          <w:rFonts w:hint="default" w:ascii="Times New Roman" w:hAnsi="Times New Roman" w:eastAsia="方正仿宋_GBK"/>
          <w:sz w:val="32"/>
          <w:szCs w:val="32"/>
          <w:shd w:val="clear" w:color="auto" w:fill="FFFFFF"/>
        </w:rPr>
        <w:t> </w:t>
      </w:r>
      <w:r>
        <w:rPr>
          <w:rStyle w:val="10"/>
          <w:rFonts w:hint="default" w:ascii="Times New Roman" w:hAnsi="Times New Roman" w:eastAsia="楷体"/>
          <w:sz w:val="32"/>
          <w:szCs w:val="32"/>
          <w:shd w:val="clear" w:color="auto" w:fill="FFFFFF"/>
        </w:rPr>
        <w:t>（六）年初结转和结余</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指单位上年结转本年使用的基本支出结转、项目支出结转和结余、经营结余。</w:t>
      </w:r>
    </w:p>
    <w:p>
      <w:pPr>
        <w:pStyle w:val="6"/>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0"/>
          <w:rFonts w:hint="default" w:ascii="Times New Roman" w:hAnsi="Times New Roman" w:eastAsia="方正仿宋_GBK"/>
          <w:sz w:val="32"/>
          <w:szCs w:val="32"/>
          <w:shd w:val="clear" w:color="auto" w:fill="FFFFFF"/>
        </w:rPr>
        <w:t> </w:t>
      </w:r>
      <w:r>
        <w:rPr>
          <w:rStyle w:val="10"/>
          <w:rFonts w:hint="default" w:ascii="Times New Roman" w:hAnsi="Times New Roman" w:eastAsia="楷体"/>
          <w:sz w:val="32"/>
          <w:szCs w:val="32"/>
          <w:shd w:val="clear" w:color="auto" w:fill="FFFFFF"/>
        </w:rPr>
        <w:t>（七）结余分配</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指单位按照国家有关规定，缴纳所得税、提取专用基金、转入非财政拨款结余等当年结余的分配情况。</w:t>
      </w:r>
    </w:p>
    <w:p>
      <w:pPr>
        <w:pStyle w:val="6"/>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0"/>
          <w:rFonts w:hint="default" w:ascii="Times New Roman" w:hAnsi="Times New Roman" w:eastAsia="方正仿宋_GBK"/>
          <w:sz w:val="32"/>
          <w:szCs w:val="32"/>
          <w:shd w:val="clear" w:color="auto" w:fill="FFFFFF"/>
        </w:rPr>
        <w:t> </w:t>
      </w:r>
      <w:r>
        <w:rPr>
          <w:rStyle w:val="10"/>
          <w:rFonts w:hint="default" w:ascii="Times New Roman" w:hAnsi="Times New Roman" w:eastAsia="楷体"/>
          <w:sz w:val="32"/>
          <w:szCs w:val="32"/>
          <w:shd w:val="clear" w:color="auto" w:fill="FFFFFF"/>
        </w:rPr>
        <w:t>（八）年末结转和结余</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指单位结转下年的基本支出结转、项目支出结转和结余、经营结余。</w:t>
      </w:r>
    </w:p>
    <w:p>
      <w:pPr>
        <w:pStyle w:val="6"/>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0"/>
          <w:rFonts w:hint="default" w:ascii="Times New Roman" w:hAnsi="Times New Roman" w:eastAsia="方正仿宋_GBK"/>
          <w:sz w:val="32"/>
          <w:szCs w:val="32"/>
          <w:shd w:val="clear" w:color="auto" w:fill="FFFFFF"/>
        </w:rPr>
        <w:t> </w:t>
      </w:r>
      <w:r>
        <w:rPr>
          <w:rStyle w:val="10"/>
          <w:rFonts w:hint="default" w:ascii="Times New Roman" w:hAnsi="Times New Roman" w:eastAsia="楷体"/>
          <w:sz w:val="32"/>
          <w:szCs w:val="32"/>
          <w:shd w:val="clear" w:color="auto" w:fill="FFFFFF"/>
        </w:rPr>
        <w:t>（九）基本支出</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指为保障机构正常运转、完成日常工作任务而发生的人员经费和公用经费。其中：人员经费指政府收支分类经济科目中的</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工资福利支出</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和</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对个人和家庭的补助</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；公用经费指政府收支分类经济科目中除</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工资福利支出</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和</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对个人和家庭的补助</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外的其他支出。</w:t>
      </w:r>
    </w:p>
    <w:p>
      <w:pPr>
        <w:pStyle w:val="6"/>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0"/>
          <w:rFonts w:hint="default" w:ascii="Times New Roman" w:hAnsi="Times New Roman" w:eastAsia="方正仿宋_GBK"/>
          <w:sz w:val="32"/>
          <w:szCs w:val="32"/>
          <w:shd w:val="clear" w:color="auto" w:fill="FFFFFF"/>
        </w:rPr>
        <w:t> </w:t>
      </w:r>
      <w:r>
        <w:rPr>
          <w:rStyle w:val="10"/>
          <w:rFonts w:hint="default" w:ascii="Times New Roman" w:hAnsi="Times New Roman" w:eastAsia="楷体"/>
          <w:sz w:val="32"/>
          <w:szCs w:val="32"/>
          <w:shd w:val="clear" w:color="auto" w:fill="FFFFFF"/>
        </w:rPr>
        <w:t>（十）项目支出</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指在基本支出之外为完成特定行政任务和事业发展目标所发生的支出。</w:t>
      </w:r>
    </w:p>
    <w:p>
      <w:pPr>
        <w:pStyle w:val="6"/>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0"/>
          <w:rFonts w:hint="default" w:ascii="Times New Roman" w:hAnsi="Times New Roman" w:eastAsia="方正仿宋_GBK"/>
          <w:sz w:val="32"/>
          <w:szCs w:val="32"/>
          <w:shd w:val="clear" w:color="auto" w:fill="FFFFFF"/>
        </w:rPr>
        <w:t> </w:t>
      </w:r>
      <w:r>
        <w:rPr>
          <w:rStyle w:val="10"/>
          <w:rFonts w:hint="default" w:ascii="Times New Roman" w:hAnsi="Times New Roman" w:eastAsia="楷体"/>
          <w:sz w:val="32"/>
          <w:szCs w:val="32"/>
          <w:shd w:val="clear" w:color="auto" w:fill="FFFFFF"/>
        </w:rPr>
        <w:t>（十一）经营支出</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指事业单位在专业业务活动及其辅助活动之外开展非独立核算经营活动发生的支出。</w:t>
      </w:r>
    </w:p>
    <w:p>
      <w:pPr>
        <w:pStyle w:val="6"/>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0"/>
          <w:rFonts w:hint="default" w:ascii="Times New Roman" w:hAnsi="Times New Roman" w:eastAsia="方正仿宋_GBK"/>
          <w:sz w:val="32"/>
          <w:szCs w:val="32"/>
          <w:shd w:val="clear" w:color="auto" w:fill="FFFFFF"/>
        </w:rPr>
        <w:t> </w:t>
      </w:r>
      <w:r>
        <w:rPr>
          <w:rStyle w:val="10"/>
          <w:rFonts w:hint="default" w:ascii="Times New Roman" w:hAnsi="Times New Roman" w:eastAsia="楷体"/>
          <w:sz w:val="32"/>
          <w:szCs w:val="32"/>
          <w:shd w:val="clear" w:color="auto" w:fill="FFFFFF"/>
        </w:rPr>
        <w:t>（十二）</w:t>
      </w:r>
      <w:r>
        <w:rPr>
          <w:rStyle w:val="10"/>
          <w:rFonts w:hint="eastAsia" w:ascii="Times New Roman" w:hAnsi="Times New Roman" w:eastAsia="楷体"/>
          <w:sz w:val="32"/>
          <w:szCs w:val="32"/>
          <w:shd w:val="clear" w:color="auto" w:fill="FFFFFF"/>
          <w:lang w:eastAsia="zh-CN"/>
        </w:rPr>
        <w:t>三公</w:t>
      </w:r>
      <w:r>
        <w:rPr>
          <w:rStyle w:val="10"/>
          <w:rFonts w:hint="default" w:ascii="Times New Roman" w:hAnsi="Times New Roman" w:eastAsia="楷体"/>
          <w:sz w:val="32"/>
          <w:szCs w:val="32"/>
          <w:shd w:val="clear" w:color="auto" w:fill="FFFFFF"/>
        </w:rPr>
        <w:t>经费</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0"/>
          <w:rFonts w:hint="default" w:ascii="Times New Roman" w:hAnsi="Times New Roman" w:eastAsia="方正仿宋_GBK"/>
          <w:sz w:val="32"/>
          <w:szCs w:val="32"/>
          <w:shd w:val="clear" w:color="auto" w:fill="FFFFFF"/>
        </w:rPr>
        <w:t> </w:t>
      </w:r>
      <w:r>
        <w:rPr>
          <w:rStyle w:val="10"/>
          <w:rFonts w:hint="default" w:ascii="Times New Roman" w:hAnsi="Times New Roman" w:eastAsia="楷体"/>
          <w:sz w:val="32"/>
          <w:szCs w:val="32"/>
          <w:shd w:val="clear" w:color="auto" w:fill="FFFFFF"/>
        </w:rPr>
        <w:t>（十三）机关运行经费</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0"/>
          <w:rFonts w:hint="default" w:ascii="Times New Roman" w:hAnsi="Times New Roman" w:eastAsia="方正仿宋_GBK"/>
          <w:sz w:val="32"/>
          <w:szCs w:val="32"/>
          <w:shd w:val="clear" w:color="auto" w:fill="FFFFFF"/>
        </w:rPr>
        <w:t> </w:t>
      </w:r>
      <w:r>
        <w:rPr>
          <w:rStyle w:val="10"/>
          <w:rFonts w:hint="default" w:ascii="Times New Roman" w:hAnsi="Times New Roman" w:eastAsia="楷体"/>
          <w:sz w:val="32"/>
          <w:szCs w:val="32"/>
          <w:shd w:val="clear" w:color="auto" w:fill="FFFFFF"/>
        </w:rPr>
        <w:t>（十四）工资福利支出（支出经济分类科目类级）</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反映单位开支的在职职工和编制外长期聘用人员的各类劳动报酬，以及为上述人员缴纳的各项社会保险费等。</w:t>
      </w:r>
    </w:p>
    <w:p>
      <w:pPr>
        <w:pStyle w:val="6"/>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0"/>
          <w:rFonts w:hint="default" w:ascii="Times New Roman" w:hAnsi="Times New Roman" w:eastAsia="方正仿宋_GBK"/>
          <w:sz w:val="32"/>
          <w:szCs w:val="32"/>
          <w:shd w:val="clear" w:color="auto" w:fill="FFFFFF"/>
        </w:rPr>
        <w:t> </w:t>
      </w:r>
      <w:r>
        <w:rPr>
          <w:rStyle w:val="10"/>
          <w:rFonts w:hint="default" w:ascii="Times New Roman" w:hAnsi="Times New Roman" w:eastAsia="楷体"/>
          <w:sz w:val="32"/>
          <w:szCs w:val="32"/>
          <w:shd w:val="clear" w:color="auto" w:fill="FFFFFF"/>
        </w:rPr>
        <w:t>（十五）商品和服务支出（支出经济分类科目类级）</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反映单位购买商品和服务的支出（不包括用于购置固定资产的支出、战略性和应急储备支出）。</w:t>
      </w:r>
    </w:p>
    <w:p>
      <w:pPr>
        <w:pStyle w:val="6"/>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0"/>
          <w:rFonts w:hint="default" w:ascii="Times New Roman" w:hAnsi="Times New Roman" w:eastAsia="楷体"/>
          <w:sz w:val="32"/>
          <w:szCs w:val="32"/>
          <w:shd w:val="clear" w:color="auto" w:fill="FFFFFF"/>
        </w:rPr>
        <w:t> （十六）对个人和家庭的补助（支出经济分类科目类级）</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反映用于对个人和家庭的补助支出。</w:t>
      </w:r>
    </w:p>
    <w:p>
      <w:pPr>
        <w:pStyle w:val="6"/>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0"/>
          <w:rFonts w:hint="default" w:ascii="Times New Roman" w:hAnsi="Times New Roman" w:eastAsia="方正仿宋_GBK"/>
          <w:sz w:val="32"/>
          <w:szCs w:val="32"/>
          <w:shd w:val="clear" w:color="auto" w:fill="FFFFFF"/>
        </w:rPr>
        <w:t> </w:t>
      </w:r>
      <w:r>
        <w:rPr>
          <w:rStyle w:val="10"/>
          <w:rFonts w:hint="default" w:ascii="Times New Roman" w:hAnsi="Times New Roman" w:eastAsia="楷体"/>
          <w:sz w:val="32"/>
          <w:szCs w:val="32"/>
          <w:shd w:val="clear" w:color="auto" w:fill="FFFFFF"/>
        </w:rPr>
        <w:t>（十七）其他资本性支出（支出经济分类科目类级）</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shd w:val="clear" w:color="auto" w:fill="FFFFFF"/>
        <w:spacing w:before="0" w:beforeAutospacing="0" w:after="0" w:afterAutospacing="0" w:line="594" w:lineRule="exact"/>
        <w:rPr>
          <w:rStyle w:val="10"/>
          <w:rFonts w:hint="default" w:ascii="Times New Roman" w:hAnsi="Times New Roman" w:eastAsia="方正仿宋_GBK"/>
          <w:sz w:val="32"/>
          <w:szCs w:val="32"/>
          <w:shd w:val="clear" w:color="auto" w:fill="FFFFFF"/>
        </w:rPr>
      </w:pPr>
      <w:r>
        <w:rPr>
          <w:rStyle w:val="10"/>
          <w:rFonts w:hint="default" w:ascii="Times New Roman" w:hAnsi="Times New Roman" w:eastAsia="方正仿宋_GBK"/>
          <w:sz w:val="32"/>
          <w:szCs w:val="32"/>
          <w:shd w:val="clear" w:color="auto" w:fill="FFFFFF"/>
        </w:rPr>
        <w:t xml:space="preserve">  </w:t>
      </w:r>
      <w:r>
        <w:rPr>
          <w:rStyle w:val="10"/>
          <w:rFonts w:hint="default" w:ascii="Times New Roman" w:hAnsi="Times New Roman" w:eastAsia="黑体"/>
          <w:sz w:val="32"/>
          <w:szCs w:val="32"/>
          <w:shd w:val="clear" w:color="auto" w:fill="FFFFFF"/>
        </w:rPr>
        <w:t>七、决算公开联系方式及信息反馈渠道</w:t>
      </w:r>
    </w:p>
    <w:p>
      <w:pPr>
        <w:pStyle w:val="11"/>
        <w:autoSpaceDE w:val="0"/>
        <w:spacing w:line="596" w:lineRule="exact"/>
        <w:ind w:firstLine="640"/>
        <w:jc w:val="both"/>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Times New Roman" w:hAnsi="Times New Roman" w:eastAsia="方正仿宋_GBK"/>
          <w:sz w:val="32"/>
          <w:szCs w:val="32"/>
          <w:shd w:val="clear" w:color="auto" w:fill="FFFFFF"/>
        </w:rPr>
        <w:t>本单位决算公开信息反馈和联系方式：高老师 023-85650041</w:t>
      </w: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ascii="Arial" w:hAnsi="Arial" w:cs="Arial"/>
                <w:color w:val="000000"/>
                <w:sz w:val="22"/>
                <w:szCs w:val="22"/>
              </w:rPr>
            </w:pPr>
            <w:r>
              <w:rPr>
                <w:rFonts w:cs="宋体"/>
                <w:sz w:val="20"/>
                <w:szCs w:val="20"/>
              </w:rPr>
              <w:t>单位：</w:t>
            </w:r>
            <w:r>
              <w:rPr>
                <w:sz w:val="20"/>
              </w:rPr>
              <w:t>中国共产党垫江县委员会统战部（本级）</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481.39</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375.86</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73.21</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14.57</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17.05</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481.39</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481.39</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481.39</w:t>
            </w:r>
            <w:r>
              <w:rPr>
                <w:rFonts w:ascii="Times New Roman" w:hAnsi="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481.39</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59" w:type="pct"/>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sz w:val="20"/>
              </w:rPr>
              <w:t>中国共产党垫江县委员会统战部（本级）</w:t>
            </w: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481.39</w:t>
            </w:r>
            <w:r>
              <w:rPr>
                <w:rFonts w:ascii="Times New Roman" w:hAnsi="Times New Roman"/>
                <w:b/>
                <w:color w:val="000000"/>
                <w:sz w:val="20"/>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481.39</w:t>
            </w:r>
            <w:r>
              <w:rPr>
                <w:rFonts w:ascii="Times New Roman" w:hAnsi="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375.86</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375.86</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统战事务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375.86</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375.86</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2013401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254.28</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254.28</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2013402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74.59</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74.59</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2013404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宗教事务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2013499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其他统战事务支出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73.21</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73.21</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0.02</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0.02</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0.02</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0.02</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73.19</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73.19</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26.87</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26.87</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13.47</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13.47</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32.85</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32.85</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14.57</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14.57</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14.57</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14.57</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14.57</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14.57</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17.05</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17.05</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17.05</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17.05</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17.05</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17.05</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5000" w:type="pct"/>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中国共产党垫江县委员会统战部（本级） </w:t>
            </w: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481.39</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359.79</w:t>
            </w:r>
            <w:r>
              <w:rPr>
                <w:rFonts w:ascii="Times New Roman" w:hAnsi="Times New Roman"/>
                <w:b/>
                <w:color w:val="000000"/>
                <w:sz w:val="20"/>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121.60</w:t>
            </w:r>
            <w:r>
              <w:rPr>
                <w:rFonts w:ascii="Times New Roman" w:hAnsi="Times New Roman"/>
                <w:b/>
                <w:color w:val="000000"/>
                <w:sz w:val="20"/>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375.86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254.28</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121.58</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统战事务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375.86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254.28</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121.58</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2013401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254.28</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254.28</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2013402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74.59</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74.59</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2013404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宗教事务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2013499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其他统战事务支出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73.21</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73.19</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0.02</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0.02</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0.02</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0.02</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0.02</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73.19</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73.19</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26.87</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26.87</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13.47</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13.47</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32.85</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32.85</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14.57</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14.57</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14.57</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14.57</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14.57</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14.57</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17.05</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17.05</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17.05</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17.05</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17.05</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17.05</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中国共产党垫江县委员会统战部（本级）</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481.39</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375.86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375.86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73.21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73.21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14.57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14.57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17.05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17.05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481.39</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481.39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481.39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481.39</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481.39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481.39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06"/>
        <w:gridCol w:w="4073"/>
        <w:gridCol w:w="3306"/>
        <w:gridCol w:w="3297"/>
        <w:gridCol w:w="3340"/>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中国共产党垫江县委员会统战部（本级）</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481.39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359.79</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121.60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375.86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254.28</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121.58</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统战事务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375.86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254.28</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121.58</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254.28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254.28</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2013402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74.59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74.59</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2013404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宗教事务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2013499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其他统战事务支出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73.21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73.19</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0.02</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0.02</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0.02</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0.02</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73.19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73.19</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26.87</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26.87</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13.47</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13.47</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32.85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32.85</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14.57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14.57</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14.57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14.57</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14.57</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14.57</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17.05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17.05</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17.05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17.05</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17.05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17.05</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4994" w:type="pct"/>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中国共产党垫江县委员会统战部（本级）</w:t>
            </w:r>
          </w:p>
        </w:tc>
        <w:tc>
          <w:tcPr>
            <w:tcW w:w="4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251.27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72.55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54.68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38.80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80.20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26.87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13.47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14.57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12.28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17.05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35.97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30.85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12.11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15.37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287.24</w:t>
            </w:r>
            <w:r>
              <w:rPr>
                <w:rFonts w:ascii="Times New Roman" w:hAnsi="Times New Roman"/>
                <w:color w:val="000000"/>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72.55</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中国共产党垫江县委员会统战部（本级）</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中国共产党垫江县委员会统战部（本级）</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4611" w:type="pct"/>
        <w:tblInd w:w="0" w:type="dxa"/>
        <w:tblLayout w:type="fixed"/>
        <w:tblCellMar>
          <w:top w:w="0" w:type="dxa"/>
          <w:left w:w="170" w:type="dxa"/>
          <w:bottom w:w="0" w:type="dxa"/>
          <w:right w:w="170" w:type="dxa"/>
        </w:tblCellMar>
      </w:tblPr>
      <w:tblGrid>
        <w:gridCol w:w="3176"/>
        <w:gridCol w:w="2416"/>
        <w:gridCol w:w="2374"/>
        <w:gridCol w:w="3671"/>
        <w:gridCol w:w="2493"/>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中国共产党垫江县委员会统战部（本级）</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w:t>
            </w:r>
            <w:r>
              <w:rPr>
                <w:rFonts w:hint="eastAsia" w:cs="宋体"/>
                <w:b/>
                <w:color w:val="000000"/>
                <w:kern w:val="2"/>
                <w:sz w:val="16"/>
                <w:szCs w:val="16"/>
                <w:lang w:eastAsia="zh-CN"/>
              </w:rPr>
              <w:t>三公</w:t>
            </w:r>
            <w:r>
              <w:rPr>
                <w:rFonts w:cs="宋体"/>
                <w:b/>
                <w:color w:val="000000"/>
                <w:kern w:val="2"/>
                <w:sz w:val="16"/>
                <w:szCs w:val="16"/>
              </w:rPr>
              <w:t>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72.55</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5.49</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5.49</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72.55</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5.49</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5.49</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5.49</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77</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610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1.17</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0.83</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12.49</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w:t>
      </w:r>
      <w:r>
        <w:rPr>
          <w:rFonts w:hint="eastAsia" w:cs="宋体"/>
          <w:sz w:val="18"/>
          <w:szCs w:val="18"/>
          <w:lang w:eastAsia="zh-CN"/>
        </w:rPr>
        <w:t>三公</w:t>
      </w:r>
      <w:r>
        <w:rPr>
          <w:rFonts w:cs="宋体"/>
          <w:sz w:val="18"/>
          <w:szCs w:val="18"/>
        </w:rPr>
        <w:t>经费支出预决算情况。其中，预算数为</w:t>
      </w:r>
      <w:r>
        <w:rPr>
          <w:rFonts w:hint="eastAsia" w:cs="宋体"/>
          <w:sz w:val="18"/>
          <w:szCs w:val="18"/>
          <w:lang w:eastAsia="zh-CN"/>
        </w:rPr>
        <w:t>三公</w:t>
      </w:r>
      <w:r>
        <w:rPr>
          <w:rFonts w:cs="宋体"/>
          <w:sz w:val="18"/>
          <w:szCs w:val="18"/>
        </w:rPr>
        <w:t>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- 14 -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w:pict>
        <v:shape id="_x0000_s2056" o:spid="_x0000_s2056" o:spt="202" type="#_x0000_t202" style="position:absolute;left:0pt;margin-top:0pt;height:144pt;width:144pt;mso-position-horizontal:center;mso-position-horizontal-relative:margin;mso-wrap-style:none;z-index:251661312;mso-width-relative:page;mso-height-relative:page;" filled="f" stroked="f" coordsize="21600,21600" o:allowoverlap="f">
          <v:path/>
          <v:fill on="f" focussize="0,0"/>
          <v:stroke on="f" weight="0.5pt" joinstyle="miter"/>
          <v:imagedata o:title=""/>
          <o:lock v:ext="edit"/>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17 -</w:t>
                </w:r>
                <w:r>
                  <w:fldChar w:fldCharType="end"/>
                </w:r>
                <w:r>
                  <w:t xml:space="preserve"> </w:t>
                </w:r>
              </w:p>
            </w:txbxContent>
          </v:textbox>
        </v:shape>
      </w:pict>
    </w:r>
    <w:r>
      <w:rPr>
        <w:rFonts w:hint="default"/>
      </w:rPr>
      <w:pict>
        <v:shape id="_x0000_s2055" o:spid="_x0000_s2055"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v:path/>
          <v:fill on="f" focussize="0,0"/>
          <v:stroke on="f" weight="0.5pt" joinstyle="miter"/>
          <v:imagedata o:title=""/>
          <o:lock v:ext="edit"/>
          <v:textbox inset="0mm,0mm,0mm,0mm">
            <w:txbxContent>
              <w:p>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documentProtection w:enforcement="0"/>
  <w:defaultTabStop w:val="420"/>
  <w:drawingGridHorizontalSpacing w:val="120"/>
  <w:drawingGridVerticalSpacing w:val="163"/>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lkNmIwODI1Y2QwNGQxZDFhYmRhZWMyNWM5ZTJhMjUifQ=="/>
  </w:docVars>
  <w:rsids>
    <w:rsidRoot w:val="00B03CCD"/>
    <w:rsid w:val="000239C6"/>
    <w:rsid w:val="001A3AF2"/>
    <w:rsid w:val="001D3BB7"/>
    <w:rsid w:val="00295A3A"/>
    <w:rsid w:val="002B254B"/>
    <w:rsid w:val="0034050A"/>
    <w:rsid w:val="0044504F"/>
    <w:rsid w:val="00466C9B"/>
    <w:rsid w:val="00486CFC"/>
    <w:rsid w:val="00491DDD"/>
    <w:rsid w:val="00550ABE"/>
    <w:rsid w:val="00623A85"/>
    <w:rsid w:val="00770383"/>
    <w:rsid w:val="007819D4"/>
    <w:rsid w:val="00787162"/>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4E37FCC"/>
    <w:rsid w:val="252D4D73"/>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B7093"/>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AD56F98"/>
    <w:rsid w:val="4B135857"/>
    <w:rsid w:val="4B7951CB"/>
    <w:rsid w:val="4B7C315C"/>
    <w:rsid w:val="4D1F53CA"/>
    <w:rsid w:val="4DAC4ACA"/>
    <w:rsid w:val="4DBE01D2"/>
    <w:rsid w:val="4EFD467F"/>
    <w:rsid w:val="4F0C6BA3"/>
    <w:rsid w:val="4F186D58"/>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2632A6"/>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2A60E0F"/>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E223B16"/>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Info spid="_x0000_s2056"/>
    <customShpInfo spid="_x0000_s2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26</Pages>
  <Words>10228</Words>
  <Characters>13131</Characters>
  <Lines>115</Lines>
  <Paragraphs>32</Paragraphs>
  <TotalTime>12</TotalTime>
  <ScaleCrop>false</ScaleCrop>
  <LinksUpToDate>false</LinksUpToDate>
  <CharactersWithSpaces>14290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毕欢</cp:lastModifiedBy>
  <dcterms:modified xsi:type="dcterms:W3CDTF">2025-10-29T02:17:36Z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BB46EABDBB2749749395447164B066B3_12</vt:lpwstr>
  </property>
  <property fmtid="{D5CDD505-2E9C-101B-9397-08002B2CF9AE}" pid="4" name="KSOTemplateDocerSaveRecord">
    <vt:lpwstr>eyJoZGlkIjoiMDUwMjYyMTAwZTM5NTcxOGVhNzI3YWZjMDRhMjZkZDEifQ==</vt:lpwstr>
  </property>
</Properties>
</file>