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关于垫江县2020年国民经济和社会发展计划执行情况及2021年计划草案的报告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jc w:val="left"/>
        <w:rPr>
          <w:rFonts w:hint="eastAsia" w:ascii="微软雅黑" w:hAnsi="微软雅黑" w:eastAsia="微软雅黑" w:cs="微软雅黑"/>
          <w:i w:val="0"/>
          <w:iCs w:val="0"/>
          <w:caps w:val="0"/>
          <w:color w:val="333333"/>
          <w:spacing w:val="0"/>
          <w:sz w:val="19"/>
          <w:szCs w:val="19"/>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right="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各位代表：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受县人民政府委托，现将2020年国民经济和社会发展计划执行情况及2021年计划草案提请大会审议，并请县政协委员提案。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一、2020年国民经济和社会发展计划执行情况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过去一年，面对突如其来的新冠疫情，面对错综复杂的国际形势，全县上下坚持以习近平新时代中国特色社会主义思想为指导，深入贯彻党中央系列决策部署，全面落实习近平总书记对重庆提出的营造良好政治生态，坚持“两点”定位、“两地”“两高”目标，发挥“三个作用”和推动成渝地区双城经济圈建设等重要指示要求，坚持稳中求进工作总基调，深入贯彻新发展理念，落实高质量发展要求，深化供给侧结构性改革，坚持从全局谋划一域、以一域服务全局，着力战疫情、战复工、战贫困、战洪水，全力以赴做好“六稳”“六保”工作，持续打好“三大攻坚战”，深入实施“八项行动计划”，稳增长、促改革、调结构、惠民生、防风险、保稳定，统筹疫情防控和经济社会发展取得重大成果，为“十四五”时期开启社会主义现代化建设新征程奠定了扎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主要指标全面回升，高质量发展行稳致远。全县地区生产总值444.8亿元，增长4％，高于全市0.1个百分点，增速分别排全市和渝东北12位、2位，其中，一、二、三产分别实现增加值59.4亿元、196.3亿元、189.1亿元，增长4.8％、5.6％、2.3％。全体居民人均可支配收入达28530元、增长8.2％，其中，城镇居民人均可支配收入达39533元，增长5.6％；农村居民人均可支配收入达18370元，增长9.2％，城乡收入差距比缩小至2.16：1。一般公共预算收入达17．4亿元，增长4.3％，其中，税收完成11.4亿元，增长2.9％。完成城镇新增就业8904人，超额完成市上下达目标，经济社会发展呈逐季好转、加快复苏，供需两端恢复性增长势头明显，经济发展长期向好基本面巩固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双城经济圈”坚实起步，发展势能不断增强。《成渝地区双城经济圈建设规划纲要》明确垫江为北翼节点城市，出台贯彻落实《成渝地区双城经济圈建设规划纲要》工作方案，加快规划纲要转化落地。大垫丰武高速、明月山内槽旅游环线道路等一批重点项目挤入国家规划、市级计划。联合毗邻六区县共建明月山绿色发展示范带，成为川渝毗邻地区合作共建九大功能平台之一，34个项目纳入六区县平台项目库，总投资约3000亿元。两次召开六区县党政联席会，联合建立四级体系工作机制和毗邻协作机制。与毗邻区县签订各类合作协议31份，达成合作意向320项。深度融入“一区两群”，“三区两地一节点、郊区新城双‘50’”发展方位定位得到市级支持，长垫梁绿色经济走廊进入全市“十四五”规划，龙溪河流域水环境试点示范成效明显。“长－垫”帮扶机制建立健全，梳理形成帮扶事项10余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数字经济快速崛起，新旧动能高效转换。全县数字经济企业接近400家，数字经济总产值32亿元，增长9％。首创全域性普惠型工业互联网，实现全县600余家辖区企业同上一张网、3万余台设备同上一朵云，覆盖长寿、梁平、广安等毗邻地区近百家企业。自研“垫小二”企服云平台，融合普惠金融、政策直达、用工配套等一站式“云服务”，帮助167家中小企业贷款9264.7万元、首贷率超过75％。靶向引进允成科技、誉成科技等国内大数据领军企业27家，先后回引在外创业就业数字经济人才300余人，拓展智慧医疗、智慧交通等应用场景32个。新建5G基站666个，实现5G网络城区全覆盖。成功创建国家数字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政策效应加快释放，市场信心持续提振。大力开展“千人联千企”专项活动，创新打造“垫小二”服务品牌，全县1019名“垫小二”助力市场主体享受各类政策资金支持7万余户次、30余亿元，新登记注册企业增长57.4％、日均新增7.3户。召开全县服务业及数字经济创新发展大会，出台支持数字经济发展政策20条，支持传统产业转型升级。多元争取资金支持，全年到位中央预算内资金项目39个、3.8亿元，获批专项债券项目10个、资金12.8亿元，老旧小区、专项债券等获批资金均居全市前列。一系列政策逆周期调节效果明显，新培育市场主体9008户，增长14.3％，累计达5.8万余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一年来，重点抓了七个方面工作：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（一）应对“大战”“大考”，筑牢经济“基本盘”。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面对新冠疫情，始终坚持人民至上、生命至上，全力应对“大战”“大考”，狠抓“外防输入、内防反弹”，统筹推进疫情防控和经济社会发展工作。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全力战疫情。第一时间启动重大突发公共卫生一级响应，迅速成立疫情防控工作领导小组和联防联控指挥部，实现“双组长制”“指挥长负责制”。严格落实“四早”“四集中”要求，抓好“四个工作面”和“两大保障”，实行“八个从严”“加强版”“优化版”“统筹版”，用时半个月实现新增确诊病例零增长，一个月左右时间实现确诊病例、疑似病例、无症状感染者和密切接触者全部清零，成为全市第二批低风险区县，彻底打好疫情防控的人民战、总体战、阻击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全力战复工复产。落实分区分级分类精准防控，有序推动复工复产、复商复市、复课复学，出台支持中小企业发展政策10条、建筑行业生产经营措施10条、抗疫贷等纾困惠企政策，帮助企业渡过“难关”。开展春暖花开·美好生活“12个1”促销活动提振消费，“一校一策”指导学校完善疫情防控方案和应急预案，全县生产生活秩序加快恢复。在全市率先实现规上工业企业复工复产率、限上商贸企业复市复消率、市级重点项目和续建重大项目开工复工率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全力稳价保供。落实粮食安全行政首长负责制，粮食生产稳定在40万吨。加强能源调度，电力、天然气等能源供给稳定，电力供应量稳定在10亿千瓦时，天然气年供气量稳定在6亿方左右，成品油销售稳定在10万吨左右。规范市场秩序，打击囤积居奇，稳控消费价格，有效防止非洲猪瘟、新冠疫情对生猪市场价格的“叠加影响”，充分运用市场手段，稳定蔬菜等农产品价格。将疫情对生产生活的影响降到最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（二）打好“三大攻坚战”，决战决胜“收官年”。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深入贯彻落实党中央关于打好“三大攻坚战”决策部署，着力抓重点、补短板、强弱项，聚焦突出问题，注重精准施策，打好关键战役，推动决战全面建成小康社会取得决定性成就。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脱贫攻坚取得重大胜利。打赢打好脱贫攻坚“定点攻坚战”“百日大会战”“收官大决战”三大战役，扎实开展“五访五帮”“五查五改”“四看四讲四问”专项行动，持续推进“两不愁三保障”突出问题动态清零，统筹推进市委脱贫攻坚专项巡视“回头看”、脱贫攻坚成效考核等各类问题一体整改、全面整改。贫困群众“两不愁三保障”达标率100％、生产生活明显改善率100％、各类巡视督查考核审计反馈问题整改率100％，全县10个市级贫困村和5个县级扶贫重点村全部出列，现行标准下9802户31567名贫困人口稳定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污染防治取得重大突破。全面统筹山水林田湖草系统治理。实施污染防治攻坚“百日大会战”，筑牢长江上游重要生态屏障。实施蓝天保卫行动。全年空气质量优良天数350天，同比增加15天，优良天数比例 95．9％。PM2.5平均浓度下降5微克／立方米。实施碧水保卫行动。全面推行河长制，探索实施龙溪河流域清漂、巡河、渔业、发电“四位一体”管护新模式。完成8座污水处理厂工艺改造，完成24座污水处理厂（站）在线监测安装调试，桂溪河建成区黑臭水体全面消除，龙溪河、卧龙河断面水质稳定在Ⅲ类以上。实施净土保卫行动。探索“林长制”改革，开展国土绿化提升行动，新增营造林12万亩，森林覆盖率46％。治理水土流失30平方公里。获评“全国农村生活垃圾分类和资源化利用示范县”“全市畜禽粪污资源化利用整县推进项目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防范化解重大风险取得重大进展。严守债务红线。积极争取新增专项债券资金，6.6亿元政府购买服务再提款获得快速审批，发行再融资债券7.4亿元，债务展期、债务重组5.2亿元，建立偿债准备金2.6亿元，有效降低政府债务风险。规范经济秩序。建立健全打击非法集资工作联席会议制度，常态化开展防范和打击非法集资“七进”宣传活动，全年排查各行业1212家，未发现涉嫌非法集资情况。全县各项存款余额420.6亿元，增长7.7％。各项贷款余额284.8亿元，增长17.3％。存贷比67.7％，创历史新高。不良贷款率0.5％，低于全市全国平均水平。稳控房产市场。落实“房住不炒”政策，全年房地产开工面积134万平方米，销售商品房面积81.6万平方米，增长15.3％，房产库存面积不足40万平方米。防范洪涝灾害。统筹做好预警监测、堤坝加固、应急处置和恢复重建，建成全市首个智慧水利云平台，全面筑牢防汛抗洪、迎峰度夏的“安全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（三）构建现代产业体系，打造高质量发展“增长极”。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坚持把发展着力点放在实体经济上，持续优化三次产业结构，不断提升产业链供应链现代化水平，加快推动经济高质量发展。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现代农业提质增效。实现农业总产值93.5亿元、增长5.2％。农业基础不断夯实。建设高标准农田5.7万亩，宜机化土地整治3万亩。推广新型农机具5772台（套），机械化率达52％，高于全市2个百分点。新增各类新型农业经营主体246个。龙滩水库建设加快推进，油坊沟水库开工动建，永安水库、太平水库等项目前期推进顺利。粮食生产稳步增长。全年种植粮食98万亩、产量40万吨，分别增长3.8％、增长2.3％。种植蔬菜38万亩、产量81万吨，分别增长3.6％、5.1％。特色产业快速发展。种植优质水稻30万亩、优质玉米23万亩。稻油制种面积达1.3万亩。发展中药材种植基地16个。垫江晚柚“双十工程”，建成标准化果园3500亩。建设1000头以上标准化生猪养殖项目57个，出栏生猪66万头。审核和认证“三品一标”品牌15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工业经济稳步回升。实现工业增加值108.2亿元、增长4.5％，其中，规上工业增长4％，新增规上工业企业15家、累计达139家。园区承载能力增强。完成 “一园三组团”体制机制改革。园区道路骨架、排水网络等基础设施完善，完成工业用地储备2400亩，新建标准化厂房33万平方米、工业污水处理厂3座。先行指标强势回升。全年工业用电增长8.1％，较一季度、上半年、前三季度分别回升19.4、9.3、3.6个百分点，工业用气增长－1.5％，较一季度、上半年、前三季度分别回升18.7、8.6、3.2个百分点。主导产业支撑明显。天然气综合利用、新材料、消费品、汽摩等支柱产业产值分别增长8.7％、9.1％、1％、3.8％。全年规模以上工业利润总额12.1亿元，增长2.4％；主营业务收入利润率8.2％。工业税收达5亿元，增长8.9％。工业项目加快推进。完成工业投资47.4亿元、增长9.2％，晶芯频控、中海油医用口罩等项目建成投产，圣皓机械、汇维仕新材料等项目加快推进，捷力轮毂搬迁扩能、国瑞绿色装配式建筑产业园一期建成投产，捷力轮毂、辉虎科技等22余家企业智能化改造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建筑强县”纵深推进。实现建筑业增加值88.1亿元、增长7％。全年新增建筑企业248家，注册施工企业达到527家，同比增长113％。实现注册地建筑业总产值255亿元，增长15％，全县实现建筑业和房地产业税收7.5亿元，占全县一般公共预算收入的49.5％。渝东北首个装配式建筑产业园建成投产，高质量主办智能装配式建筑产业发展论坛，争取重庆市“巴渝工匠杯”建设行业职业技能竞赛在我县举办，成功创建全市“智慧建造”和市级装配式建筑产业建设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（四）扩大内需战略基点，畅通融入“双循环”。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按照需求牵引供给，供给创造需求的思路，坚持扩大内需战略同供给侧结构性改革有机结合起来，积极融入构建以国内大循环为主体、国内国际双循环相互促进的新发展格局。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消费市场快速回暖。实现社会消费品零售总额增长0.2％，转负为正。实现批发销售额增长26.9％，排全市第5位，零售销售额增长6.9％，住宿营业额增长5.6％，排全市第1位，餐饮营业额增长5.4％，全年新增限上商贸企业10户，新增限上商贸个体97户。消费平台提档升级。五洞李花园、中华仙草园创成3A景区，恺之峰旅游区获批4A景区。红星美凯龙·爱琴海购物公园、中农联·渝东国际农贸城、垫江汽贸城等消费平台建设加快，协信·星光天地运营良好，200余个国内著名商业品牌签约入驻，“居民步行10分钟商业网点”基本实现。主题消费成效明显。成功举办第21届垫江牡丹文化节、重庆龙溪河（垫江）首届龙舟赛、2020重庆·垫江首届荷莲文化节、“双晒”等大型文化活动，全年接待游客525万人次、旅游总收入27亿元，增速分别高于全市平均水平30个、15个百分点。成功举办各类展会40余场次，全年会展销售额达5．3亿元。线上消费持续升温。实现电商交易额22.1亿元、增长34％，快递吞吐量突破2000万件，增长32.6％。消费品牌逐渐形成。升级打造巴谷·宿集、“牡丹人家”品牌企业10家。成功创建“中国石磨豆花美食之乡”地域品牌，成功申报“垫江石磨豆花”市级非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有效投资不断增长。完成全社会固定资产投资171亿元，增长14.5％，高于全市10.6个百分点，增速列全市第2位。重点项目支撑有力。85个县级重点建设项目完成投资109.8亿元，占年度计划的98.6％，15个市级重点项目完成投资75亿元，占年度计划110.6％。投资结构逐步优化，基础设施领域完成投资61.5亿元，增长1％，占比固定资产投资36％，完成民间投资136亿元，增长12.6％。 5G基站、东部新区等“两新一重”建设加快推进，成为拉动投资增长的主要动力。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进出口有序恢复。新增汇维仕、辉煌机械等进出口实绩企业4家，累计达15家。实现货物进出口总额4.2亿元，增长－24.6％，较上半年、三季度分别回升21.4个、16.4个百分点。实现服务贸易进出口总额144.5万美元、增长35.5％，其中，服务外包33.1万美元、增长47.9％。捷力轮毂等外贸企业订单全部恢复，且印度及东南亚市场外贸份额占比进一步增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（五）统筹城市提升和乡村振兴，展现城乡“新面貌”。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聚焦城市和乡村两个基本面，着力加大城乡基础设施投入力度，不断提升城市品质，推动乡村振兴，加快城乡一体协调发展。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城市品质跃升台阶。划定中心城区城市开发边界规模50平方公里，城市建成区面积达25平方公里，常住人口达25万，常住人口城镇化率达49.2％。东部新区高位推进。城市博览中心、旅游集散中心、优质教育基地开工动建，三合湖公园即将下闸蓄水，“10万平方公里、10万人口”新区骨架基本形成。城市功能逐步健全。实施城市提升项目114项，总投资267.8亿元。实施老旧小区改造102个，城市棚改459户。新增城市绿地面积105公顷，城市建成区绿地率达43％。建成城市地下综合管廊16公里、县城雨污管网21公里，县城污水集中收集率、处理率分别达70％、95％以上。成功创建国家园林县城、国家新型城镇化建设示范县。城市管理有力有效。“大城三管”深入实施，“马路办公”纵深推进，城市综合管理“七大工程”取得实效。智慧城市建设加快，建成智能停车管理系统，设置智能泊车位2600个，新增停车位7488个，“停车难”问题有效缓解。评定AA级信用等级物业企业4家、A级32家，物管水平稳步提升。商品房县外购置率达10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乡村振兴走深走实。连片示范成效明显。明月山乡村振兴示范区和龙溪河乡村振兴示范带建设开局良好，“22521”单项试验示范、3镇15村连片综合示范深入实施。农村基础完善升级。乡镇基础设施“八个一”项目加快实施。建成农村客运招呼站145个、新建“四好农村路”385公里，群众出行更加安全便捷。人居环境显著改善。实施乡镇环境综合整治项目5个，创建美丽庭院500个，整治提升农村旧房3000户，改造农村危房99户，农村卫生厕所普及率达79.8％。成功创建“农村生活垃圾分类和资源化利用国家级示范县”。农村改革深入推进。完成农村承包地确权登记颁证和288个村级集体产权制度改革，实施“三变”改革试点村18个、“三社”融合基层组织206个、深度结合试点村5个。确认集体经济组织成员79.2万人、设置股权135万股、量化经营性资产3.1亿元。品牌创建成果丰硕。建成全国“一村一品”示范镇村8个，全市休闲农业和乡村旅游示范镇（村、点）17个，市级美丽宜居乡村10个，太平镇牡丹村、裴兴镇桂花村等入选“2020年中国美丽乡村”，坪山镇双丰村燕子溪上垣子入围“首批重庆传统村落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（六）深化改革开放创新，积蓄发展“动力源”。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坚持战略导向、问题导向、需求导向，实施开放引领、改革突破、创新驱动战略，不断增强内生动力，加快释放市场活力。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重点领域改革纵深推进。深化“放管服”改革。提升行政审批效率，企业开办审批时限由4个工作日压缩至1个工作日，行政许可事项网上可办率达96％。全年完成企业投资项目备案208个、增长30.8％。全面落实“涉企减负30条”“电气15条”等支持民营企业政策，为全县小微企业低压接入提供设备支持，减少电力成本1625万元。深化投融资体制改革。东部新区新型城镇化PPP项目接近尾声，工业园区高质量发展PPP项目和教育信息化PPP项目前期加快推进，基础设施存量资产REITS改革试点论证加快开展。推进财税金融改革。实施平滑的信贷政策，国有平台公司实现融资18.4亿元。发放“抗疫贷”28笔2800万元，“垫易贷”112笔3350万元，“应急转贷”36笔2.6亿元，商业价值贷款49笔6043万元。成功创建国家财政支持深化民营和小微企业金融服务综合改革试点城市。推进信用体系建设。“信用垫江”平台归集信用信息数据总量突破50万余条，排名全市前列。成功开展“信用重庆－垫江站”诚信万里行活动，积极推进市级信用示范城市创建工作，推动川渝毗邻区县信用信息共享红黑名单互认、跨区域联合奖惩等信用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对外开放水平大大提升。开放通道建设加快。长垫梁货运铁路、广垫忠黔铁路纳入全市“十四五”规划纲要，前期工作加快推进。大垫高速、垫丰武高速公路完成并案，即将开工动建。招商引资硕果累累。招商签约项目231个，亿元级项目114个，到位资金70亿元，招商“三率”、热力指数居渝东北城镇群前列。引进世界500强、央企、上市公司等投资项目7个。对外交流广泛多元。积极参加智博会、西洽会、西旅会交流合作。2020线上中国国际智能产业博览会系列活动之“智能装配式建筑产业发展论坛”在垫江举行。云栖大会·百城汇重庆站主会场设在垫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创新驱动战略有效实施。实现全社会R＆D投入2.2亿元，增长11.7％。万人发明专利拥有量2件，增长41％。创新主体持续壮大。发放知识价值信用贷款7655万元，增长106.9％，累计培育国家高新技术企业24家、市级科技型企业214家，建成市级研发平台5个，打造高新技术产品33个。产学研合作加强。博士生、博士后科研工作站相继建成，高新企业科技人员突破1000人，自主研发科技特派员服务“三农”信息平台，有效覆盖四川邻水等川渝毗邻区县。博杰能源获得科技部专项资金支持。农业园区成功创建“市级农业科技园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（七）改善和增进社会福祉，织密民生“保障网”。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坚持以人民为中心的发展理念，顺应人民群众对美好生活的向往，集中解决人民群众普遍关心的突出问题，高质量完成15件重点民生实事，持续提升公共服务水平，努力创造高品质生活。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社会保障更加兜底。就业保障充分。重点做好农民工、高校毕业生、退役军人等重点群体就业创业工作，全县1859名离校未就业高校毕业生就业率达95.3％。社保兜底牢固。养老、医疗保险参保率达95％。新建养老服务中心（站）41个，完成居家养老适老化改造524户，居全市第一。累计发放城乡低保金9056.2万元，实施临时救助5098人，发放社会救助金1.7亿元，发放其他特殊困难群体基本生活困难补贴5250人383.8万元。劳动维权有效。化解处置工资拖欠案件及隐患620件，帮助2616名农民工追讨拖欠工资3295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教育事业全面发展。办学条件持续改善。全面升级校园网络，宽带网络“校校通”基本实现，班班通配比达到100％，学前三年毛入园率和普惠覆盖率分别达89.3％、 94.2％，均高于全市平均水平。义务教育均衡发展。积极实施重庆市农村中小学“领雁工程”，垫江八中和鹤游小学成功申报重庆市第四批“领雁工程”项目学校。新增国家级特色学校7所，市级特色学校4所。普通高中加快升级。全县重本上线人数突破1197人，上线人数和上线率分别较去年增长201人和2.2％。加强特色示范高中建设，成为全市10个普通高中“新课程新教材”实施示范区之一。职业教育特色优质。建立职业教育联席会议制度，深化普职融通、产教融合、校企合作，中职毕业生就业率达98％。成功创建“首批国家级农村职业教育成人教育示范县”，职业教育服务地方经济发展能力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卫生健康水平提升。公共医疗提质。巩固“国家中医药发展综合改革试验县”成果，创新试点“乡聘村用”，两次获得国务院孙春兰副总理批示。公办医疗机构与养老机构签约合作率达100％，家庭医生签约服务15.2万人。县人民医院成功创建国家级“综合防治卒中中心”，县中医院成功创建重庆市三级“智慧医院”。中医特色凸显。建成中医药特色乡镇卫生院10个、特色村卫生室50个，打造2个市级“精品中医馆”、1个市级中医重点专科。中医药参与治疗率达85％，中医适宜技术覆盖率达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2020年是全面建成小康社会和“十三五”规划的收官年，也是“十四五”规划编制谋划年。回顾一年的工作，我们深化“产业突破年”“城市提升年”“执行力强化年”建设，开展“全面小康收官年”“ ‘十四五’谋划年”建设，通过“企业服务升级”“项目工作攻坚”“消费需求提振”等方式，一手抓疫情防控、一手抓经济发展，全力以赴打好“两个大战”、答好“两张考卷”，经济环比提速呈现逆势回升，横比升位创直辖以来最高排位，战略方位定位更加清晰、发展势能后劲有效提升，为全面建成小康社会、“十三五”规划圆满收官奠定坚实基础。县十七届人大四次会议批准的“宏观经济＋五大发展理念”六大类26个指标得到积极执行，8个约束性指标全部达到预期目标，其中城镇新增就业人数超出预期计划2404人，城镇调查失业率、居民消费价格指数低于预期0.5个百分点，现行标准下农村人口全部脱贫，全面建成小康社会胜利在握。18个预期性指标中，固定资产投资、一般公共预算收入等7个指标达到预期目标（见表1），且固定资产投资增速全市排位第2名。但受新冠肺炎疫情影响，年初企业停工停产，群众居家隔离，投资、消费、贸易活动几乎全面停滞，导致一季度地区生产总值增长－4.2％，虽然上半年和三季度全县经济加快恢复性增长，分别达到2.4％、3.3％，全年4％的增速仍低于预期目标2.5个百分点，但增速全市排位仍是第一方阵。与GDP核算相匹配的工业、建筑业、服务业等10个指标也存在不同程度差距，尤其是随着疫情全球化蔓延，进出口断崖式下滑，导致进出口、服务贸易等3个指标相差甚远，常态化防控，市场避险导致居民活动空间、消费意愿趋于狭小谨慎，储蓄倾向明显增加，传统百货、家居家电等普通商品销售乏力，住餐、批零、文化娱乐等聚集性消费回补和释放不足，导致社会消费品零售总额全年仅增长0.2％，较计划相差8.8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然，我们也要清醒地认识到，全县经济社会发展还面临不少困难和问题。一是世情国情疫情复杂严峻。国际环境深刻复杂变化，主要经济体深度衰退、大国博弈加速，逆全球化趋势加剧，全球疫情反弹，还在蔓延，国内零星散发病例和局部爆发疫情的风险始终存在，经济不确定、不预知因素依然较多。二是工业发展能级不强。规上工业增加值增速4％，低于全市5.8％的平均水平，排在渝东北第5位和全市25位，战略性新兴产业增加值增速－2％，工业投资增速9.2％，排在全市20名外，工业占GDP比重下降2个百分点左右。同时园区运转困难，企业落地缓慢等问题集中显现，一定层度掣肘工业经济快速发展。三是第三产业质量不高。全县三产占比GDP比重不高，低于全市平均水平10.3个百分点，且增速偏慢，在渝东北地区排第7位，社零、交通运输、存贷款余额、部分行业工资收入水平等增速靠后，规上服务业企业仅新增1户，影响了三产的较快增长。四是营商环境有待优化。政务服务的主动性仍需加强，行政审批的效率有待进一步提高。五是城市公共服务仍需增强。县城区停车难、物管缺、大班额、老旧小区安全隐患等问题还需高度重视，并在下步工作中努力解决。</w:t>
      </w:r>
    </w:p>
    <w:tbl>
      <w:tblPr>
        <w:tblW w:w="528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69"/>
        <w:gridCol w:w="626"/>
        <w:gridCol w:w="2284"/>
        <w:gridCol w:w="1563"/>
        <w:gridCol w:w="1573"/>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8" w:hRule="atLeast"/>
        </w:trPr>
        <w:tc>
          <w:tcPr>
            <w:tcW w:w="5000" w:type="pct"/>
            <w:gridSpan w:val="6"/>
            <w:tcBorders>
              <w:top w:val="nil"/>
              <w:left w:val="nil"/>
              <w:bottom w:val="nil"/>
              <w:right w:val="nil"/>
            </w:tcBorders>
            <w:shd w:val="clear"/>
            <w:vAlign w:val="center"/>
          </w:tcPr>
          <w:p>
            <w:pPr>
              <w:keepNext w:val="0"/>
              <w:keepLines w:val="0"/>
              <w:widowControl/>
              <w:suppressLineNumbers w:val="0"/>
              <w:jc w:val="center"/>
              <w:textAlignment w:val="top"/>
              <w:rPr>
                <w:rFonts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表1：2020年国民经济和社会发展主要计划指标表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tcBorders>
              <w:top w:val="single" w:color="000000" w:sz="4"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类别</w:t>
            </w:r>
          </w:p>
        </w:tc>
        <w:tc>
          <w:tcPr>
            <w:tcW w:w="348"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序号</w:t>
            </w:r>
          </w:p>
        </w:tc>
        <w:tc>
          <w:tcPr>
            <w:tcW w:w="1269"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指标名称（＊为约束指标）</w:t>
            </w:r>
          </w:p>
        </w:tc>
        <w:tc>
          <w:tcPr>
            <w:tcW w:w="868"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2020年计划目标</w:t>
            </w:r>
          </w:p>
        </w:tc>
        <w:tc>
          <w:tcPr>
            <w:tcW w:w="873"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2020年完成情况</w:t>
            </w:r>
          </w:p>
        </w:tc>
        <w:tc>
          <w:tcPr>
            <w:tcW w:w="1100"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2"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宏观经济</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地区生产总值增长（％）</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6.5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农业增加值增速（％）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5.2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工业增加值增速（％）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建筑业增加值增速（％）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7</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5</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服务业增加值增速（％）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2.3</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6</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固定资产投资增长（％）</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8</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14.5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5"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7</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社会消费品零售总额增速（％）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9</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0.2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5"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8</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一般公共预算收入增速（％）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4.3</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2"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创新发展</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9</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R＆D占GDP比重（％）</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0.6</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0.5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3"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战略性新兴制造业增加值增速（％）</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2"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协调发展</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11</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常住人口城镇化率（％）</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49.5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49.2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5"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12</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制造业增加值占GDP比重（％）</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5"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13</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服务业增加值占GDP比重（％）</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42.5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3"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14</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文化产业增加值占比GDP比重（％）</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2.8</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3"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15</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民营经济增加值占GDP比重（％）</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63</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73.5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2"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绿色发展</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16</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空气质量优良天数＊（天）</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330以上</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350</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95"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17</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市级及以上考核断面达到或优于Ⅲ类水体的比例达标率＊（％）</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100</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3"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18</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节能减排降碳完成市上下达约束性指标＊</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达到考核指标</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达到考核指标</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开放发展</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19</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进出口总值增长（％）</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-24.6</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20</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服务贸易额增长（％）</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45</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35.5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21</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实际利用外资</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1.5亿元人民币</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0.12亿元人民币</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8" w:hRule="atLeast"/>
        </w:trPr>
        <w:tc>
          <w:tcPr>
            <w:tcW w:w="538"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共享发展</w:t>
            </w: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22</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全体居民人均可支配收入增长＊（％）</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10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8.2</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23</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城镇新增就业人数＊（人）</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6500</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8904</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24</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城镇调查失业率＊（％）</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5.5以内</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5</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25</w:t>
            </w:r>
          </w:p>
        </w:tc>
        <w:tc>
          <w:tcPr>
            <w:tcW w:w="1269"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居民消费价格涨幅＊（％）</w:t>
            </w:r>
          </w:p>
        </w:tc>
        <w:tc>
          <w:tcPr>
            <w:tcW w:w="86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3.5以内</w:t>
            </w:r>
          </w:p>
        </w:tc>
        <w:tc>
          <w:tcPr>
            <w:tcW w:w="873"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3</w:t>
            </w:r>
          </w:p>
        </w:tc>
        <w:tc>
          <w:tcPr>
            <w:tcW w:w="1100"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538"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center"/>
              <w:rPr>
                <w:rFonts w:hint="eastAsia" w:ascii="微软雅黑" w:hAnsi="微软雅黑" w:eastAsia="微软雅黑" w:cs="微软雅黑"/>
                <w:i w:val="0"/>
                <w:iCs w:val="0"/>
                <w:color w:val="333333"/>
                <w:sz w:val="18"/>
                <w:szCs w:val="18"/>
                <w:u w:val="none"/>
              </w:rPr>
            </w:pPr>
          </w:p>
        </w:tc>
        <w:tc>
          <w:tcPr>
            <w:tcW w:w="348" w:type="pct"/>
            <w:tcBorders>
              <w:top w:val="single" w:color="E5E5E5" w:sz="8" w:space="0"/>
              <w:left w:val="single" w:color="E5E5E5" w:sz="8" w:space="0"/>
              <w:bottom w:val="single" w:color="000000" w:sz="4"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26</w:t>
            </w:r>
          </w:p>
        </w:tc>
        <w:tc>
          <w:tcPr>
            <w:tcW w:w="3011" w:type="pct"/>
            <w:gridSpan w:val="3"/>
            <w:tcBorders>
              <w:top w:val="single" w:color="E5E5E5" w:sz="8" w:space="0"/>
              <w:left w:val="single" w:color="E5E5E5" w:sz="8" w:space="0"/>
              <w:bottom w:val="single" w:color="000000" w:sz="4"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现行标准下农村贫困人口全部脱贫，如期全面建成小康社会＊</w:t>
            </w:r>
          </w:p>
        </w:tc>
        <w:tc>
          <w:tcPr>
            <w:tcW w:w="1100" w:type="pct"/>
            <w:tcBorders>
              <w:top w:val="single" w:color="E5E5E5" w:sz="8" w:space="0"/>
              <w:left w:val="single" w:color="E5E5E5" w:sz="8" w:space="0"/>
              <w:bottom w:val="single" w:color="000000" w:sz="4" w:space="0"/>
              <w:right w:val="single" w:color="E5E5E5" w:sz="8"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18"/>
                <w:szCs w:val="18"/>
                <w:u w:val="none"/>
              </w:rPr>
            </w:pPr>
            <w:r>
              <w:rPr>
                <w:rFonts w:hint="eastAsia" w:ascii="微软雅黑" w:hAnsi="微软雅黑" w:eastAsia="微软雅黑" w:cs="微软雅黑"/>
                <w:i w:val="0"/>
                <w:iCs w:val="0"/>
                <w:color w:val="333333"/>
                <w:kern w:val="0"/>
                <w:sz w:val="18"/>
                <w:szCs w:val="18"/>
                <w:u w:val="none"/>
                <w:bdr w:val="none" w:color="auto" w:sz="0" w:space="0"/>
                <w:lang w:val="en-US" w:eastAsia="zh-CN" w:bidi="ar"/>
              </w:rPr>
              <w:t>县扶贫办</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二、2021年总体思路、主要发展目标和重点项目安排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2021年是中国共产党成立100周年，是“十四五”时期的开局之年，也是全面建成小康社会、开启全面建设社会主义现代化国家新征程的关键之年。做好全县经济社会发展工作，直接关系未来五年发展规划的进程和成效，至关重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总体思路。坚持以习近平新时代中国特色社会主义思想为指引，全面贯彻党的十九大、十九届二中、三中、四中、五中全会精神和中央经济工作会议精神，坚持稳中求进工作总基调，立足新发展阶段，贯彻新发展理念、融入新发展格局，以推动高质量发展为主题，以深化供给侧结构性改革为主线，以改革创新为动力，坚持系统观念，坚持从长期大势认识当前形势，紧紧抓住重要战略机遇期，保持高质量发展方向不动摇，确保全年经济运行在合理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主要发展目标。按照以上总体要求和工作思路，对标市上、紧扣县情、对接“十四五”规划目标，制定2021年“建设川渝东部开放高地、建设山清水秀美丽之地、推动高质量发展、创造高品质生活、安全发展”5大类34项指标（见表2）</w:t>
      </w: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3"/>
        <w:gridCol w:w="3891"/>
        <w:gridCol w:w="2008"/>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8" w:hRule="atLeast"/>
        </w:trPr>
        <w:tc>
          <w:tcPr>
            <w:tcW w:w="5000" w:type="pct"/>
            <w:gridSpan w:val="4"/>
            <w:tcBorders>
              <w:top w:val="nil"/>
              <w:left w:val="nil"/>
              <w:bottom w:val="nil"/>
              <w:right w:val="nil"/>
            </w:tcBorders>
            <w:shd w:val="clear"/>
            <w:vAlign w:val="top"/>
          </w:tcPr>
          <w:p>
            <w:pPr>
              <w:keepNext w:val="0"/>
              <w:keepLines w:val="0"/>
              <w:widowControl/>
              <w:suppressLineNumbers w:val="0"/>
              <w:jc w:val="center"/>
              <w:textAlignment w:val="top"/>
              <w:rPr>
                <w:rFonts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表2：2021年国民经济和社会发展主要指标计划表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000000" w:sz="4"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序号</w:t>
            </w:r>
          </w:p>
        </w:tc>
        <w:tc>
          <w:tcPr>
            <w:tcW w:w="2283"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指标名称</w:t>
            </w:r>
          </w:p>
        </w:tc>
        <w:tc>
          <w:tcPr>
            <w:tcW w:w="1178" w:type="pct"/>
            <w:tcBorders>
              <w:top w:val="single" w:color="000000" w:sz="4"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2021年计划</w:t>
            </w:r>
          </w:p>
        </w:tc>
        <w:tc>
          <w:tcPr>
            <w:tcW w:w="1049" w:type="pct"/>
            <w:tcBorders>
              <w:top w:val="single" w:color="000000" w:sz="4"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地区生产总值增速（﹪）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 w:hRule="atLeast"/>
        </w:trPr>
        <w:tc>
          <w:tcPr>
            <w:tcW w:w="5000" w:type="pct"/>
            <w:gridSpan w:val="4"/>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一、建设川渝东部开放高地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进出口总值增速（﹪）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服务贸易增速（﹪）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4</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实际利用外资（亿美元）</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0.1</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 w:hRule="atLeast"/>
        </w:trPr>
        <w:tc>
          <w:tcPr>
            <w:tcW w:w="5000" w:type="pct"/>
            <w:gridSpan w:val="4"/>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二、建设山清水秀美丽之地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5</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城市空气质量优良天数（天）＊</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330天以上</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6</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森林覆盖率（﹪）﹡</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46</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能源消耗总量增速（﹪）﹡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完成市上下达任务</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8</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单位地区生产总值能耗下降（﹪））﹡</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9</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单位地区生产总值二氧化碳排放下降（﹪））﹡</w:t>
            </w:r>
          </w:p>
        </w:tc>
        <w:tc>
          <w:tcPr>
            <w:tcW w:w="1178" w:type="pct"/>
            <w:vMerge w:val="restar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完成市上下达任务</w:t>
            </w:r>
          </w:p>
        </w:tc>
        <w:tc>
          <w:tcPr>
            <w:tcW w:w="1049" w:type="pct"/>
            <w:vMerge w:val="restar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489"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10</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主要污染物排放总量减少（﹪））﹡</w:t>
            </w:r>
          </w:p>
        </w:tc>
        <w:tc>
          <w:tcPr>
            <w:tcW w:w="1178" w:type="pct"/>
            <w:vMerge w:val="continue"/>
            <w:tcBorders>
              <w:top w:val="single" w:color="E5E5E5" w:sz="8" w:space="0"/>
              <w:left w:val="single" w:color="E5E5E5" w:sz="8" w:space="0"/>
              <w:bottom w:val="single" w:color="E5E5E5" w:sz="8" w:space="0"/>
              <w:right w:val="single" w:color="E5E5E5" w:sz="8"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c>
          <w:tcPr>
            <w:tcW w:w="1049" w:type="pct"/>
            <w:vMerge w:val="continue"/>
            <w:tcBorders>
              <w:top w:val="single" w:color="E5E5E5" w:sz="8" w:space="0"/>
              <w:left w:val="single" w:color="E5E5E5" w:sz="8" w:space="0"/>
              <w:bottom w:val="single" w:color="E5E5E5" w:sz="8" w:space="0"/>
              <w:right w:val="single" w:color="000000" w:sz="4"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＃化学需氧量（﹪）</w:t>
            </w:r>
          </w:p>
        </w:tc>
        <w:tc>
          <w:tcPr>
            <w:tcW w:w="1178" w:type="pct"/>
            <w:vMerge w:val="continue"/>
            <w:tcBorders>
              <w:top w:val="single" w:color="E5E5E5" w:sz="8" w:space="0"/>
              <w:left w:val="single" w:color="E5E5E5" w:sz="8" w:space="0"/>
              <w:bottom w:val="single" w:color="E5E5E5" w:sz="8" w:space="0"/>
              <w:right w:val="single" w:color="E5E5E5" w:sz="8"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c>
          <w:tcPr>
            <w:tcW w:w="1049" w:type="pct"/>
            <w:vMerge w:val="continue"/>
            <w:tcBorders>
              <w:top w:val="single" w:color="E5E5E5" w:sz="8" w:space="0"/>
              <w:left w:val="single" w:color="E5E5E5" w:sz="8" w:space="0"/>
              <w:bottom w:val="single" w:color="E5E5E5" w:sz="8" w:space="0"/>
              <w:right w:val="single" w:color="000000" w:sz="4"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＃二氧化硫（﹪）</w:t>
            </w:r>
          </w:p>
        </w:tc>
        <w:tc>
          <w:tcPr>
            <w:tcW w:w="1178" w:type="pct"/>
            <w:vMerge w:val="continue"/>
            <w:tcBorders>
              <w:top w:val="single" w:color="E5E5E5" w:sz="8" w:space="0"/>
              <w:left w:val="single" w:color="E5E5E5" w:sz="8" w:space="0"/>
              <w:bottom w:val="single" w:color="E5E5E5" w:sz="8" w:space="0"/>
              <w:right w:val="single" w:color="E5E5E5" w:sz="8"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c>
          <w:tcPr>
            <w:tcW w:w="1049" w:type="pct"/>
            <w:vMerge w:val="continue"/>
            <w:tcBorders>
              <w:top w:val="single" w:color="E5E5E5" w:sz="8" w:space="0"/>
              <w:left w:val="single" w:color="E5E5E5" w:sz="8" w:space="0"/>
              <w:bottom w:val="single" w:color="E5E5E5" w:sz="8" w:space="0"/>
              <w:right w:val="single" w:color="000000" w:sz="4"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＃氨氮（﹪）</w:t>
            </w:r>
          </w:p>
        </w:tc>
        <w:tc>
          <w:tcPr>
            <w:tcW w:w="1178" w:type="pct"/>
            <w:vMerge w:val="continue"/>
            <w:tcBorders>
              <w:top w:val="single" w:color="E5E5E5" w:sz="8" w:space="0"/>
              <w:left w:val="single" w:color="E5E5E5" w:sz="8" w:space="0"/>
              <w:bottom w:val="single" w:color="E5E5E5" w:sz="8" w:space="0"/>
              <w:right w:val="single" w:color="E5E5E5" w:sz="8"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c>
          <w:tcPr>
            <w:tcW w:w="1049" w:type="pct"/>
            <w:vMerge w:val="continue"/>
            <w:tcBorders>
              <w:top w:val="single" w:color="E5E5E5" w:sz="8" w:space="0"/>
              <w:left w:val="single" w:color="E5E5E5" w:sz="8" w:space="0"/>
              <w:bottom w:val="single" w:color="E5E5E5" w:sz="8" w:space="0"/>
              <w:right w:val="single" w:color="000000" w:sz="4"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＃氮氧化物（﹪）</w:t>
            </w:r>
          </w:p>
        </w:tc>
        <w:tc>
          <w:tcPr>
            <w:tcW w:w="1178" w:type="pct"/>
            <w:vMerge w:val="continue"/>
            <w:tcBorders>
              <w:top w:val="single" w:color="E5E5E5" w:sz="8" w:space="0"/>
              <w:left w:val="single" w:color="E5E5E5" w:sz="8" w:space="0"/>
              <w:bottom w:val="single" w:color="E5E5E5" w:sz="8" w:space="0"/>
              <w:right w:val="single" w:color="E5E5E5" w:sz="8"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c>
          <w:tcPr>
            <w:tcW w:w="1049" w:type="pct"/>
            <w:vMerge w:val="continue"/>
            <w:tcBorders>
              <w:top w:val="single" w:color="E5E5E5" w:sz="8" w:space="0"/>
              <w:left w:val="single" w:color="E5E5E5" w:sz="8" w:space="0"/>
              <w:bottom w:val="single" w:color="E5E5E5" w:sz="8" w:space="0"/>
              <w:right w:val="single" w:color="000000" w:sz="4" w:space="0"/>
            </w:tcBorders>
            <w:shd w:val="clear" w:color="auto" w:fill="FFFFFF"/>
            <w:vAlign w:val="center"/>
          </w:tcPr>
          <w:p>
            <w:pPr>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 w:hRule="atLeast"/>
        </w:trPr>
        <w:tc>
          <w:tcPr>
            <w:tcW w:w="5000" w:type="pct"/>
            <w:gridSpan w:val="4"/>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三、推动高质量发展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11</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农业增加值增速（﹪）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12</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规上工业增加值增速（﹪）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10</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13</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战略性新兴产业产值增速（﹪）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16</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14</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高技术产业产值增速（﹪）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15</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数字经济增加值增速（﹪）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18</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r>
              <w:rPr>
                <w:rFonts w:hint="eastAsia" w:ascii="微软雅黑" w:hAnsi="微软雅黑" w:eastAsia="微软雅黑" w:cs="微软雅黑"/>
                <w:i w:val="0"/>
                <w:iCs w:val="0"/>
                <w:color w:val="333333"/>
                <w:kern w:val="0"/>
                <w:sz w:val="24"/>
                <w:szCs w:val="24"/>
                <w:u w:val="none"/>
                <w:bdr w:val="none" w:color="auto" w:sz="0" w:space="0"/>
                <w:lang w:val="en-US" w:eastAsia="zh-CN" w:bidi="ar"/>
              </w:rPr>
              <w:br w:type="textWrapping"/>
            </w: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16</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规上工业全员劳动生产率（万元／人年）</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34左右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17</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规上工业企业利润增速（﹪）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18</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新登记市场主体增速（﹪）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15左右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19</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服务业增加值增速（﹪）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4.5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20</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文化产业增加值增速（﹪）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县文化旅游委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 w:hRule="atLeast"/>
        </w:trPr>
        <w:tc>
          <w:tcPr>
            <w:tcW w:w="489"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21</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固定资产投资增速（﹪）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8</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＃民间投资增速（﹪）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22</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社会消费品零售总额增速（﹪）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23</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全社会研发经费支出占地区生产总值比重（﹪）</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24</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万人发明专利拥有量（件）</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8</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25</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高新技术企业数量（家）</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489"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26</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非公经济增加值占地区生产总值比重（﹪）</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74</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＃民营经济占比（﹪）</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74</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489"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27</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一般公共预算收入增速（﹪）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7.7</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＃税收增速（﹪）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10</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8" w:hRule="atLeast"/>
        </w:trPr>
        <w:tc>
          <w:tcPr>
            <w:tcW w:w="5000" w:type="pct"/>
            <w:gridSpan w:val="4"/>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四、创造高品质生活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489" w:type="pct"/>
            <w:vMerge w:val="restar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28</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全体居民人均可支配收入增速（﹪）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7.5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489" w:type="pct"/>
            <w:vMerge w:val="continue"/>
            <w:tcBorders>
              <w:top w:val="single" w:color="E5E5E5" w:sz="8" w:space="0"/>
              <w:left w:val="single" w:color="000000" w:sz="4" w:space="0"/>
              <w:bottom w:val="single" w:color="E5E5E5" w:sz="8" w:space="0"/>
              <w:right w:val="single" w:color="E5E5E5" w:sz="8" w:space="0"/>
            </w:tcBorders>
            <w:shd w:val="clear" w:color="auto" w:fill="FFFFFF"/>
            <w:vAlign w:val="center"/>
          </w:tcPr>
          <w:p>
            <w:pPr>
              <w:jc w:val="right"/>
              <w:rPr>
                <w:rFonts w:hint="eastAsia" w:ascii="微软雅黑" w:hAnsi="微软雅黑" w:eastAsia="微软雅黑" w:cs="微软雅黑"/>
                <w:i w:val="0"/>
                <w:iCs w:val="0"/>
                <w:color w:val="333333"/>
                <w:sz w:val="24"/>
                <w:szCs w:val="24"/>
                <w:u w:val="none"/>
              </w:rPr>
            </w:pP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＃农村居民人均可支配收入增速（﹪）</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8.5</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29</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常住人口城镇化率（﹪）</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51左右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30</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新增城镇就业（人）</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完成市上下达任务</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31</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城镇调查失业率（﹪）</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5．5左右</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32</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居民消费价格指数（﹪）</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3.2以内</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000" w:type="pct"/>
            <w:gridSpan w:val="4"/>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五、安全发展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3" w:hRule="atLeast"/>
        </w:trPr>
        <w:tc>
          <w:tcPr>
            <w:tcW w:w="489" w:type="pct"/>
            <w:tcBorders>
              <w:top w:val="single" w:color="E5E5E5" w:sz="8" w:space="0"/>
              <w:left w:val="single" w:color="000000" w:sz="4"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33</w:t>
            </w:r>
          </w:p>
        </w:tc>
        <w:tc>
          <w:tcPr>
            <w:tcW w:w="2283" w:type="pct"/>
            <w:tcBorders>
              <w:top w:val="single" w:color="E5E5E5" w:sz="8" w:space="0"/>
              <w:left w:val="single" w:color="E5E5E5" w:sz="8" w:space="0"/>
              <w:bottom w:val="single" w:color="E5E5E5" w:sz="8"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粮食产量（万吨）</w:t>
            </w:r>
          </w:p>
        </w:tc>
        <w:tc>
          <w:tcPr>
            <w:tcW w:w="1178" w:type="pct"/>
            <w:tcBorders>
              <w:top w:val="single" w:color="E5E5E5" w:sz="8" w:space="0"/>
              <w:left w:val="single" w:color="E5E5E5" w:sz="8" w:space="0"/>
              <w:bottom w:val="single" w:color="E5E5E5" w:sz="8"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40</w:t>
            </w:r>
          </w:p>
        </w:tc>
        <w:tc>
          <w:tcPr>
            <w:tcW w:w="1049" w:type="pct"/>
            <w:tcBorders>
              <w:top w:val="single" w:color="E5E5E5" w:sz="8" w:space="0"/>
              <w:left w:val="single" w:color="E5E5E5" w:sz="8" w:space="0"/>
              <w:bottom w:val="single" w:color="E5E5E5"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6" w:hRule="atLeast"/>
        </w:trPr>
        <w:tc>
          <w:tcPr>
            <w:tcW w:w="489" w:type="pct"/>
            <w:tcBorders>
              <w:top w:val="single" w:color="E5E5E5" w:sz="8" w:space="0"/>
              <w:left w:val="single" w:color="000000" w:sz="4" w:space="0"/>
              <w:bottom w:val="single" w:color="000000" w:sz="4" w:space="0"/>
              <w:right w:val="single" w:color="E5E5E5" w:sz="8" w:space="0"/>
            </w:tcBorders>
            <w:shd w:val="clear" w:color="auto" w:fill="FFFFFF"/>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34</w:t>
            </w:r>
          </w:p>
        </w:tc>
        <w:tc>
          <w:tcPr>
            <w:tcW w:w="2283" w:type="pct"/>
            <w:tcBorders>
              <w:top w:val="single" w:color="E5E5E5" w:sz="8" w:space="0"/>
              <w:left w:val="single" w:color="E5E5E5" w:sz="8" w:space="0"/>
              <w:bottom w:val="single" w:color="000000" w:sz="4" w:space="0"/>
              <w:right w:val="single" w:color="E5E5E5" w:sz="8"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亿元地区生产总值安全事故死亡率﹡</w:t>
            </w:r>
          </w:p>
        </w:tc>
        <w:tc>
          <w:tcPr>
            <w:tcW w:w="1178" w:type="pct"/>
            <w:tcBorders>
              <w:top w:val="single" w:color="E5E5E5" w:sz="8" w:space="0"/>
              <w:left w:val="single" w:color="E5E5E5" w:sz="8" w:space="0"/>
              <w:bottom w:val="single" w:color="000000" w:sz="4" w:space="0"/>
              <w:right w:val="single" w:color="E5E5E5" w:sz="8"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3.5左右</w:t>
            </w:r>
          </w:p>
        </w:tc>
        <w:tc>
          <w:tcPr>
            <w:tcW w:w="1049" w:type="pct"/>
            <w:tcBorders>
              <w:top w:val="single" w:color="E5E5E5" w:sz="8" w:space="0"/>
              <w:left w:val="single" w:color="E5E5E5" w:sz="8"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bdr w:val="none" w:color="auto" w:sz="0" w:space="0"/>
                <w:lang w:val="en-US" w:eastAsia="zh-CN" w:bidi="ar"/>
              </w:rPr>
              <w:t>县应急管理局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注：加﹡为约束性指标，其他为预期性指标。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主要有五点考虑：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是宏观政策稳好趋势。中央经济工作会议指出：“明年宏观经济政策将保持连续性、稳定性、可持续性，将继续实施积极的财政政策和稳健的货币政策，不转急弯，保持对经济恢复的必要支持和精准有效的政策指导”，需要我们积极把握政策的机遇、用好宝贵的时间窗口，推动经济高质量发展。二是新时代西部大开发、成渝地区双城经济圈和全市“一区两群”战略深入实施。随着新时代推进西部大开发形成新格局、成渝地区双城经济圈和全市“一区两群”战略的深入实施，一体规划、组团发展、协同建设进程加快，资源要素错位互补、短板弱项持续补强，势必牵引创造新的发展动能和增长空间。三是市委市政府关心支持。市委、市政府对垫江“三区两地一节点、郊区新城“双‘50’ ”“千亿工业”“数字经济创新发展试验区”等一系列的发展定位，为全县经济社会发展注入强劲的战略动能和政策红利。四是“十四五”规划和2035年远景目标牵引。县委十四届八次全会明确到2035年将全面建成“三区两地一节点、郊区新城双‘50’、基本实现现代化”的宏伟目标，到2025年要实现“三个重大进展、六个新”和“三高三升”“六争六创”的形象目标，将极大地提振全县上下干事创业的精气神，势必在“十四五”规划的开局之年形成“开门红”之势。五是数字经济应用示范赋能。随着我县数字经济快速发展，工业互联网、自研“垫小二”等数字平台跨区拓面，促进更多企业“上云用数赋智”，进一步降低成本提高效率，实现数字经济与实体经济深度融合，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重大项目安排。计划安排2021年度重点项目226个，其中，年度重点建设项目137个，总投资555.08亿元，年度计划投资163.64亿元，重点前期工作项目89个，总投资625．19亿元，前期经费约5000万元；并聚焦重点行业、重点领域、重点工作，梳理形成了2021年十五大重点项目清单，总投资300.24亿元。重点项目按照三类安排：基础设施类项目73个，年度计划投资64．58亿元，占比40％；特色产业类项目38个，年度计划投资51.34亿元，占比31％；社会事业类项目26个，年度计划投资47.63亿元，占比29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三、2021年国民经济和社会发展计划的主要任务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确保国民经济和社会发展达到预期目标，2021年将深入落实中央、市委、县委经济工作会议精神，有效对接全县“十四五”规划纲要，按照《政府工作报告》部署要求，巩固提升疫情防控和经济社会发展成果，着力抓好九个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（一）以改革开放创新为动力，不断释放发展潜力。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坚持以供给侧结构性改革为主线，持续推动改革创新，不断优化市场供给机制，营造一流营商环境，不断集成发展新动力。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深入实施创新驱动。加快高新区创建。坚持以创建高新区为引领，以工业园区科创园为支撑，完善创建规划，探索创建管理机制，探索以“一区多园”的模式联合创建重庆市高新区。壮大创新主体。实施科技企业成长工程，加快建设重庆市垫江软件园。做大做强全域性普惠型工业互联网和“垫小二”企业服务云平台等2个数字经济平台。打造全市科技成果转移承接基地1个。建立科技特派员工作站1个、创新创业示范基地3个，培育国家高新技术企业8家以上、市级科技型企业25家以上，建立科研平台、“双创”平台5家以上。不断优化创新生态。打造“智汇丹乡·逐梦垫江”人才品牌，引进专业紧缺人才20人以上。强化科技金融支持，加强知识产权保护，强化科技成果转化。力争规上企业自主研发机构覆盖率达50％。实现R＆D占比GDP达1％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实施更高水平的开放。加快拓展对外开放通道。聚焦“三铁三高两国四省”对外交通网络建设。加快推进长垫梁货运铁路、广垫忠黔铁路、垫涪高速、垫合高速前期工作，对接争取两江新区至长寿至垫江快速通道、垫江至忠县新生港快速通道建设，加快开工动建大垫丰武高速，完工S515黄沙至白家段、G243太平至沙坪段、明月山内槽旅游环线公路等项目建设。以内畅外联的交通通道融入全市“一区两群”，推动川东北、渝东北一体化发展。打造一流营商环境。对标世界银行营商环境评价标准体系，全面提速“全网通办”效率，力争政府服务“全渝通办”“网上办”事项比例达到98％。开展政企双向评价，构建亲清政商关系。深入开展“千人联千企”等专项活动，纵深打造“垫小二”营商环境品牌，着力解决企业实际困难。建立健全行政执法“双随机、一公开”和社会信用失信惩戒机制，依法平等保护民营企业和企业家权益，维护公平公正的市场竞争秩序。力争2021年实现招商引资签约项目110个以上、协议引资330亿元以上，到位资金70亿元以上，亿元级项目达60个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推进更深层次改革。实施财政金融改革。推进预算管理一体化建设，确保预算管理规范化、标准化和自动化。完成党政机关和事业单位经营性国有资产集中统一监管。持续推动国家财政支持深化民营和小微企业金融服务综合改革试点工作，助力解决中小企业融资难、融资贵问题。深化国资国企改革。实施国企改革三年行动，推动市政、水利、教育、民政、医疗（康养）等各个行业行政事业性可转化的资产、资源、资金，尽最大可能向平台公司集中，做大平台公司资产规模、现金流量、经营收益、融资能力。大力推进平台公司向实体经济转型发展。强化投融资体制改革。综合运用政府购买服务、引导基金、PPP等模式，吸引社会资本和市场主体增加投入，降低资本金比例，充分激发市场投资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（二）以实体经济发展为内核，大力提升产业现代化水平。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按照产业基础高级化、产业链现代化要求。优存量、育增量、控变量，锻长板、补短板，不断建强产业链、优化供应链、提升价值链。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打造重庆重要工业基地。提升平台承载力。围绕高新区创建、“千亿工业”目标，推进工业园区“30＋20”产业空间格局规划编制。加快推进创建国家级高新区产业PPP项目入库招标工作，尽快开工动建补齐工业平台基础短板。促进机制扁平化。稳步推进工业园区体制改革探索，打造招商引资、平台建设、项目促建、企业服务工业发展全流程链，全面构建一体化工作格局，不断提高工业发展质效，促进工业经济强筋壮骨。推动产业成群集链。做强特色产业，探索建立重点产业“链长制”，大力发展绿色建材、智能装备、生物医药“三优”产业；优化传统产业，实现产业链条多元融合，巩固提升消费品加工、汽摩制造、天然气综合利用“三促”产业。优化形成传统产业和新兴产业协同发展新格局。加快招商项目落地。推动隆斯达等30个项目开工建设、新华汇纺织等30个项目建成投产。加强企业上市培育。精准落实《垫江县鼓励企业挂牌上市财政扶持办法》，优化《全县企业上市相关政务服务事项办理规程》，鼓励引导允成科技、鼎发公司等企业上云、上规、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建设区域性商贸物流基地。聚焦“大物流、大商圈、大市场”，加快推动“一基地两中心”建设。夯实商贸平台。加快推动中农联·渝东国际农贸城、红星美凯龙·爱琴海购物公园项目、汽车仓储物流园等重大项目建设，力争年内全部建成投用。大力推动渝川东部会展中心、数字商务产业项目发展，打造区域特色会展品牌。积极引导南门综合市场、居然之家等存量市场联盟发展，增强垫江家居建材产业的核心竞争力和区域辐射力。壮大电子商务。优化城区公共配送网点建设，力争农产品网络销售额增长25％以上，触网商户突破5000户以上，培育外贸进出口实绩企业3家以上。发展智慧物流，建设垫江快递物流智慧分拣中心，加快货物管理、运输服务、场站设施等数字化升级，持续降低物流成本。发挥现代服务业发展专项资金作用，积极引导服务业“个转企”“小升规”。大力发展规模化企业、总部经济。提速康养旅游。研究策划牡丹温泉古镇、G243复线康养绿道建设项目，完成迎风湖康养小镇、鹤游坪古城堡民宿、龙溪河水上运动基地项目前期工作，启动雷家湾民宿（二期）度假区、卧龙巴盐康养小镇建设。完成恺之峰景区玻璃廊桥、观景平台、旅游步道、游客接待中心建设，启动旅游索道项目建设。全面升级五洞李花园、中华仙草园3A级景区。启动创建市级全域旅游示范区和市级旅游度假区，持续唱响“牡丹故里·康养垫江”名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创建数字经济应用示范高地。推进数字产业化。加快启动软件园A区（二期）工程建设及软件园B区规划设计，推动软件技术在工业互联网、5G、人工智能等领域应用。加快推进行业性数据中心、牡丹湖智慧公园等新型基础设施建设。新引进优质大数据相关企业20家以上，为创建市级（国家级）高新区打基础。加快产业数字化。探索建设城市数字大脑，积极引导区域内中小微企业“上云用数赋智”，完成企业“机器换人”智能化改造项目20个以上。推动打造市级人工智能产业示范园。积极拓展智能应用场景。聚焦教育、养老、医疗、新型城镇化建设等重点领域，构建多样化应用场景体系，打造深度应用场景20个以上。强化中小企业转型服务综合体建设，联合打通政府、社会、市场数据通道，探索建立区域性中小微企业数字银行，推进数字价值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（三）以扩大内需为战略基点，全面激发市场活力。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围绕扩大内需这个战略基点，充分发挥政府投资撬动作用， 进一步激发资本市场投资热情，提振消费信心，激发市场活力。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扩大有效投资。认真落实《重庆市政府投资管理办法》，统筹建立健全“五年计划、三年滚动、一年实施”重点项目库。有效对接争取中央资金3.4亿元，市级补助资金4.8亿元，推进PPP融资约20亿元，实现业主自筹约130亿元。扎实推进2021年度162.3亿元、137个重点项目建设，其中，前期项目90个、总投资625.7亿元，重点强化大垫丰武高速、优质教育基地等相关行业特别重大的15个项目建设，有效发挥重大项目建设对经济社会发展的示范牵引作用。进一步激活民间投资。积极对接国家投资政策走向，全面实施市场准入负面清单制度，依托投资项目在线审批监管平台，建立健全面向民间资本推介项目长效机制，定期发布民间资本推介项目清单，大力引导社会资本投资交通、教育、卫生、城建等重大基础设施领域，深度激活民间投资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深挖消费潜力。优化消费环境。落实财税金融土地配套政策，调节收入分配结构，提升居民消费能力。完善消费市场质量标准和信用体系，建立消费领域守信激励和失信惩戒信用机制，优化消费结构。升级消费平台。创新“互联网＋社区”消费平台，加快形成便民消费圈，促进社区团购业态发展。推进传统百货店、体育场馆、闲置工厂房向商业综合体、健身休闲中心等消费载体转型，打造体验式、互动式、场景式消费平台。创新消费供给。顺应数字消费、网络消费潮流，大力发展网络销售、直播带货等线上新业态；不断巩固旅游、汽车、家电、房产、餐饮主题消费，力争2021年新开工商品房面积126万平方米，完成房地产开发投资30亿元。提升农村消费。持续发展乡村休闲旅游，不断活跃线上线下消费业态。完善农村电商配送体系，持续推进农超对接、农餐对接，不断活跃农村消费新业态。提质文化消费。持续开展“牡丹花马”、龙溪河垂钓比赛等特色体育赛事，精心打造中国（垫江）石磨豆花美食文化旅游节、牡丹文化节等节庆活动。大力发展夜经济。规划建设夜市一条街，打造“深夜购物区”“夜市餐饮区”。推动明悦天街、南门口商圈、钻石城商圈等与文旅、休闲业态融合。鼓励商务中心、大型小区附近开设“24小时便利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促进创业兴业。落实创业政策，助推全民创业。争取试点示范。积极创建市级博士后科研工作站和市级专家服务基地，加快打造垫江县返乡创业就业示范园。推进“重庆市公共就业创业服务平台标准化信息化便民化建设试点县”建设，积极争创重庆市和谐劳动关系综合试验区。大力开展创业培训。发挥创业担保贷款作用，开展职业技能提升行动，推进“春风行动”“就业援助月”“民营企业招聘月”“高校毕业生就业服务月”“丹乡人才周会”等线上线下招聘活动，加快形成大众创业、万众创新市场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（四）以唱好“双城记”为引领，深入推动协同发展。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成渝地区双城经济圈规划纲要》为引领，以明月山绿色发展示范带建设为抓手，下好基础设施“先手”，争当产业合作“高地”，塑造合作交流“主场”，统筹推进成渝地区双城经济圈和全市“一区两群”战略协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推动规划项目对接。高位对接川渝两省共编的18项重点规划和方案，争取垫江更多诉求、更多项目纳入国家专项规划。对接毗邻区县，高质量编制《明月山绿色发展示范带核心区“十四五”专项规划》，同时，联合毗邻区县策划包装一批牵引力足、示范性强、成熟度高的重大项目挤入川渝省市层面联合推进，实现规划与项目转化实化、有效衔接、落地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促进产业政策协同。推动设立明月山绿色发展基金，助力产业做大做强。依托数字经济创新发展试验区建设，推动全域性普惠型工业互联网、中小企业转型服务综合体拓区扩面，带动毗邻区域传统产业“上云用数赋智”、迭代转型升级，集聚打造数字经济应用示范高地。依托澄溪镇国瑞装配式建筑产业园，辐射带动毗邻地区建筑产业迭代升级，打造区域性绿色智能装配式产业基地。挖掘中医中药资源，有序开发明月山休闲民宿、森林康养等产业，串珠成线，联合打造明月山风景名胜道生态康养旅游集聚区。探索经济区和行政区适度分离改革，健全专项合作机制，推进户籍制度便捷式迁徙，适时推动区域内景区景点“一卡通”等民生政策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深化区域交流合作。不断搭建多元交往平台，提升开放交流水平，丰富合作交流形式，努力打造区域交流合作“主场”。依托中农联·渝东国际农贸城，加快建设东部新区城市博览中心，打造渝川东部地区绿色优质农产品交易洽谈会；发挥垫江数字经济政策优势，联动毗邻区县举办川渝东部中小企业数字转型升级发展论坛；发展壮大国瑞装配式建筑产业接续举办装配式建筑产业发展论坛。开好明月山绿色发展示范带党政联席会第三次会议，梳理形成一揽子联合推进的重点项目、工作对接机制、资源要素保障机制和跨区域政策协同机制，报党政联席会审定后大马力推进实施，联动唱好“双城记”，建好经济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4．积极融入“一区两群”。落实“一区两群”区县协同发展机制，建立完善“长－垫”对口帮扶机制。积极融入主城都市区，协同万达开川渝统筹发展示范区，积极承接东部和主城产业转移，加快建设主城都市区产业拓展区。发挥在渝东北三峡库区城镇群新型城镇化发展、绿色产业建设示范作用，增强经济和人口承载能力，承接川渝东部生态功能区人口转移。深化龙溪河流域水环境综合治理与可持续发展试点，共建长垫梁绿色经济走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（五）以东部新区为重点，倾力建设新型城镇化示范县。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深入推进以人为核心的新型城镇化建设，实施城市“双修”，提升城市品质，加快建成东部新区，打造产城融合、职住平衡、生态宜居、交通便利的郊区新城。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推动城市有机更新。完善城市规划体系。推进《垫江县国土空间总体规划》编制，规划建设30平方公里工业发展空间、预留20平方公里产业留白空间，按照土地成片开发方案确定年度实施计划，组织实施城市成片开发建设，优化生产、生活、生态空间结构。实施城市品质提升。完成老旧小区103个100万平方米、田坝片区等棚户区260户改造，促进老旧功能片区、老旧厂区、传统商圈有机更新。实施长安大道两侧功能品质提升工程，建成天宝寨森林公园环山步道，启动奎星楼及其附属配套设施建设，完成古城半山公园、健身绿道前期工作，新增城市绿化80万平方米。加强城市治理。推进“智慧名城”建设，完善部门“大城细管”标准体系，探索“多杆合一”建设项目，继续推进智慧照明、智慧城管、智慧停车升级改造。优化“马路办公”机制，提高乡镇（街道）“马路办公”质量。继续推进城市综合管理执法体制改革，探索城区环卫、市政设施、园林绿化管护市场化作业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开展新型城镇化示范建设。围绕公共服务设施提标扩面、环境卫生设施提级扩能、市政公用设施提档升级、产业培育设施提质增效，积极争取新型城镇化示范建设方案获批，创新融资企业债券10亿元以上，推动4大类17个方面244个项目有序落地建设，2021年将实现重点建设示范项目10个。开工建设春花大道南延伸段等3条道路，改造双拥路、新华街，建成桂西大道南延伸段等4条道路，增强重要路段通行能力。提升公共充电桩、变电站覆盖面。有序推进县城城镇化补短板强弱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提速东部新区建设。高标准推进东部新区城市规划设计，优化植入高教、职教、文创、总部等产业，策划建设星级酒店、会展中心、牡丹影剧院、冰雪赛事馆等城市配套资源，实现以产促城、产城融合发展。加快新区项目建设。完成PPP投资25亿元，累计达54亿元，完成计划投资90％。开工建设城南污水处理厂、垃圾收集与转运站两个项目。投入运营人民东部延伸段、文笔大道北延伸段等三条道路。建成三合高级中学朝阳校区扩建工程、G243太平至沙坪段、S515黄沙至白家段等东部新区十大工程。实现土地出让1000余亩，为“十四五”建成10平方公里、新增城市人口10万人奠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（六）以争当乡村振兴排头兵为目标，着力推动农业农村高质量发展。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深化农业供给侧结构性改革，深化品种培优、品质提升、品牌打造和标准化建设，切实通过乡村振兴，促进农业高质高效、乡村宜居宜业、农民富裕富足。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大力发展特色效益农业。夯实农业基础。实施粮能提升、农综开发和宜机化土地整治，建设高标准农田5.6万亩、宜机化土地整治2.4万亩。发展标准化生产基地50万亩。建成投用龙滩水库、油坊沟水库，持续推动农村饮水安全巩固提升工程，保障农村饮用水安全。做大特色产业。打造农业 “双十双百”工程，发展垫江晚柚1.3万亩，着力建设“中国晚柚之都”，力争实现6万亩中药材种植规模，实施100万头生猪一体化产业链项目，稳定出栏生猪70万头以上、家禽500万羽。延伸产业链条。持续推进高安食品工业园提档升级，大力发展粮油、蔬菜、水果、畜禽、调味品、中药材六大产业加工。创建“两品一标”品牌10个以上，打造都市现代高效特色农业示范区，创建国家农业科技园区。保障粮食和种子安全。发挥国家杂交水稻种子生产基地优势，大力发展水稻、油菜制种产业，启动建立稻油种子库，加强种质资源保护和利用。严守耕地红线，确保粮食生产稳定在40万吨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大力实施乡村振兴战略。加强规划引领。巩固拓展“22521”乡村振兴试验示范成果，统筹乡镇规划和实用性规划编制，合理布局村庄规划，保护传统村落和特色风貌。合理开发牡丹、温泉、休闲农业资源，打造明月山乡村振兴连片示范带。充分依托垫江晚柚资源优势，接续建设龙溪河生态经济示范带。加快开发盐浴、李花、长寿湖瓜果采摘体验以及鹤游坪古寨卡遗址，推动农文旅深度融合，建设南部快速通道经济走廊示范带。巩固拓展脱贫攻坚成果同乡村振兴有效衔接。严格落实“四个不摘”要求。促进脱贫攻坚与乡村振兴在规划、政策、产业、人才、组织等方面衔接，逐步实现由集中资源支持脱贫攻坚向全面推进乡村振兴平稳过渡。建立健全农村生活垃圾收集转运体系，实施垃圾分类和资源化利用，农村垃圾收集率达98％。深化农村改革。全面完成农村土地确权颁证、农村产权制度改革工作。继续扩大农村“三变”改革试点，推动“三社”融合发展，培育新型农业经营主体30家。推动实施垫江晚柚收益保险，农业保险品种增至21个。开展农业担保贷款1.5亿元，解决农业发展融资需求。持续推进农业水价综合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推进“数字乡村”建设。依托中国农业大学垫江教授工作站以及瞰天科技、极目科技、伽和科技等农业高科技企业，建设垫江数字农业云平台，推动农业生产智能化、经营网络化。依托源亦成（重庆）大数据科技有限公司，推进22座县直管水库以及重点小型水库数字化和前端感知设备建设。实施森林火灾高风险区综合治理项目一期工程，建设智能林火视频监控系统和1个森林防火指挥调度中心，提高森林火灾防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（七）以生态优先绿色发展为导向，努力建设山清水秀美丽之地。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坚持生态优先、绿色发展，打好污染防治攻坚战，共抓大保护，不搞大开发，加快构建绿色生态发展新格局。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夯实生态本底。构建“三屏一网多点”生态空间体系，严守“三线”，开展生态保护红线勘界定标，建立自然保护地体系，开展“绿盾”专项行动，加大野生动植物保护力度，系统开展生态文明示范“细胞”创建，推进国家森林城市、国家生态文明建设示范县创建。对接争取重庆市中部、明月山大灌区水资源配置工程，加快推进永安大型水库、太平中型水库前期工作。全面推行林长制，继续开展国土绿化提升行动，实施国家储备林建设，营造林9.5万亩，推进国家储备林项目建设，加大林业有害生物防治力度。森林覆盖率稳定在46％以上，治理水土流失30万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加强生态保护修复。推行河长制，实行最严格水资源管理，整治河道“三乱”问题。实施龙溪河“四位一体”综合管理，持续开展水生态修复、水源地保护、耕地污染防治，有序推进龙溪河及其支流水生态保护修复工程17个、饮用水源地水质提升及规范化建设工程6个，严格执行长江流域“十年禁渔”，持续改善龙溪河流域水环境。打好蓝天、碧水、净土保卫战，筑牢长江上游生态屏障，确保县城区空气质量优良天数达330天以上，确保龙溪河六剑滩、卧龙河断面水质保持或优于Ⅲ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走深走实“两化”路。全力推进生态产业化、产业生态化。大力发展环保产业。加快推进垃圾焚烧发电项目、医疗废物处置项目建设，完工生活垃圾填埋场渗滤液处理扩容项目。加快医废集中处置中心建设，建成油气开采废弃物资源化循环利用基地。加快绿色转型。加快推进县城产业转型升级示范园区建设，创新工业园区污染防治第三方治理，推动重点行业清洁生产和绿色化改造，建设绿色工厂2个，建成医废集中处置中心、油气开采废弃物资源化循环利用基地。推进工业园区循环发展。创新循环农业、林下经济等复合经营模式，大力发展森林康养、生态旅游产业。倡导绿色生活。开展绿色生活创建行动，积极推广绿色建筑，全面推行垃圾分类，大力推广新能源汽车消费，增设新能源汽车充电设施200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（八）以保障和改善民生为根本，合力创造高品质生活。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坚持以人民为中心，把实现好、维护好、发展好最广大人民根本利益作为发展的出发点和落脚点，尽力而为、量力而行，滚动实施2021年15件重点民生实事，持续健全基本公共服务体系，扎实推动共同富裕。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健全社会保障体系。稳定社会就业。新增城镇就业4500人，城镇调查失业率控制在5.5％以内，就业技能培训7000人，加大创业项目扶持，发放创业担保贷款3000万元以上，离校未就业高校毕业生就业率90％以上。完善社保体系。拓展“互联网＋养老”信息平台服务功能，推动农村养老服务站点建设，实现城镇社区居家养老服务设施全覆盖。完成500户居家养老适老化改造任务。引入社会力量，规划2－3个民办养老服务机构。推进社保改革。实施全民参保计划，全面推进社保扩面征缴，稳步提高社保经办水平。积极开展药品和医用耗材带量采购，着力解决群众“看病贵”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 推进民生实事。夯实教育基础。计划投资2.1亿元，开工建设桂溪小学扩建和垫江中学体育馆新建工程，加快推进西湖小学、玉鼎小学、太平小学、垫江三中、垫江中学等学校项目建设，完工投用新民小学幼儿园、县职教中心实训综合楼新建工程。增加学位供给。启动文化路小学扩建工程、松林小学新建工程2个重点前期项目。加强与重庆三峡医药高等专科学校的对接，全力争取引进一所高等职业技术学效落户垫江。大力发展公共医疗。全面开展医共体“三通”建设，持续巩固“县管乡用”成果，优化推广“乡聘村用”机制，发展“互联网＋医疗健康”。完工县人民医院内科综合楼、县人民医院放疗及培训中心、县养老护理院（一期）建设项目。完成县康养中心规划选址、县人民医院急诊医技综合楼、外科住院楼方案设计等前期工作。完成县人民医院教学科研综合楼规划调整。确定渝东卫生学校扩建工程规划选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推动文化繁荣发展。振兴文化产业。深度挖掘“牡丹”“寨卡”“耕读”等特色文化内涵，大力开发古蜀道、古寨院落等文化遗产，开展禹王宫、峰门铺摩崖石刻等文物保护修缮工程，加快建设数字文创园，构建文化服务圈，打造城市文化IP。提质文化事业。规划建设文化体育街区，完善布局文化场馆建设。创新实施送演出、送图书阅览下乡等文化惠民工程。加强文化遗产保护利用，健全国家、市、县三级非物质文化遗产项目体系，积极传承大石竹编、角雕、高安唢呐、新民春牛舞等非物质文化遗产，促进文化产业和文化事业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（九）以安全稳定发展为底线，全力防范化解各类风险。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坚持把安全发展贯穿经济社会发展各领域和全过程，不断提高重点领域防范抵御风险能力，建设更高水平的平安垫江。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 抓好疫情常态防控。坚持“人”“物”同防，外防输入、内防反弹，严格实施境外返垫人员闭环管理，落实中高风险地区来垫返垫人员精准识别、追踪核查和健康管理防范措施，做好冷链食品生产经营全过程管理，切实阻断疫情输入扩散渠道。建立健全县乡村防控体系，建立多点触发实时监控机制，加大重点人群、重点区域健康筛查和核酸检测，引导群众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加强重点安全防控体系建设。构建更加严密的安全管理体系，切实加强道路交通、建筑施工、危险化学品、消防、森林防火、地质灾害、特种设备、长输管线、人员密集场所等重点行业及领域的安全排查和监管。健全公共应急管理体系，大力推广应用“雪亮工程”，系统优化应急指挥工程，完善重大突发事件应急响应处置机制。加强安全生产体系建设，深入推进安全生产专项整治三年行动和“安全生产百日大会战”，严格落实安全生产责任制，全面推进安全生产标准化建设提质升级，持续开展大排查大整治大执法，不断完善安全风险分级管控机制和隐患排查治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 做好应急保供工作。统筹有序推进疫苗接种，严格疫苗全流程管理。完善应急处置预案，加强粮食、肉类、食用油等生活应急物资储备调节，严厉打击市场囤积居奇、哄抬物价行为，持续稳定市场物价。持续做好长输管道安全维护，着力保障电力、汽油、天然气等能源供应，全力保障生产要素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3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eastAsia="zh-CN"/>
        </w:rPr>
      </w:pP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冬青黑体简体中文 W3">
    <w:panose1 w:val="020B0300000000000000"/>
    <w:charset w:val="86"/>
    <w:family w:val="auto"/>
    <w:pitch w:val="default"/>
    <w:sig w:usb0="A00002BF" w:usb1="1ACF7CFA" w:usb2="00000016" w:usb3="00000000" w:csb0="00060007" w:csb1="00000000"/>
  </w:font>
  <w:font w:name="华文新魏">
    <w:panose1 w:val="02010800040101010101"/>
    <w:charset w:val="86"/>
    <w:family w:val="auto"/>
    <w:pitch w:val="default"/>
    <w:sig w:usb0="00000001" w:usb1="080F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NTQ5OTgwNWMzMjVjOGVmNTUwYzg4MWZjZDQ3NGUifQ=="/>
  </w:docVars>
  <w:rsids>
    <w:rsidRoot w:val="00000000"/>
    <w:rsid w:val="4BA8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Words>
  <Characters>38</Characters>
  <Lines>0</Lines>
  <Paragraphs>0</Paragraphs>
  <TotalTime>6</TotalTime>
  <ScaleCrop>false</ScaleCrop>
  <LinksUpToDate>false</LinksUpToDate>
  <CharactersWithSpaces>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2023-01-06T14:00:48Z</dcterms:created>
  <dc:creator>Administrator</dc:creator>
  <cp:lastModifiedBy>Administrator</cp:lastModifiedBy>
  <dcterms:modified xsi:type="dcterms:W3CDTF">2023-01-06T14:23:53Z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7036317389EE49D181832C23647736D2</vt:lpwstr>
  </property>
</Properties>
</file>