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color="auto" w:fill="FFFFFF"/>
        <w:jc w:val="center"/>
        <w:textAlignment w:val="top"/>
        <w:rPr>
          <w:rStyle w:val="17"/>
          <w:rFonts w:hint="eastAsia" w:ascii="方正小标宋_GBK" w:hAnsi="方正小标宋_GBK" w:eastAsia="方正小标宋_GBK" w:cs="方正小标宋_GBK"/>
          <w:b w:val="0"/>
          <w:sz w:val="44"/>
          <w:szCs w:val="44"/>
          <w:shd w:val="clear" w:color="auto" w:fill="FFFFFF"/>
        </w:rPr>
      </w:pPr>
      <w:bookmarkStart w:id="0" w:name="_GoBack"/>
      <w:bookmarkEnd w:id="0"/>
      <w:r>
        <w:rPr>
          <w:rStyle w:val="17"/>
          <w:rFonts w:hint="eastAsia" w:ascii="方正小标宋_GBK" w:hAnsi="方正小标宋_GBK" w:eastAsia="方正小标宋_GBK" w:cs="方正小标宋_GBK"/>
          <w:b w:val="0"/>
          <w:sz w:val="44"/>
          <w:szCs w:val="44"/>
          <w:shd w:val="clear" w:color="auto" w:fill="FFFFFF"/>
        </w:rPr>
        <w:t>垫江县民防（应急）指挥信息保障中心</w:t>
      </w:r>
    </w:p>
    <w:p>
      <w:pPr>
        <w:pStyle w:val="7"/>
        <w:shd w:val="clear" w:color="auto" w:fill="FFFFFF"/>
        <w:jc w:val="center"/>
        <w:textAlignment w:val="top"/>
        <w:rPr>
          <w:rStyle w:val="17"/>
          <w:rFonts w:hint="eastAsia" w:ascii="方正小标宋_GBK" w:hAnsi="方正小标宋_GBK" w:eastAsia="方正小标宋_GBK" w:cs="方正小标宋_GBK"/>
          <w:b w:val="0"/>
          <w:sz w:val="44"/>
          <w:szCs w:val="44"/>
          <w:shd w:val="clear" w:color="auto" w:fill="FFFFFF"/>
        </w:rPr>
      </w:pPr>
      <w:r>
        <w:rPr>
          <w:rStyle w:val="17"/>
          <w:rFonts w:hint="eastAsia" w:ascii="方正小标宋_GBK" w:hAnsi="方正小标宋_GBK" w:eastAsia="方正小标宋_GBK" w:cs="方正小标宋_GBK"/>
          <w:b w:val="0"/>
          <w:sz w:val="44"/>
          <w:szCs w:val="44"/>
          <w:shd w:val="clear" w:color="auto" w:fill="FFFFFF"/>
        </w:rPr>
        <w:t>2023年度决算情况说明</w:t>
      </w:r>
    </w:p>
    <w:p>
      <w:pPr>
        <w:pStyle w:val="7"/>
        <w:shd w:val="clear" w:color="auto" w:fill="FFFFFF"/>
        <w:textAlignment w:val="top"/>
        <w:rPr>
          <w:rFonts w:hint="default" w:ascii="方正小标宋_GBK" w:hAnsi="方正小标宋_GBK" w:eastAsia="方正小标宋_GBK" w:cs="方正小标宋_GBK"/>
          <w:color w:val="000000" w:themeColor="text1"/>
          <w:sz w:val="36"/>
          <w:szCs w:val="36"/>
          <w:shd w:val="clear" w:color="auto" w:fill="FFFFFF"/>
          <w14:textFill>
            <w14:solidFill>
              <w14:schemeClr w14:val="tx1"/>
            </w14:solidFill>
          </w14:textFill>
        </w:rPr>
      </w:pPr>
    </w:p>
    <w:p>
      <w:pPr>
        <w:pStyle w:val="8"/>
        <w:shd w:val="clear" w:color="auto" w:fill="FFFFFF"/>
        <w:rPr>
          <w:rFonts w:hint="default" w:ascii="黑体" w:hAnsi="黑体" w:eastAsia="黑体" w:cs="黑体"/>
          <w:color w:val="000000" w:themeColor="text1"/>
          <w:sz w:val="32"/>
          <w:szCs w:val="32"/>
          <w14:textFill>
            <w14:solidFill>
              <w14:schemeClr w14:val="tx1"/>
            </w14:solidFill>
          </w14:textFill>
        </w:rPr>
      </w:pPr>
      <w:r>
        <w:rPr>
          <w:rStyle w:val="12"/>
          <w:rFonts w:ascii="黑体" w:hAnsi="黑体" w:eastAsia="黑体" w:cs="黑体"/>
          <w:color w:val="000000" w:themeColor="text1"/>
          <w:sz w:val="32"/>
          <w:szCs w:val="32"/>
          <w:shd w:val="clear" w:color="auto" w:fill="FFFFFF"/>
          <w14:textFill>
            <w14:solidFill>
              <w14:schemeClr w14:val="tx1"/>
            </w14:solidFill>
          </w14:textFill>
        </w:rPr>
        <w:t>一、单位基本情况</w:t>
      </w:r>
    </w:p>
    <w:p>
      <w:pPr>
        <w:pStyle w:val="8"/>
        <w:shd w:val="clear" w:color="auto" w:fill="FFFFFF"/>
        <w:ind w:firstLine="420"/>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楷体" w:hAnsi="楷体" w:eastAsia="楷体" w:cs="楷体"/>
          <w:color w:val="000000" w:themeColor="text1"/>
          <w:sz w:val="32"/>
          <w:szCs w:val="32"/>
          <w:shd w:val="clear" w:color="auto" w:fill="FFFFFF"/>
          <w14:textFill>
            <w14:solidFill>
              <w14:schemeClr w14:val="tx1"/>
            </w14:solidFill>
          </w14:textFill>
        </w:rPr>
        <w:t>（一）职能职责</w:t>
      </w:r>
    </w:p>
    <w:p>
      <w:pPr>
        <w:pStyle w:val="14"/>
        <w:shd w:val="clear" w:color="auto" w:fill="FFFFFF"/>
        <w:autoSpaceDE w:val="0"/>
        <w:spacing w:line="594" w:lineRule="exact"/>
        <w:ind w:firstLine="640" w:firstLineChars="200"/>
        <w:jc w:val="both"/>
        <w:rPr>
          <w:rFonts w:ascii="Times New Roman" w:hAnsi="Times New Roman" w:eastAsia="方正仿宋_GBK"/>
          <w:color w:val="000000" w:themeColor="text1"/>
          <w:shd w:val="clear" w:color="auto" w:fill="FFFFFF"/>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1.</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执行县委、县政府及县人防指挥部组织指挥防空袭斗争信息保障任务。</w:t>
      </w:r>
    </w:p>
    <w:p>
      <w:pPr>
        <w:pStyle w:val="14"/>
        <w:shd w:val="clear" w:color="auto" w:fill="FFFFFF"/>
        <w:autoSpaceDE w:val="0"/>
        <w:spacing w:line="594" w:lineRule="exact"/>
        <w:ind w:firstLine="640" w:firstLineChars="200"/>
        <w:jc w:val="both"/>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2.</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为防灾救灾和突发公共事件应急处置指挥提供通信保障。</w:t>
      </w:r>
    </w:p>
    <w:p>
      <w:pPr>
        <w:pStyle w:val="14"/>
        <w:shd w:val="clear" w:color="auto" w:fill="FFFFFF"/>
        <w:autoSpaceDE w:val="0"/>
        <w:spacing w:line="594" w:lineRule="exact"/>
        <w:ind w:firstLine="640" w:firstLineChars="200"/>
        <w:jc w:val="both"/>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3.</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负责民防（应急）信息化建设，承担指挥中心、机动指挥车辆的日常维护和管理，保证设施设备及信息系统运行良好。</w:t>
      </w:r>
    </w:p>
    <w:p>
      <w:pPr>
        <w:pStyle w:val="14"/>
        <w:shd w:val="clear" w:color="auto" w:fill="FFFFFF"/>
        <w:autoSpaceDE w:val="0"/>
        <w:spacing w:line="594" w:lineRule="exact"/>
        <w:ind w:firstLine="640" w:firstLineChars="200"/>
        <w:jc w:val="both"/>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4.</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承担民防（应急）指挥信息系统值班与战备执勤，及时收集、处理、传递各类情报和指挥信息。</w:t>
      </w:r>
    </w:p>
    <w:p>
      <w:pPr>
        <w:pStyle w:val="14"/>
        <w:shd w:val="clear" w:color="auto" w:fill="FFFFFF"/>
        <w:autoSpaceDE w:val="0"/>
        <w:spacing w:line="594" w:lineRule="exact"/>
        <w:ind w:firstLine="640" w:firstLineChars="200"/>
        <w:jc w:val="both"/>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5.</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负责防空警报系统维护管理，组织和保障城市防空警报试鸣，按照上级命令发放灾情警报和防空警报信号。</w:t>
      </w:r>
    </w:p>
    <w:p>
      <w:pPr>
        <w:pStyle w:val="14"/>
        <w:shd w:val="clear" w:color="auto" w:fill="FFFFFF"/>
        <w:autoSpaceDE w:val="0"/>
        <w:spacing w:line="594" w:lineRule="exact"/>
        <w:ind w:firstLine="640" w:firstLineChars="200"/>
        <w:jc w:val="both"/>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6.</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负责组织实施指挥信息保障人员业务技能培训和民防应急指挥通信训（演）练。</w:t>
      </w:r>
    </w:p>
    <w:p>
      <w:pPr>
        <w:pStyle w:val="14"/>
        <w:shd w:val="clear" w:color="auto" w:fill="FFFFFF"/>
        <w:autoSpaceDE w:val="0"/>
        <w:spacing w:line="594" w:lineRule="exact"/>
        <w:ind w:firstLine="640" w:firstLineChars="200"/>
        <w:jc w:val="both"/>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7.</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负责为县委、县政府的视频会议及其他重要会议提供保障。</w:t>
      </w:r>
    </w:p>
    <w:p>
      <w:pPr>
        <w:pStyle w:val="8"/>
        <w:shd w:val="clear" w:color="auto" w:fill="FFFFFF"/>
        <w:ind w:firstLine="420"/>
        <w:rPr>
          <w:rFonts w:hint="default" w:ascii="楷体" w:hAnsi="楷体" w:eastAsia="楷体" w:cs="楷体"/>
          <w:color w:val="000000" w:themeColor="text1"/>
          <w:sz w:val="32"/>
          <w:szCs w:val="32"/>
          <w14:textFill>
            <w14:solidFill>
              <w14:schemeClr w14:val="tx1"/>
            </w14:solidFill>
          </w14:textFill>
        </w:rPr>
      </w:pPr>
      <w:r>
        <w:rPr>
          <w:rStyle w:val="12"/>
          <w:rFonts w:ascii="楷体" w:hAnsi="楷体" w:eastAsia="楷体" w:cs="楷体"/>
          <w:color w:val="000000" w:themeColor="text1"/>
          <w:sz w:val="32"/>
          <w:szCs w:val="32"/>
          <w:shd w:val="clear" w:color="auto" w:fill="FFFFFF"/>
          <w14:textFill>
            <w14:solidFill>
              <w14:schemeClr w14:val="tx1"/>
            </w14:solidFill>
          </w14:textFill>
        </w:rPr>
        <w:t>（二）机构设置</w:t>
      </w:r>
    </w:p>
    <w:p>
      <w:pPr>
        <w:pStyle w:val="14"/>
        <w:shd w:val="clear" w:color="auto" w:fill="FFFFFF"/>
        <w:autoSpaceDE w:val="0"/>
        <w:spacing w:line="594" w:lineRule="exact"/>
        <w:ind w:firstLine="640" w:firstLineChars="200"/>
        <w:jc w:val="both"/>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本单位无内设机构。</w:t>
      </w:r>
    </w:p>
    <w:p>
      <w:pPr>
        <w:pStyle w:val="8"/>
        <w:shd w:val="clear" w:color="auto" w:fill="FFFFFF"/>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黑体" w:hAnsi="黑体" w:eastAsia="黑体" w:cs="黑体"/>
          <w:color w:val="000000" w:themeColor="text1"/>
          <w:sz w:val="32"/>
          <w:szCs w:val="32"/>
          <w:shd w:val="clear" w:color="auto" w:fill="FFFFFF"/>
          <w14:textFill>
            <w14:solidFill>
              <w14:schemeClr w14:val="tx1"/>
            </w14:solidFill>
          </w14:textFill>
        </w:rPr>
        <w:t>二、部门决算情况说明</w:t>
      </w:r>
    </w:p>
    <w:p>
      <w:pPr>
        <w:pStyle w:val="13"/>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（一）收入支出决算总体情况说明。</w:t>
      </w:r>
    </w:p>
    <w:p>
      <w:pPr>
        <w:pStyle w:val="8"/>
        <w:shd w:val="clear" w:color="auto" w:fill="FFFFFF"/>
        <w:ind w:firstLine="642" w:firstLineChars="200"/>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1.总体情况。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2023年度收入总计90.13万元，支出总计</w:t>
      </w:r>
      <w:r>
        <w:rPr>
          <w:rFonts w:ascii="方正仿宋_GBK" w:hAnsi="方正仿宋_GBK" w:eastAsia="方正仿宋_GBK" w:cs="方正仿宋_GBK"/>
          <w:color w:val="000000" w:themeColor="text1"/>
          <w:sz w:val="32"/>
          <w:szCs w:val="32"/>
          <w14:textFill>
            <w14:solidFill>
              <w14:schemeClr w14:val="tx1"/>
            </w14:solidFill>
          </w14:textFill>
        </w:rPr>
        <w:t>90.13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万元。收支较上年决算数减少7.84万元，下降8.0%，主要</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机构改革人员变动，本年度收入支出较上年减少。</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2.收入情况。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2023年度收入合计90.13万元，较上年决算数减少7.84万元，下降8.0%，主要</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机构改革，2023年10月整体划转到发改委下属单位，人员工资变动。其中：财政拨款收入</w:t>
      </w:r>
      <w:r>
        <w:rPr>
          <w:rFonts w:ascii="方正仿宋_GBK" w:hAnsi="方正仿宋_GBK" w:eastAsia="方正仿宋_GBK" w:cs="方正仿宋_GBK"/>
          <w:color w:val="000000" w:themeColor="text1"/>
          <w:sz w:val="32"/>
          <w:szCs w:val="32"/>
          <w14:textFill>
            <w14:solidFill>
              <w14:schemeClr w14:val="tx1"/>
            </w14:solidFill>
          </w14:textFill>
        </w:rPr>
        <w:t>90.13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100.0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%；事业收入</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万元，占0.0%；经营收入</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万元，占0.0%；其他收入</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万元，占0.0%。此外，使用非财政拨款结余和专用结余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万元，年初结转和结余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3.支出情况。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2023年度支出合计</w:t>
      </w:r>
      <w:r>
        <w:rPr>
          <w:rFonts w:ascii="方正仿宋_GBK" w:hAnsi="方正仿宋_GBK" w:eastAsia="方正仿宋_GBK" w:cs="方正仿宋_GBK"/>
          <w:color w:val="000000" w:themeColor="text1"/>
          <w:sz w:val="32"/>
          <w:szCs w:val="32"/>
          <w14:textFill>
            <w14:solidFill>
              <w14:schemeClr w14:val="tx1"/>
            </w14:solidFill>
          </w14:textFill>
        </w:rPr>
        <w:t>90.13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万元，较上年决算数减少7.84万元，下降8.0%，主要</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机构改革，2023年10月整体划转到发改委下属单位，人员工资变动。其中：基本支出</w:t>
      </w:r>
      <w:r>
        <w:rPr>
          <w:rFonts w:ascii="方正仿宋_GBK" w:hAnsi="方正仿宋_GBK" w:eastAsia="方正仿宋_GBK" w:cs="方正仿宋_GBK"/>
          <w:color w:val="000000" w:themeColor="text1"/>
          <w:sz w:val="32"/>
          <w:szCs w:val="32"/>
          <w14:textFill>
            <w14:solidFill>
              <w14:schemeClr w14:val="tx1"/>
            </w14:solidFill>
          </w14:textFill>
        </w:rPr>
        <w:t>90.13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万元，占100.0%；项目支出</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万元，占0.0%；经营支出</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万元，占0.0%。此外，结余分配</w:t>
      </w:r>
      <w:r>
        <w:rPr>
          <w:rFonts w:ascii="方正仿宋_GBK" w:hAnsi="方正仿宋_GBK" w:eastAsia="方正仿宋_GBK" w:cs="方正仿宋_GBK"/>
          <w:color w:val="000000" w:themeColor="text1"/>
          <w:sz w:val="32"/>
          <w:szCs w:val="32"/>
          <w14:textFill>
            <w14:solidFill>
              <w14:schemeClr w14:val="tx1"/>
            </w14:solidFill>
          </w14:textFill>
        </w:rPr>
        <w:t>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4.结转结余情况。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2023年度年末结转和结余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万元，较上年决算数无增减，主要原因是无结转结余。</w:t>
      </w:r>
    </w:p>
    <w:p>
      <w:pPr>
        <w:pStyle w:val="13"/>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（二）财政拨款收入支出决算总体情况说明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2023年度财政拨款收、支总计90.13万元。与2022年相比，财政拨款收、支总计各减少7.84万元，下降8.0%。主要</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机构改革，2023年10月整体划转到发改委下属单位，人员工资变动。</w:t>
      </w:r>
    </w:p>
    <w:p>
      <w:pPr>
        <w:pStyle w:val="13"/>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（三）一般公共预算财政拨款收入支出决算情况说明</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1.收入情况。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2023年度一般公共预算财政拨款收入</w:t>
      </w:r>
      <w:r>
        <w:rPr>
          <w:rFonts w:ascii="方正仿宋_GBK" w:hAnsi="方正仿宋_GBK" w:eastAsia="方正仿宋_GBK" w:cs="方正仿宋_GBK"/>
          <w:color w:val="000000" w:themeColor="text1"/>
          <w:sz w:val="32"/>
          <w:szCs w:val="32"/>
          <w14:textFill>
            <w14:solidFill>
              <w14:schemeClr w14:val="tx1"/>
            </w14:solidFill>
          </w14:textFill>
        </w:rPr>
        <w:t>90.13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万元，较上年决算数减少7.84万元，下降8.00%。主要</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机构改革，2023年10月整体划转到发改委下属单位，人员工资变动。较年初预算数增加16.76万元，增长22.84%。主要原因是年中追加超额绩效工资16.76万元。此外，年初财政拨款结转和结余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2.支出情况。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2023年度一般公共预算财政拨款支出</w:t>
      </w:r>
      <w:r>
        <w:rPr>
          <w:rFonts w:ascii="方正仿宋_GBK" w:hAnsi="方正仿宋_GBK" w:eastAsia="方正仿宋_GBK" w:cs="方正仿宋_GBK"/>
          <w:color w:val="000000" w:themeColor="text1"/>
          <w:sz w:val="32"/>
          <w:szCs w:val="32"/>
          <w14:textFill>
            <w14:solidFill>
              <w14:schemeClr w14:val="tx1"/>
            </w14:solidFill>
          </w14:textFill>
        </w:rPr>
        <w:t>90.13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万元，较上年决算数减少7.84万元，下降8.0%。主要</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机构改革，2023年10月整体划转到发改委下属单位，人员工资变动。较年初预算数增加16.76万元，增长22.84%。主要原因是年中追加超额绩效工资16.76万元。</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3.结转结余情况。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2023年度年末一般公共预算财政拨款结转和结余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万元，较上年决算数无增减，主要原因是无结转结余。</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highlight w:val="cyan"/>
          <w:shd w:val="clear" w:color="auto" w:fill="FFFFFF"/>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4.比较情况。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本部门2023年度一般公共预算财政拨款支出主要用于以下几个方面：</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（1）教育支出</w:t>
      </w:r>
      <w:r>
        <w:rPr>
          <w:rFonts w:ascii="方正仿宋_GBK" w:hAnsi="方正仿宋_GBK" w:eastAsia="方正仿宋_GBK" w:cs="方正仿宋_GBK"/>
          <w:color w:val="000000" w:themeColor="text1"/>
          <w:sz w:val="32"/>
          <w:szCs w:val="32"/>
          <w14:textFill>
            <w14:solidFill>
              <w14:schemeClr w14:val="tx1"/>
            </w14:solidFill>
          </w14:textFill>
        </w:rPr>
        <w:t>0.21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0.23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%，较年初预算数无增减，主要原因是人员继续教育经费及培训费。</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（2）社会保障与就业支出</w:t>
      </w:r>
      <w:r>
        <w:rPr>
          <w:rFonts w:ascii="方正仿宋_GBK" w:hAnsi="方正仿宋_GBK" w:eastAsia="方正仿宋_GBK" w:cs="方正仿宋_GBK"/>
          <w:color w:val="000000" w:themeColor="text1"/>
          <w:sz w:val="32"/>
          <w:szCs w:val="32"/>
          <w14:textFill>
            <w14:solidFill>
              <w14:schemeClr w14:val="tx1"/>
            </w14:solidFill>
          </w14:textFill>
        </w:rPr>
        <w:t>7.27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8.06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%，较年初预算数增加0.91万元，增长14.31%，主要原因是缴纳职工养老年金等。</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（3）卫生健康支出</w:t>
      </w:r>
      <w:r>
        <w:rPr>
          <w:rFonts w:ascii="方正仿宋_GBK" w:hAnsi="方正仿宋_GBK" w:eastAsia="方正仿宋_GBK" w:cs="方正仿宋_GBK"/>
          <w:color w:val="000000" w:themeColor="text1"/>
          <w:sz w:val="32"/>
          <w:szCs w:val="32"/>
          <w14:textFill>
            <w14:solidFill>
              <w14:schemeClr w14:val="tx1"/>
            </w14:solidFill>
          </w14:textFill>
        </w:rPr>
        <w:t>2.65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2.94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%，较年初预算数无增减，主要原因是缴纳职工医疗保险及垫底资金。</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（4）城乡社区支出</w:t>
      </w:r>
      <w:r>
        <w:rPr>
          <w:rFonts w:ascii="方正仿宋_GBK" w:hAnsi="方正仿宋_GBK" w:eastAsia="方正仿宋_GBK" w:cs="方正仿宋_GBK"/>
          <w:color w:val="000000" w:themeColor="text1"/>
          <w:sz w:val="32"/>
          <w:szCs w:val="32"/>
          <w14:textFill>
            <w14:solidFill>
              <w14:schemeClr w14:val="tx1"/>
            </w14:solidFill>
          </w14:textFill>
        </w:rPr>
        <w:t>76.40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84.77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%，较年初预算数增加15.43万元，增长25.31%，主要原因是追加预算发放职工超额绩效奖。</w:t>
      </w:r>
    </w:p>
    <w:p>
      <w:pPr>
        <w:ind w:firstLine="640"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（5）</w:t>
      </w:r>
      <w:r>
        <w:rPr>
          <w:rFonts w:ascii="方正仿宋_GBK" w:hAnsi="方正仿宋_GBK" w:eastAsia="方正仿宋_GBK" w:cs="方正仿宋_GBK"/>
          <w:color w:val="000000" w:themeColor="text1"/>
          <w:sz w:val="32"/>
          <w:szCs w:val="32"/>
          <w14:textFill>
            <w14:solidFill>
              <w14:schemeClr w14:val="tx1"/>
            </w14:solidFill>
          </w14:textFill>
        </w:rPr>
        <w:t>住房保障支出3.60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3.99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%，较年初预算数增加0.42万元，增长13.21%，主要原因是人员调动，工资变化，缴纳公积金基数变化。</w:t>
      </w:r>
    </w:p>
    <w:p>
      <w:pPr>
        <w:pStyle w:val="13"/>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（四）一般公共预算财政拨款基本支出决算情况说明</w:t>
      </w:r>
    </w:p>
    <w:p>
      <w:pPr>
        <w:pStyle w:val="14"/>
        <w:shd w:val="clear" w:color="auto" w:fill="FFFFFF"/>
        <w:autoSpaceDE w:val="0"/>
        <w:spacing w:line="594" w:lineRule="exact"/>
        <w:ind w:firstLine="640" w:firstLineChars="200"/>
        <w:jc w:val="both"/>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2023年度一般公共财政拨款基本支出</w:t>
      </w:r>
      <w:r>
        <w:rPr>
          <w:rFonts w:ascii="方正仿宋_GBK" w:hAnsi="方正仿宋_GBK" w:eastAsia="方正仿宋_GBK" w:cs="方正仿宋_GBK"/>
          <w:color w:val="000000" w:themeColor="text1"/>
          <w:sz w:val="32"/>
          <w:szCs w:val="32"/>
          <w14:textFill>
            <w14:solidFill>
              <w14:schemeClr w14:val="tx1"/>
            </w14:solidFill>
          </w14:textFill>
        </w:rPr>
        <w:t>90.13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万元。其中：人员经费</w:t>
      </w:r>
      <w:r>
        <w:rPr>
          <w:rFonts w:ascii="方正仿宋_GBK" w:hAnsi="方正仿宋_GBK" w:eastAsia="方正仿宋_GBK" w:cs="方正仿宋_GBK"/>
          <w:color w:val="000000" w:themeColor="text1"/>
          <w:sz w:val="32"/>
          <w:szCs w:val="32"/>
          <w14:textFill>
            <w14:solidFill>
              <w14:schemeClr w14:val="tx1"/>
            </w14:solidFill>
          </w14:textFill>
        </w:rPr>
        <w:t>74.21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万元，较上年决算数增加15.99万元，增长27.46%，主要原因是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人员工资调整及社保基数增加等</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。人员经费用途主要包括</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基本工资、绩效工资、津贴补贴、社会保障缴费等</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。公用经费</w:t>
      </w:r>
      <w:r>
        <w:rPr>
          <w:rFonts w:ascii="方正仿宋_GBK" w:hAnsi="方正仿宋_GBK" w:eastAsia="方正仿宋_GBK" w:cs="方正仿宋_GBK"/>
          <w:color w:val="000000" w:themeColor="text1"/>
          <w:sz w:val="32"/>
          <w:szCs w:val="32"/>
          <w14:textFill>
            <w14:solidFill>
              <w14:schemeClr w14:val="tx1"/>
            </w14:solidFill>
          </w14:textFill>
        </w:rPr>
        <w:t>15.92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万元，较上年决算数减少2.67万元，下降14.36%，主要原因是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公用经费用于调剂弥补人员经费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。公用经费用途主要包括</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办公费、差旅费、邮电费、福利费、工作餐费等。</w:t>
      </w:r>
    </w:p>
    <w:p>
      <w:pPr>
        <w:pStyle w:val="14"/>
        <w:shd w:val="clear" w:color="auto" w:fill="FFFFFF"/>
        <w:autoSpaceDE w:val="0"/>
        <w:spacing w:line="594" w:lineRule="exact"/>
        <w:ind w:firstLine="642" w:firstLineChars="200"/>
        <w:jc w:val="both"/>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（五）政府性基金预算收支决算情况说明</w:t>
      </w:r>
    </w:p>
    <w:p>
      <w:pPr>
        <w:pStyle w:val="14"/>
        <w:shd w:val="clear" w:color="auto" w:fill="FFFFFF"/>
        <w:autoSpaceDE w:val="0"/>
        <w:spacing w:line="594" w:lineRule="exact"/>
        <w:ind w:firstLine="640" w:firstLineChars="200"/>
        <w:jc w:val="both"/>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政府性基金预算财政拨款年初结转结余0.00万元，年末结转结余0.00万元。本年收入0.00万元，较上年决算数无增减，主要原因是本年度无政府性基金预算财政拨款收入。本年支出0.00万元，较上年决算数无增减，主要原因是本年度无政府性基金预算财政拨款支出。本单位2023年度无政府性基金预算财政拨款收支。</w:t>
      </w:r>
    </w:p>
    <w:p>
      <w:pPr>
        <w:pStyle w:val="13"/>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（六）国有资本经营预算财政拨款支出决算情况说明</w:t>
      </w:r>
    </w:p>
    <w:p>
      <w:pPr>
        <w:pStyle w:val="14"/>
        <w:shd w:val="clear" w:color="auto" w:fill="FFFFFF"/>
        <w:autoSpaceDE w:val="0"/>
        <w:spacing w:line="594" w:lineRule="exact"/>
        <w:ind w:firstLine="640" w:firstLineChars="200"/>
        <w:jc w:val="both"/>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单位</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2023年度无国有资本经营预算财政拨款支出。</w:t>
      </w:r>
    </w:p>
    <w:p>
      <w:pPr>
        <w:pStyle w:val="8"/>
        <w:shd w:val="clear" w:color="auto" w:fill="FFFFFF"/>
        <w:rPr>
          <w:rStyle w:val="12"/>
          <w:rFonts w:hint="default" w:ascii="黑体" w:hAnsi="黑体" w:eastAsia="黑体" w:cs="黑体"/>
          <w:color w:val="000000" w:themeColor="text1"/>
          <w:sz w:val="32"/>
          <w:szCs w:val="32"/>
          <w:shd w:val="clear" w:color="auto" w:fill="FFFFFF"/>
          <w14:textFill>
            <w14:solidFill>
              <w14:schemeClr w14:val="tx1"/>
            </w14:solidFill>
          </w14:textFill>
        </w:rPr>
      </w:pPr>
      <w:r>
        <w:rPr>
          <w:rStyle w:val="12"/>
          <w:rFonts w:ascii="黑体" w:hAnsi="黑体" w:eastAsia="黑体" w:cs="黑体"/>
          <w:color w:val="000000" w:themeColor="text1"/>
          <w:sz w:val="32"/>
          <w:szCs w:val="32"/>
          <w:shd w:val="clear" w:color="auto" w:fill="FFFFFF"/>
          <w14:textFill>
            <w14:solidFill>
              <w14:schemeClr w14:val="tx1"/>
            </w14:solidFill>
          </w14:textFill>
        </w:rPr>
        <w:t>三、“三公”经费情况说明</w:t>
      </w:r>
    </w:p>
    <w:p>
      <w:pPr>
        <w:pStyle w:val="13"/>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 xml:space="preserve"> （一）“三公”经费支出总体情况说明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2023年度“三公”经费支出共计</w:t>
      </w:r>
      <w:r>
        <w:rPr>
          <w:rFonts w:ascii="方正仿宋_GBK" w:hAnsi="方正仿宋_GBK" w:eastAsia="方正仿宋_GBK" w:cs="方正仿宋_GBK"/>
          <w:color w:val="000000" w:themeColor="text1"/>
          <w:sz w:val="32"/>
          <w:szCs w:val="32"/>
          <w14:textFill>
            <w14:solidFill>
              <w14:schemeClr w14:val="tx1"/>
            </w14:solidFill>
          </w14:textFill>
        </w:rPr>
        <w:t>7.63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万元，较年初预算数减少1.37万元，下降15.22%，主要原因是过紧日子，压减公车运行经费。较上年支出数减少1.37万元，下降15.22%，主要原因是过紧日子，压减公车运行经费。</w:t>
      </w:r>
    </w:p>
    <w:p>
      <w:pPr>
        <w:pStyle w:val="13"/>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（二）“三公”经费分项支出情况</w:t>
      </w:r>
    </w:p>
    <w:p>
      <w:pPr>
        <w:pStyle w:val="8"/>
        <w:adjustRightInd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8"/>
        <w:adjustRightInd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公务车购置费0.00万元。费用支出较年初预算数无增减，主要原因是年初预算数未安排且本年未发生公务车购置费用。较上年支出数无增减，主要原因是上年和本年均未发生公务车购置费用。</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公务车运行维护费</w:t>
      </w:r>
      <w:r>
        <w:rPr>
          <w:rFonts w:ascii="方正仿宋_GBK" w:hAnsi="方正仿宋_GBK" w:eastAsia="方正仿宋_GBK" w:cs="方正仿宋_GBK"/>
          <w:color w:val="000000" w:themeColor="text1"/>
          <w:sz w:val="32"/>
          <w:szCs w:val="32"/>
          <w14:textFill>
            <w14:solidFill>
              <w14:schemeClr w14:val="tx1"/>
            </w14:solidFill>
          </w14:textFill>
        </w:rPr>
        <w:t>6.63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用于公务用车燃料费、维修费、保险费、过路过桥费、停车费及相关费用等。费用支出较年初预算数减少1.37万元，下降17.13%，主要原因是过紧日子，压减公车运行经费。较上年支出数减少1.37万元，下降17.13%，主要原因是过紧日子，压减公车运行经费。</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公务接待费</w:t>
      </w:r>
      <w:r>
        <w:rPr>
          <w:rFonts w:ascii="方正仿宋_GBK" w:hAnsi="方正仿宋_GBK" w:eastAsia="方正仿宋_GBK" w:cs="方正仿宋_GBK"/>
          <w:color w:val="000000" w:themeColor="text1"/>
          <w:sz w:val="32"/>
          <w:szCs w:val="32"/>
          <w14:textFill>
            <w14:solidFill>
              <w14:schemeClr w14:val="tx1"/>
            </w14:solidFill>
          </w14:textFill>
        </w:rPr>
        <w:t>1.00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万元，主要用于接待全国各地企业考察我县民防建设项目。费用支出较年初预算数无增减。较上年支出数无增减，主要原因是均用于接待接待全国各地企业考察我县民防建设项目。</w:t>
      </w:r>
    </w:p>
    <w:p>
      <w:pPr>
        <w:pStyle w:val="13"/>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（三）“三公”经费实物量情况</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2023年度本部门因公出国（境）共计</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个团组，</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人；公务用车购置</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辆，公务车保有量为</w:t>
      </w:r>
      <w:r>
        <w:rPr>
          <w:rFonts w:ascii="方正仿宋_GBK" w:hAnsi="方正仿宋_GBK" w:eastAsia="方正仿宋_GBK" w:cs="方正仿宋_GBK"/>
          <w:color w:val="000000" w:themeColor="text1"/>
          <w:sz w:val="32"/>
          <w:szCs w:val="32"/>
          <w14:textFill>
            <w14:solidFill>
              <w14:schemeClr w14:val="tx1"/>
            </w14:solidFill>
          </w14:textFill>
        </w:rPr>
        <w:t>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辆；国内公务接待</w:t>
      </w:r>
      <w:r>
        <w:rPr>
          <w:rFonts w:ascii="方正仿宋_GBK" w:hAnsi="方正仿宋_GBK" w:eastAsia="方正仿宋_GBK" w:cs="方正仿宋_GBK"/>
          <w:color w:val="000000" w:themeColor="text1"/>
          <w:sz w:val="32"/>
          <w:szCs w:val="32"/>
          <w14:textFill>
            <w14:solidFill>
              <w14:schemeClr w14:val="tx1"/>
            </w14:solidFill>
          </w14:textFill>
        </w:rPr>
        <w:t>19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ascii="方正仿宋_GBK" w:hAnsi="方正仿宋_GBK" w:eastAsia="方正仿宋_GBK" w:cs="方正仿宋_GBK"/>
          <w:color w:val="000000" w:themeColor="text1"/>
          <w:sz w:val="32"/>
          <w:szCs w:val="32"/>
          <w14:textFill>
            <w14:solidFill>
              <w14:schemeClr w14:val="tx1"/>
            </w14:solidFill>
          </w14:textFill>
        </w:rPr>
        <w:t>88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人，其中：国内外事接待</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人；国（境）外公务接待</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人。2023年本部门人均接待费</w:t>
      </w:r>
      <w:r>
        <w:rPr>
          <w:rFonts w:ascii="方正仿宋_GBK" w:hAnsi="方正仿宋_GBK" w:eastAsia="方正仿宋_GBK" w:cs="方正仿宋_GBK"/>
          <w:color w:val="000000" w:themeColor="text1"/>
          <w:sz w:val="32"/>
          <w:szCs w:val="32"/>
          <w14:textFill>
            <w14:solidFill>
              <w14:schemeClr w14:val="tx1"/>
            </w14:solidFill>
          </w14:textFill>
        </w:rPr>
        <w:t>113.64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元，车均购置费</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万元，车均维护费</w:t>
      </w:r>
      <w:r>
        <w:rPr>
          <w:rFonts w:ascii="方正仿宋_GBK" w:hAnsi="方正仿宋_GBK" w:eastAsia="方正仿宋_GBK" w:cs="方正仿宋_GBK"/>
          <w:color w:val="000000" w:themeColor="text1"/>
          <w:sz w:val="32"/>
          <w:szCs w:val="32"/>
          <w14:textFill>
            <w14:solidFill>
              <w14:schemeClr w14:val="tx1"/>
            </w14:solidFill>
          </w14:textFill>
        </w:rPr>
        <w:t>3.32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pPr>
        <w:pStyle w:val="8"/>
        <w:shd w:val="clear" w:color="auto" w:fill="FFFFFF"/>
        <w:rPr>
          <w:rStyle w:val="12"/>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2"/>
          <w:rFonts w:ascii="黑体" w:hAnsi="黑体" w:eastAsia="黑体" w:cs="黑体"/>
          <w:color w:val="000000" w:themeColor="text1"/>
          <w:sz w:val="32"/>
          <w:szCs w:val="32"/>
          <w:shd w:val="clear" w:color="auto" w:fill="FFFFFF"/>
          <w14:textFill>
            <w14:solidFill>
              <w14:schemeClr w14:val="tx1"/>
            </w14:solidFill>
          </w14:textFill>
        </w:rPr>
        <w:t>四、其他需要说明的事项</w:t>
      </w:r>
    </w:p>
    <w:p>
      <w:pPr>
        <w:pStyle w:val="13"/>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（一）财政拨款会议费和培训费情况说明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本年度会议费支出</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万元，较上年决算数无增减，主要原因是本年度未发生会议费。本年度培训费支出</w:t>
      </w:r>
      <w:r>
        <w:rPr>
          <w:rFonts w:ascii="方正仿宋_GBK" w:hAnsi="方正仿宋_GBK" w:eastAsia="方正仿宋_GBK" w:cs="方正仿宋_GBK"/>
          <w:color w:val="000000" w:themeColor="text1"/>
          <w:sz w:val="32"/>
          <w:szCs w:val="32"/>
          <w14:textFill>
            <w14:solidFill>
              <w14:schemeClr w14:val="tx1"/>
            </w14:solidFill>
          </w14:textFill>
        </w:rPr>
        <w:t>0.21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万元，较上年决算数增加0.03万元，增长16.67%，主要原因是人员继续教育经费及培训费增加。</w:t>
      </w:r>
    </w:p>
    <w:p>
      <w:pPr>
        <w:pStyle w:val="13"/>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（二）机关运行经费情况说明</w:t>
      </w:r>
    </w:p>
    <w:p>
      <w:pPr>
        <w:pStyle w:val="8"/>
        <w:snapToGrid w:val="0"/>
        <w:spacing w:before="0" w:beforeAutospacing="0" w:after="0" w:afterAutospacing="0" w:line="600" w:lineRule="exact"/>
        <w:ind w:firstLine="1280" w:firstLineChars="4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3"/>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（三）国有资产占用情况说明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截至2023年12月31日，本部门共有车辆</w:t>
      </w:r>
      <w:r>
        <w:rPr>
          <w:rFonts w:ascii="方正仿宋_GBK" w:hAnsi="方正仿宋_GBK" w:eastAsia="方正仿宋_GBK" w:cs="方正仿宋_GBK"/>
          <w:color w:val="000000" w:themeColor="text1"/>
          <w:sz w:val="32"/>
          <w:szCs w:val="32"/>
          <w14:textFill>
            <w14:solidFill>
              <w14:schemeClr w14:val="tx1"/>
            </w14:solidFill>
          </w14:textFill>
        </w:rPr>
        <w:t>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辆，其中，副部（省）级及以上领导用车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辆、主要负责人用车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辆、机要通信用车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辆、应急保障用车</w:t>
      </w:r>
      <w:r>
        <w:rPr>
          <w:rFonts w:ascii="方正仿宋_GBK" w:hAnsi="方正仿宋_GBK" w:eastAsia="方正仿宋_GBK" w:cs="方正仿宋_GBK"/>
          <w:color w:val="000000" w:themeColor="text1"/>
          <w:sz w:val="32"/>
          <w:szCs w:val="32"/>
          <w14:textFill>
            <w14:solidFill>
              <w14:schemeClr w14:val="tx1"/>
            </w14:solidFill>
          </w14:textFill>
        </w:rPr>
        <w:t>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辆、执法执勤用车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辆，特种专业技术用车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辆，离退休干部用车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辆。单价100万元（含）以上专用设备</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台（套）。</w:t>
      </w:r>
    </w:p>
    <w:p>
      <w:pPr>
        <w:pStyle w:val="13"/>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（四）政府采购支出情况说明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%。2023年度我单位未发生政府采购事项，无相关经费支出。</w:t>
      </w:r>
    </w:p>
    <w:p>
      <w:pPr>
        <w:pStyle w:val="8"/>
        <w:numPr>
          <w:ilvl w:val="0"/>
          <w:numId w:val="1"/>
        </w:numPr>
        <w:shd w:val="clear" w:color="auto" w:fill="FFFFFF"/>
        <w:rPr>
          <w:rStyle w:val="12"/>
          <w:rFonts w:hint="default" w:ascii="黑体" w:hAnsi="黑体" w:eastAsia="黑体" w:cs="黑体"/>
          <w:color w:val="000000" w:themeColor="text1"/>
          <w:sz w:val="32"/>
          <w:szCs w:val="32"/>
          <w:shd w:val="clear" w:color="auto" w:fill="FFFFFF"/>
          <w14:textFill>
            <w14:solidFill>
              <w14:schemeClr w14:val="tx1"/>
            </w14:solidFill>
          </w14:textFill>
        </w:rPr>
      </w:pPr>
      <w:r>
        <w:rPr>
          <w:rStyle w:val="12"/>
          <w:rFonts w:ascii="黑体" w:hAnsi="黑体" w:eastAsia="黑体" w:cs="黑体"/>
          <w:color w:val="000000" w:themeColor="text1"/>
          <w:sz w:val="32"/>
          <w:szCs w:val="32"/>
          <w:shd w:val="clear" w:color="auto" w:fill="FFFFFF"/>
          <w14:textFill>
            <w14:solidFill>
              <w14:schemeClr w14:val="tx1"/>
            </w14:solidFill>
          </w14:textFill>
        </w:rPr>
        <w:t>预算绩效管理情况说明</w:t>
      </w:r>
    </w:p>
    <w:p>
      <w:pPr>
        <w:pStyle w:val="13"/>
        <w:autoSpaceDE w:val="0"/>
        <w:ind w:firstLine="643"/>
        <w:rPr>
          <w:rFonts w:ascii="楷体" w:hAnsi="楷体" w:eastAsia="楷体" w:cs="楷体"/>
          <w:b/>
          <w:bCs/>
          <w:sz w:val="32"/>
          <w:szCs w:val="32"/>
          <w:shd w:val="clear" w:color="auto" w:fill="FFFFFF"/>
          <w:lang w:bidi="ar"/>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Fonts w:hint="eastAsia" w:ascii="楷体" w:hAnsi="楷体" w:eastAsia="楷体" w:cs="楷体"/>
          <w:b/>
          <w:bCs/>
          <w:sz w:val="32"/>
          <w:szCs w:val="32"/>
          <w:shd w:val="clear" w:color="auto" w:fill="FFFFFF"/>
          <w:lang w:bidi="ar"/>
        </w:rPr>
        <w:t>（一）单位自评情况</w:t>
      </w:r>
    </w:p>
    <w:p>
      <w:pPr>
        <w:widowControl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根据预算绩效管理要求，我单位为下属单位，2023年未开展项目自评，涉及项目支出资金0万元。</w:t>
      </w:r>
    </w:p>
    <w:p>
      <w:pPr>
        <w:pStyle w:val="13"/>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（二）单位绩效评价情况</w:t>
      </w:r>
    </w:p>
    <w:p>
      <w:pPr>
        <w:pStyle w:val="13"/>
        <w:autoSpaceDE w:val="0"/>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我单位未组织开展绩效评价。</w:t>
      </w:r>
    </w:p>
    <w:p>
      <w:pPr>
        <w:pStyle w:val="13"/>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rPr>
        <w:t>县财政局未委托第三方对我单位开展绩效评价。</w:t>
      </w:r>
    </w:p>
    <w:p>
      <w:pPr>
        <w:pStyle w:val="8"/>
        <w:shd w:val="clear" w:color="auto" w:fill="FFFFFF"/>
        <w:rPr>
          <w:rStyle w:val="12"/>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2"/>
          <w:rFonts w:ascii="黑体" w:hAnsi="黑体" w:eastAsia="黑体" w:cs="黑体"/>
          <w:color w:val="000000" w:themeColor="text1"/>
          <w:sz w:val="32"/>
          <w:szCs w:val="32"/>
          <w:shd w:val="clear" w:color="auto" w:fill="FFFFFF"/>
          <w14:textFill>
            <w14:solidFill>
              <w14:schemeClr w14:val="tx1"/>
            </w14:solidFill>
          </w14:textFill>
        </w:rPr>
        <w:t>六、专业名词解释</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b/>
          <w:bCs/>
          <w:color w:val="000000" w:themeColor="text1"/>
          <w:sz w:val="32"/>
          <w:szCs w:val="32"/>
          <w:shd w:val="clear" w:color="auto" w:fill="FFFFFF"/>
          <w:lang w:bidi="ar"/>
          <w14:textFill>
            <w14:solidFill>
              <w14:schemeClr w14:val="tx1"/>
            </w14:solidFill>
          </w14:textFill>
        </w:rPr>
        <w:t> </w:t>
      </w:r>
      <w:r>
        <w:rPr>
          <w:rFonts w:ascii="楷体" w:hAnsi="楷体" w:eastAsia="楷体" w:cs="楷体"/>
          <w:b/>
          <w:bCs/>
          <w:color w:val="000000" w:themeColor="text1"/>
          <w:sz w:val="32"/>
          <w:szCs w:val="32"/>
          <w:shd w:val="clear" w:color="auto" w:fill="FFFFFF"/>
          <w:lang w:bidi="ar"/>
          <w14:textFill>
            <w14:solidFill>
              <w14:schemeClr w14:val="tx1"/>
            </w14:solidFill>
          </w14:textFill>
        </w:rPr>
        <w:t>（一）财政拨款收入：</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指本年度从本级财政部门取得的财政拨款，包括一般公共预算财政拨款和政府性基金预算财政拨款。</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2"/>
          <w:rFonts w:ascii="楷体" w:hAnsi="楷体" w:eastAsia="楷体" w:cs="楷体"/>
          <w:color w:val="000000" w:themeColor="text1"/>
          <w:sz w:val="32"/>
          <w:szCs w:val="32"/>
          <w:shd w:val="clear" w:color="auto" w:fill="FFFFFF"/>
          <w14:textFill>
            <w14:solidFill>
              <w14:schemeClr w14:val="tx1"/>
            </w14:solidFill>
          </w14:textFill>
        </w:rPr>
        <w:t>（二）事业收入</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指事业单位开展专业业务活动及其辅助活动取得的现金流入；事业单位收到的财政专户实际核拨的教育收费等资金在此反映。</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2"/>
          <w:rFonts w:ascii="楷体" w:hAnsi="楷体" w:eastAsia="楷体" w:cs="楷体"/>
          <w:color w:val="000000" w:themeColor="text1"/>
          <w:sz w:val="32"/>
          <w:szCs w:val="32"/>
          <w:shd w:val="clear" w:color="auto" w:fill="FFFFFF"/>
          <w14:textFill>
            <w14:solidFill>
              <w14:schemeClr w14:val="tx1"/>
            </w14:solidFill>
          </w14:textFill>
        </w:rPr>
        <w:t>（三）经营收入</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指事业单位在专业业务活动及其辅助活动之外开展非独立核算经营活动取得的现金流入。</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2"/>
          <w:rFonts w:ascii="楷体" w:hAnsi="楷体" w:eastAsia="楷体" w:cs="楷体"/>
          <w:color w:val="000000" w:themeColor="text1"/>
          <w:sz w:val="32"/>
          <w:szCs w:val="32"/>
          <w:shd w:val="clear" w:color="auto" w:fill="FFFFFF"/>
          <w14:textFill>
            <w14:solidFill>
              <w14:schemeClr w14:val="tx1"/>
            </w14:solidFill>
          </w14:textFill>
        </w:rPr>
        <w:t>（四）其他收入</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楷体" w:hAnsi="楷体" w:eastAsia="楷体" w:cs="楷体"/>
          <w:color w:val="000000" w:themeColor="text1"/>
          <w:sz w:val="32"/>
          <w:szCs w:val="32"/>
          <w:shd w:val="clear" w:color="auto" w:fill="FFFFFF"/>
          <w14:textFill>
            <w14:solidFill>
              <w14:schemeClr w14:val="tx1"/>
            </w14:solidFill>
          </w14:textFill>
        </w:rPr>
        <w:t>（五）使用非财政拨款结余</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指单位在当年的“财政拨款收入”、“事业收入”、“经营收入”、“其他收入”等不足以安排当年支出的情况下，使用以前年度积累的非财政拨款结余弥补本年度收支缺口的资金。</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2"/>
          <w:rFonts w:ascii="楷体" w:hAnsi="楷体" w:eastAsia="楷体" w:cs="楷体"/>
          <w:color w:val="000000" w:themeColor="text1"/>
          <w:sz w:val="32"/>
          <w:szCs w:val="32"/>
          <w:shd w:val="clear" w:color="auto" w:fill="FFFFFF"/>
          <w14:textFill>
            <w14:solidFill>
              <w14:schemeClr w14:val="tx1"/>
            </w14:solidFill>
          </w14:textFill>
        </w:rPr>
        <w:t>（六）年初结转和结余</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指单位上年结转本年使用的基本支出结转、项目支出结转和结余、经营结余。</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2"/>
          <w:rFonts w:ascii="楷体" w:hAnsi="楷体" w:eastAsia="楷体" w:cs="楷体"/>
          <w:color w:val="000000" w:themeColor="text1"/>
          <w:sz w:val="32"/>
          <w:szCs w:val="32"/>
          <w:shd w:val="clear" w:color="auto" w:fill="FFFFFF"/>
          <w14:textFill>
            <w14:solidFill>
              <w14:schemeClr w14:val="tx1"/>
            </w14:solidFill>
          </w14:textFill>
        </w:rPr>
        <w:t>（七）结余分配</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指单位按照国家有关规定，缴纳所得税、提取专用基金、转入非财政拨款结余等当年结余的分配情况。</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2"/>
          <w:rFonts w:ascii="楷体" w:hAnsi="楷体" w:eastAsia="楷体" w:cs="楷体"/>
          <w:color w:val="000000" w:themeColor="text1"/>
          <w:sz w:val="32"/>
          <w:szCs w:val="32"/>
          <w:shd w:val="clear" w:color="auto" w:fill="FFFFFF"/>
          <w14:textFill>
            <w14:solidFill>
              <w14:schemeClr w14:val="tx1"/>
            </w14:solidFill>
          </w14:textFill>
        </w:rPr>
        <w:t>（八）年末结转和结余</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指单位结转下年的基本支出结转、项目支出结转和结余、经营结余。</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2"/>
          <w:rFonts w:ascii="楷体" w:hAnsi="楷体" w:eastAsia="楷体" w:cs="楷体"/>
          <w:color w:val="000000" w:themeColor="text1"/>
          <w:sz w:val="32"/>
          <w:szCs w:val="32"/>
          <w:shd w:val="clear" w:color="auto" w:fill="FFFFFF"/>
          <w14:textFill>
            <w14:solidFill>
              <w14:schemeClr w14:val="tx1"/>
            </w14:solidFill>
          </w14:textFill>
        </w:rPr>
        <w:t>（九）基本支出</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2"/>
          <w:rFonts w:ascii="楷体" w:hAnsi="楷体" w:eastAsia="楷体" w:cs="楷体"/>
          <w:color w:val="000000" w:themeColor="text1"/>
          <w:sz w:val="32"/>
          <w:szCs w:val="32"/>
          <w:shd w:val="clear" w:color="auto" w:fill="FFFFFF"/>
          <w14:textFill>
            <w14:solidFill>
              <w14:schemeClr w14:val="tx1"/>
            </w14:solidFill>
          </w14:textFill>
        </w:rPr>
        <w:t>（十）项目支出</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指在基本支出之外为完成特定行政任务和事业发展目标所发生的支出。</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2"/>
          <w:rFonts w:ascii="楷体" w:hAnsi="楷体" w:eastAsia="楷体" w:cs="楷体"/>
          <w:color w:val="000000" w:themeColor="text1"/>
          <w:sz w:val="32"/>
          <w:szCs w:val="32"/>
          <w:shd w:val="clear" w:color="auto" w:fill="FFFFFF"/>
          <w14:textFill>
            <w14:solidFill>
              <w14:schemeClr w14:val="tx1"/>
            </w14:solidFill>
          </w14:textFill>
        </w:rPr>
        <w:t>（十一）经营支出</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指事业单位在专业业务活动及其辅助活动之外开展非独立核算经营活动发生的支出。</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2"/>
          <w:rFonts w:ascii="楷体" w:hAnsi="楷体" w:eastAsia="楷体" w:cs="楷体"/>
          <w:color w:val="000000" w:themeColor="text1"/>
          <w:sz w:val="32"/>
          <w:szCs w:val="32"/>
          <w:shd w:val="clear" w:color="auto" w:fill="FFFFFF"/>
          <w14:textFill>
            <w14:solidFill>
              <w14:schemeClr w14:val="tx1"/>
            </w14:solidFill>
          </w14:textFill>
        </w:rPr>
        <w:t>（十二）“三公”经费</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2"/>
          <w:rFonts w:ascii="楷体" w:hAnsi="楷体" w:eastAsia="楷体" w:cs="楷体"/>
          <w:color w:val="000000" w:themeColor="text1"/>
          <w:sz w:val="32"/>
          <w:szCs w:val="32"/>
          <w:shd w:val="clear" w:color="auto" w:fill="FFFFFF"/>
          <w14:textFill>
            <w14:solidFill>
              <w14:schemeClr w14:val="tx1"/>
            </w14:solidFill>
          </w14:textFill>
        </w:rPr>
        <w:t>（十三）机关运行经费</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2"/>
          <w:rFonts w:ascii="楷体" w:hAnsi="楷体" w:eastAsia="楷体" w:cs="楷体"/>
          <w:color w:val="000000" w:themeColor="text1"/>
          <w:sz w:val="32"/>
          <w:szCs w:val="32"/>
          <w:shd w:val="clear" w:color="auto" w:fill="FFFFFF"/>
          <w14:textFill>
            <w14:solidFill>
              <w14:schemeClr w14:val="tx1"/>
            </w14:solidFill>
          </w14:textFill>
        </w:rPr>
        <w:t>（十四）工资福利支出（支出经济分类科目类级）</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反映单位开支的在职职工和编制外长期聘用人员的各类劳动报酬，以及为上述人员缴纳的各项社会保险费等。</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2"/>
          <w:rFonts w:ascii="楷体" w:hAnsi="楷体" w:eastAsia="楷体" w:cs="楷体"/>
          <w:color w:val="000000" w:themeColor="text1"/>
          <w:sz w:val="32"/>
          <w:szCs w:val="32"/>
          <w:shd w:val="clear" w:color="auto" w:fill="FFFFFF"/>
          <w14:textFill>
            <w14:solidFill>
              <w14:schemeClr w14:val="tx1"/>
            </w14:solidFill>
          </w14:textFill>
        </w:rPr>
        <w:t>（十五）商品和服务支出（支出经济分类科目类级）</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反映单位购买商品和服务的支出（不包括用于购置固定资产的支出、战略性和应急储备支出）。</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楷体" w:hAnsi="楷体" w:eastAsia="楷体" w:cs="楷体"/>
          <w:color w:val="000000" w:themeColor="text1"/>
          <w:sz w:val="32"/>
          <w:szCs w:val="32"/>
          <w:shd w:val="clear" w:color="auto" w:fill="FFFFFF"/>
          <w14:textFill>
            <w14:solidFill>
              <w14:schemeClr w14:val="tx1"/>
            </w14:solidFill>
          </w14:textFill>
        </w:rPr>
        <w:t> （十六）对个人和家庭的补助（支出经济分类科目类级）</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反映用于对个人和家庭的补助支出。</w:t>
      </w:r>
    </w:p>
    <w:p>
      <w:pPr>
        <w:pStyle w:val="8"/>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2"/>
          <w:rFonts w:ascii="楷体" w:hAnsi="楷体" w:eastAsia="楷体" w:cs="楷体"/>
          <w:color w:val="000000" w:themeColor="text1"/>
          <w:sz w:val="32"/>
          <w:szCs w:val="32"/>
          <w:shd w:val="clear" w:color="auto" w:fill="FFFFFF"/>
          <w14:textFill>
            <w14:solidFill>
              <w14:schemeClr w14:val="tx1"/>
            </w14:solidFill>
          </w14:textFill>
        </w:rPr>
        <w:t>（十七）其他资本性支出（支出经济分类科目类级）</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反映非各级发展与改革部门集中安排的用于购置固定资产、战略性和应急性储备、土地和无形资产，以及构建基础设施、大型修缮和财政支持企业更新改造所发生的支出。</w:t>
      </w:r>
    </w:p>
    <w:p>
      <w:pPr>
        <w:pStyle w:val="8"/>
        <w:shd w:val="clear" w:color="auto" w:fill="FFFFFF"/>
        <w:rPr>
          <w:rStyle w:val="12"/>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w:t>
      </w:r>
      <w:r>
        <w:rPr>
          <w:rStyle w:val="12"/>
          <w:rFonts w:ascii="黑体" w:hAnsi="黑体" w:eastAsia="黑体" w:cs="黑体"/>
          <w:color w:val="000000" w:themeColor="text1"/>
          <w:sz w:val="32"/>
          <w:szCs w:val="32"/>
          <w:shd w:val="clear" w:color="auto" w:fill="FFFFFF"/>
          <w14:textFill>
            <w14:solidFill>
              <w14:schemeClr w14:val="tx1"/>
            </w14:solidFill>
          </w14:textFill>
        </w:rPr>
        <w:t>七、决算公开联系方式及信息反馈渠道</w:t>
      </w:r>
    </w:p>
    <w:p>
      <w:pPr>
        <w:pStyle w:val="14"/>
        <w:shd w:val="clear" w:color="auto" w:fill="FFFFFF"/>
        <w:autoSpaceDE w:val="0"/>
        <w:spacing w:line="594" w:lineRule="exact"/>
        <w:ind w:firstLine="640" w:firstLineChars="200"/>
        <w:jc w:val="both"/>
        <w:rPr>
          <w:rFonts w:cs="宋体"/>
          <w:color w:val="000000" w:themeColor="text1"/>
          <w:sz w:val="21"/>
          <w:szCs w:val="21"/>
          <w14:textFill>
            <w14:solidFill>
              <w14:schemeClr w14:val="tx1"/>
            </w14:solidFill>
          </w14:textFill>
        </w:rPr>
      </w:pPr>
      <w:r>
        <w:rPr>
          <w:rFonts w:hint="eastAsia"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：马老师</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Times New Roman" w:hAnsi="Times New Roman" w:eastAsia="方正仿宋_GBK"/>
          <w:color w:val="000000" w:themeColor="text1"/>
          <w:sz w:val="32"/>
          <w:szCs w:val="32"/>
          <w:shd w:val="clear" w:color="auto" w:fill="FFFFFF"/>
          <w14:textFill>
            <w14:solidFill>
              <w14:schemeClr w14:val="tx1"/>
            </w14:solidFill>
          </w14:textFill>
        </w:rPr>
        <w:t>023-74</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529950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2"/>
        <w:rPr>
          <w:rFonts w:hint="default" w:eastAsia="宋体" w:cs="宋体"/>
          <w:color w:val="000000" w:themeColor="text1"/>
          <w:sz w:val="21"/>
          <w:szCs w:val="21"/>
          <w14:textFill>
            <w14:solidFill>
              <w14:schemeClr w14:val="tx1"/>
            </w14:solidFill>
          </w14:textFill>
        </w:rPr>
        <w:sectPr>
          <w:headerReference r:id="rId3" w:type="default"/>
          <w:footerReference r:id="rId4" w:type="default"/>
          <w:pgSz w:w="16838" w:h="23811"/>
          <w:pgMar w:top="454" w:right="567" w:bottom="1037" w:left="567" w:header="0" w:footer="283" w:gutter="0"/>
          <w:pgNumType w:fmt="numberInDash"/>
          <w:cols w:space="720" w:num="1"/>
          <w:docGrid w:type="lines" w:linePitch="312" w:charSpace="0"/>
        </w:sectPr>
      </w:pPr>
    </w:p>
    <w:p>
      <w:pPr>
        <w:pStyle w:val="2"/>
        <w:rPr>
          <w:rFonts w:hint="default" w:eastAsia="宋体" w:cs="宋体"/>
          <w:color w:val="000000" w:themeColor="text1"/>
          <w:sz w:val="21"/>
          <w:szCs w:val="21"/>
          <w14:textFill>
            <w14:solidFill>
              <w14:schemeClr w14:val="tx1"/>
            </w14:solidFill>
          </w14:textFill>
        </w:rPr>
      </w:pPr>
    </w:p>
    <w:p>
      <w:pPr>
        <w:pStyle w:val="2"/>
        <w:rPr>
          <w:rFonts w:hint="default" w:eastAsia="宋体" w:cs="宋体"/>
          <w:color w:val="000000" w:themeColor="text1"/>
          <w:sz w:val="21"/>
          <w:szCs w:val="21"/>
          <w14:textFill>
            <w14:solidFill>
              <w14:schemeClr w14:val="tx1"/>
            </w14:solidFill>
          </w14:textFill>
        </w:rPr>
      </w:pPr>
    </w:p>
    <w:p>
      <w:pPr>
        <w:pStyle w:val="2"/>
        <w:rPr>
          <w:rFonts w:hint="default" w:eastAsia="宋体" w:cs="宋体"/>
          <w:color w:val="000000" w:themeColor="text1"/>
          <w:sz w:val="21"/>
          <w:szCs w:val="21"/>
          <w14:textFill>
            <w14:solidFill>
              <w14:schemeClr w14:val="tx1"/>
            </w14:solidFill>
          </w14:textFill>
        </w:rPr>
      </w:pPr>
    </w:p>
    <w:p>
      <w:pPr>
        <w:pStyle w:val="2"/>
        <w:rPr>
          <w:rFonts w:hint="default" w:eastAsia="宋体" w:cs="宋体"/>
          <w:color w:val="000000" w:themeColor="text1"/>
          <w:sz w:val="21"/>
          <w:szCs w:val="21"/>
          <w14:textFill>
            <w14:solidFill>
              <w14:schemeClr w14:val="tx1"/>
            </w14:solidFill>
          </w14:textFill>
        </w:rPr>
      </w:pPr>
    </w:p>
    <w:tbl>
      <w:tblPr>
        <w:tblStyle w:val="9"/>
        <w:tblW w:w="22292" w:type="dxa"/>
        <w:tblInd w:w="0" w:type="dxa"/>
        <w:tblLayout w:type="fixed"/>
        <w:tblCellMar>
          <w:top w:w="0" w:type="dxa"/>
          <w:left w:w="0" w:type="dxa"/>
          <w:bottom w:w="0" w:type="dxa"/>
          <w:right w:w="0" w:type="dxa"/>
        </w:tblCellMar>
      </w:tblPr>
      <w:tblGrid>
        <w:gridCol w:w="6581"/>
        <w:gridCol w:w="4358"/>
        <w:gridCol w:w="7536"/>
        <w:gridCol w:w="3817"/>
      </w:tblGrid>
      <w:tr>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0"/>
                <w:szCs w:val="20"/>
                <w14:textFill>
                  <w14:solidFill>
                    <w14:schemeClr w14:val="tx1"/>
                  </w14:solidFill>
                </w14:textFill>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公开01表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cs="宋体"/>
                <w:color w:val="000000" w:themeColor="text1"/>
                <w14:textFill>
                  <w14:solidFill>
                    <w14:schemeClr w14:val="tx1"/>
                  </w14:solidFill>
                </w14:textFill>
              </w:rPr>
            </w:pPr>
            <w:r>
              <w:rPr>
                <w:rFonts w:cs="宋体"/>
                <w:color w:val="000000" w:themeColor="text1"/>
                <w14:textFill>
                  <w14:solidFill>
                    <w14:schemeClr w14:val="tx1"/>
                  </w14:solidFill>
                </w14:textFill>
              </w:rPr>
              <w:t>公开单位：垫江县民防（应急）指挥信息保障中心</w:t>
            </w: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2"/>
                <w:szCs w:val="22"/>
                <w14:textFill>
                  <w14:solidFill>
                    <w14:schemeClr w14:val="tx1"/>
                  </w14:solidFill>
                </w14:textFill>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90.13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0.21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7.27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0"/>
                <w:szCs w:val="20"/>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2.65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0"/>
                <w:szCs w:val="20"/>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0"/>
                <w:szCs w:val="20"/>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76.40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0"/>
                <w:szCs w:val="20"/>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3.60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90.13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90.13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90.13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90.13 </w:t>
            </w:r>
          </w:p>
        </w:tc>
      </w:tr>
    </w:tbl>
    <w:p>
      <w:pPr>
        <w:rPr>
          <w:rFonts w:hint="default" w:cs="宋体"/>
          <w:color w:val="000000" w:themeColor="text1"/>
          <w:sz w:val="21"/>
          <w:szCs w:val="21"/>
          <w:lang w:bidi="ar"/>
          <w14:textFill>
            <w14:solidFill>
              <w14:schemeClr w14:val="tx1"/>
            </w14:solidFill>
          </w14:textFill>
        </w:rPr>
      </w:pPr>
      <w:r>
        <w:rPr>
          <w:rFonts w:cs="宋体"/>
          <w:color w:val="000000" w:themeColor="text1"/>
          <w:sz w:val="21"/>
          <w:szCs w:val="21"/>
          <w:lang w:bidi="ar"/>
          <w14:textFill>
            <w14:solidFill>
              <w14:schemeClr w14:val="tx1"/>
            </w14:solidFill>
          </w14:textFill>
        </w:rPr>
        <w:t>备注：1.本表反映单位本年度的总收支和年末结转结余情况。</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lang w:bidi="ar"/>
          <w14:textFill>
            <w14:solidFill>
              <w14:schemeClr w14:val="tx1"/>
            </w14:solidFill>
          </w14:textFill>
        </w:rPr>
        <w:t xml:space="preserve">      2.本套报表金额单位转换时可能存在尾数误差。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14:textFill>
            <w14:solidFill>
              <w14:schemeClr w14:val="tx1"/>
            </w14:solidFill>
          </w14:textFill>
        </w:rPr>
        <w:br w:type="textWrapping"/>
      </w:r>
    </w:p>
    <w:p>
      <w:pPr>
        <w:rPr>
          <w:rFonts w:hint="default" w:cs="宋体"/>
          <w:color w:val="000000" w:themeColor="text1"/>
          <w:sz w:val="21"/>
          <w:szCs w:val="21"/>
          <w:lang w:bidi="ar"/>
          <w14:textFill>
            <w14:solidFill>
              <w14:schemeClr w14:val="tx1"/>
            </w14:solidFill>
          </w14:textFill>
        </w:rPr>
      </w:pPr>
    </w:p>
    <w:tbl>
      <w:tblPr>
        <w:tblStyle w:val="9"/>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r>
              <w:rPr>
                <w:rFonts w:cs="宋体"/>
                <w:color w:val="000000" w:themeColor="text1"/>
                <w14:textFill>
                  <w14:solidFill>
                    <w14:schemeClr w14:val="tx1"/>
                  </w14:solidFill>
                </w14:textFill>
              </w:rPr>
              <w:t>公开单位：垫江县民防（应急）指挥信息保障中心</w:t>
            </w: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90.13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90.13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教育支出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0.21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0.21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进修及培训</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0.21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0.21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2050803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培训支出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0.21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0.21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7.27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7.27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7.27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7.27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5.16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5.16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2101102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城乡社区管理事务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2120199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其他城乡社区管理事务支出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76.40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76.40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bl>
    <w:p>
      <w:pPr>
        <w:ind w:left="630" w:hanging="630" w:hangingChars="300"/>
        <w:rPr>
          <w:rFonts w:hint="default" w:cs="宋体"/>
          <w:color w:val="000000" w:themeColor="text1"/>
          <w:sz w:val="21"/>
          <w:szCs w:val="21"/>
          <w:lang w:bidi="ar"/>
          <w14:textFill>
            <w14:solidFill>
              <w14:schemeClr w14:val="tx1"/>
            </w14:solidFill>
          </w14:textFill>
        </w:rPr>
      </w:pPr>
      <w:r>
        <w:rPr>
          <w:rFonts w:cs="宋体"/>
          <w:color w:val="000000" w:themeColor="text1"/>
          <w:sz w:val="21"/>
          <w:szCs w:val="21"/>
          <w:lang w:bidi="ar"/>
          <w14:textFill>
            <w14:solidFill>
              <w14:schemeClr w14:val="tx1"/>
            </w14:solidFill>
          </w14:textFill>
        </w:rPr>
        <w:t>备注：1.本表反映单位本年度取得的各项收入情况。</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lang w:bidi="ar"/>
          <w14:textFill>
            <w14:solidFill>
              <w14:schemeClr w14:val="tx1"/>
            </w14:solidFill>
          </w14:textFill>
        </w:rPr>
        <w:t>2.本套报表金额单位转换时可能存在尾数误差。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lang w:bidi="ar"/>
          <w14:textFill>
            <w14:solidFill>
              <w14:schemeClr w14:val="tx1"/>
            </w14:solidFill>
          </w14:textFill>
        </w:rPr>
        <w:br w:type="textWrapping"/>
      </w:r>
    </w:p>
    <w:p>
      <w:pPr>
        <w:rPr>
          <w:rFonts w:hint="default" w:cs="宋体"/>
          <w:color w:val="000000" w:themeColor="text1"/>
          <w:sz w:val="21"/>
          <w:szCs w:val="21"/>
          <w:lang w:bidi="ar"/>
          <w14:textFill>
            <w14:solidFill>
              <w14:schemeClr w14:val="tx1"/>
            </w14:solidFill>
          </w14:textFill>
        </w:rPr>
      </w:pPr>
      <w:r>
        <w:rPr>
          <w:rFonts w:cs="宋体"/>
          <w:color w:val="000000" w:themeColor="text1"/>
          <w:sz w:val="21"/>
          <w:szCs w:val="21"/>
          <w:lang w:bidi="ar"/>
          <w14:textFill>
            <w14:solidFill>
              <w14:schemeClr w14:val="tx1"/>
            </w14:solidFill>
          </w14:textFill>
        </w:rPr>
        <w:br w:type="page"/>
      </w:r>
    </w:p>
    <w:p>
      <w:pPr>
        <w:ind w:left="630" w:hanging="630" w:hangingChars="300"/>
        <w:rPr>
          <w:rFonts w:hint="default" w:cs="宋体"/>
          <w:color w:val="000000" w:themeColor="text1"/>
          <w:sz w:val="21"/>
          <w:szCs w:val="21"/>
          <w:lang w:bidi="ar"/>
          <w14:textFill>
            <w14:solidFill>
              <w14:schemeClr w14:val="tx1"/>
            </w14:solidFill>
          </w14:textFill>
        </w:rPr>
      </w:pPr>
    </w:p>
    <w:tbl>
      <w:tblPr>
        <w:tblStyle w:val="9"/>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支出决算表</w:t>
            </w:r>
          </w:p>
        </w:tc>
      </w:tr>
      <w:tr>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r>
              <w:rPr>
                <w:rFonts w:asciiTheme="minorEastAsia" w:hAnsiTheme="minorEastAsia" w:eastAsiaTheme="minorEastAsia" w:cstheme="minorEastAsia"/>
                <w:color w:val="000000" w:themeColor="text1"/>
                <w14:textFill>
                  <w14:solidFill>
                    <w14:schemeClr w14:val="tx1"/>
                  </w14:solidFill>
                </w14:textFill>
              </w:rPr>
              <w:t>公开单位</w:t>
            </w:r>
            <w:r>
              <w:rPr>
                <w:rFonts w:asciiTheme="minorEastAsia" w:hAnsiTheme="minorEastAsia" w:eastAsiaTheme="minorEastAsia" w:cstheme="minorEastAsia"/>
                <w:color w:val="000000" w:themeColor="text1"/>
                <w:lang w:bidi="ar"/>
                <w14:textFill>
                  <w14:solidFill>
                    <w14:schemeClr w14:val="tx1"/>
                  </w14:solidFill>
                </w14:textFill>
              </w:rPr>
              <w:t xml:space="preserve">： </w:t>
            </w:r>
            <w:r>
              <w:rPr>
                <w:color w:val="000000" w:themeColor="text1"/>
                <w14:textFill>
                  <w14:solidFill>
                    <w14:schemeClr w14:val="tx1"/>
                  </w14:solidFill>
                </w14:textFill>
              </w:rPr>
              <w:t xml:space="preserve">垫江县民防（应急）指挥信息保障中心 </w:t>
            </w: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公开03表</w:t>
            </w:r>
          </w:p>
        </w:tc>
      </w:tr>
      <w:tr>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对附属单位补助支出</w:t>
            </w:r>
          </w:p>
        </w:tc>
      </w:tr>
      <w:tr>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90.13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90.13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教育支出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进修及培训</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2050803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培训支出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7.27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7.27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7.27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7.27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5.16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5.16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2101102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城乡社区管理事务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2120199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其他城乡社区管理事务支出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76.40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76.40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bl>
    <w:p>
      <w:pPr>
        <w:rPr>
          <w:rFonts w:hint="default" w:cs="宋体"/>
          <w:color w:val="000000" w:themeColor="text1"/>
          <w:sz w:val="21"/>
          <w:szCs w:val="21"/>
          <w14:textFill>
            <w14:solidFill>
              <w14:schemeClr w14:val="tx1"/>
            </w14:solidFill>
          </w14:textFill>
        </w:rPr>
      </w:pPr>
      <w:r>
        <w:rPr>
          <w:rFonts w:cs="宋体"/>
          <w:color w:val="000000" w:themeColor="text1"/>
          <w:sz w:val="21"/>
          <w:szCs w:val="21"/>
          <w:lang w:bidi="ar"/>
          <w14:textFill>
            <w14:solidFill>
              <w14:schemeClr w14:val="tx1"/>
            </w14:solidFill>
          </w14:textFill>
        </w:rPr>
        <w:t>备注：1.本表反映单位本年度各项支出情况。</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lang w:bidi="ar"/>
          <w14:textFill>
            <w14:solidFill>
              <w14:schemeClr w14:val="tx1"/>
            </w14:solidFill>
          </w14:textFill>
        </w:rPr>
        <w:t xml:space="preserve">      2.本套报表金额单位转换时可能存在尾数误差。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14:textFill>
            <w14:solidFill>
              <w14:schemeClr w14:val="tx1"/>
            </w14:solidFill>
          </w14:textFill>
        </w:rPr>
        <w:br w:type="textWrapping"/>
      </w:r>
    </w:p>
    <w:p>
      <w:pPr>
        <w:rPr>
          <w:rFonts w:hint="default" w:cs="宋体"/>
          <w:color w:val="000000" w:themeColor="text1"/>
          <w:sz w:val="21"/>
          <w:szCs w:val="21"/>
          <w:lang w:bidi="ar"/>
          <w14:textFill>
            <w14:solidFill>
              <w14:schemeClr w14:val="tx1"/>
            </w14:solidFill>
          </w14:textFill>
        </w:rPr>
      </w:pPr>
      <w:r>
        <w:rPr>
          <w:rFonts w:cs="宋体"/>
          <w:color w:val="000000" w:themeColor="text1"/>
          <w:sz w:val="21"/>
          <w:szCs w:val="21"/>
          <w:lang w:bidi="ar"/>
          <w14:textFill>
            <w14:solidFill>
              <w14:schemeClr w14:val="tx1"/>
            </w14:solidFill>
          </w14:textFill>
        </w:rPr>
        <w:br w:type="page"/>
      </w:r>
    </w:p>
    <w:p>
      <w:pPr>
        <w:rPr>
          <w:rFonts w:hint="default" w:cs="宋体"/>
          <w:color w:val="000000" w:themeColor="text1"/>
          <w:sz w:val="21"/>
          <w:szCs w:val="21"/>
          <w:lang w:bidi="ar"/>
          <w14:textFill>
            <w14:solidFill>
              <w14:schemeClr w14:val="tx1"/>
            </w14:solidFill>
          </w14:textFill>
        </w:rPr>
      </w:pPr>
    </w:p>
    <w:tbl>
      <w:tblPr>
        <w:tblStyle w:val="9"/>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r>
              <w:rPr>
                <w:rFonts w:asciiTheme="minorEastAsia" w:hAnsiTheme="minorEastAsia" w:eastAsiaTheme="minorEastAsia" w:cstheme="minorEastAsia"/>
                <w:color w:val="000000" w:themeColor="text1"/>
                <w14:textFill>
                  <w14:solidFill>
                    <w14:schemeClr w14:val="tx1"/>
                  </w14:solidFill>
                </w14:textFill>
              </w:rPr>
              <w:t>公开单位</w:t>
            </w:r>
            <w:r>
              <w:rPr>
                <w:rFonts w:asciiTheme="minorEastAsia" w:hAnsiTheme="minorEastAsia" w:eastAsiaTheme="minorEastAsia" w:cstheme="minorEastAsia"/>
                <w:color w:val="000000" w:themeColor="text1"/>
                <w:lang w:bidi="ar"/>
                <w14:textFill>
                  <w14:solidFill>
                    <w14:schemeClr w14:val="tx1"/>
                  </w14:solidFill>
                </w14:textFill>
              </w:rPr>
              <w:t xml:space="preserve">： </w:t>
            </w:r>
            <w:r>
              <w:rPr>
                <w:color w:val="000000" w:themeColor="text1"/>
                <w14:textFill>
                  <w14:solidFill>
                    <w14:schemeClr w14:val="tx1"/>
                  </w14:solidFill>
                </w14:textFill>
              </w:rPr>
              <w:t>垫江县民防（应急）指挥信息保障中心</w:t>
            </w: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90.13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0.21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0.21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7.27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7.27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2.65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2.65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76.40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76.40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3.60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3.60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90.13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90.13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90.13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0"/>
                <w:szCs w:val="20"/>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0"/>
                <w:szCs w:val="20"/>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0"/>
                <w:szCs w:val="20"/>
                <w14:textFill>
                  <w14:solidFill>
                    <w14:schemeClr w14:val="tx1"/>
                  </w14:solidFill>
                </w14:textFill>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0"/>
                <w:szCs w:val="20"/>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0"/>
                <w:szCs w:val="20"/>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0"/>
                <w:szCs w:val="20"/>
                <w14:textFill>
                  <w14:solidFill>
                    <w14:schemeClr w14:val="tx1"/>
                  </w14:solidFill>
                </w14:textFill>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90.13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90.13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90.13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bl>
    <w:p>
      <w:pPr>
        <w:rPr>
          <w:rFonts w:hint="default" w:cs="宋体"/>
          <w:color w:val="000000" w:themeColor="text1"/>
          <w:sz w:val="21"/>
          <w:szCs w:val="21"/>
          <w14:textFill>
            <w14:solidFill>
              <w14:schemeClr w14:val="tx1"/>
            </w14:solidFill>
          </w14:textFill>
        </w:rPr>
      </w:pPr>
      <w:r>
        <w:rPr>
          <w:rFonts w:cs="宋体"/>
          <w:color w:val="000000" w:themeColor="text1"/>
          <w:sz w:val="21"/>
          <w:szCs w:val="21"/>
          <w:lang w:bidi="ar"/>
          <w14:textFill>
            <w14:solidFill>
              <w14:schemeClr w14:val="tx1"/>
            </w14:solidFill>
          </w14:textFill>
        </w:rPr>
        <w:t>备注：1.本表反映单位本年度一般公共预算财政拨款、政府性基金预算财政拨款及国有资本经营预算财政拨款的总收支和年末结转结余情况。</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lang w:bidi="ar"/>
          <w14:textFill>
            <w14:solidFill>
              <w14:schemeClr w14:val="tx1"/>
            </w14:solidFill>
          </w14:textFill>
        </w:rPr>
        <w:t xml:space="preserve">      2.本套报表金额单位转换时可能存在尾数误差。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14:textFill>
            <w14:solidFill>
              <w14:schemeClr w14:val="tx1"/>
            </w14:solidFill>
          </w14:textFill>
        </w:rPr>
        <w:br w:type="textWrapping"/>
      </w:r>
    </w:p>
    <w:p>
      <w:pPr>
        <w:rPr>
          <w:rFonts w:hint="default"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br w:type="page"/>
      </w:r>
    </w:p>
    <w:tbl>
      <w:tblPr>
        <w:tblStyle w:val="9"/>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r>
              <w:rPr>
                <w:rFonts w:asciiTheme="minorEastAsia" w:hAnsiTheme="minorEastAsia" w:eastAsiaTheme="minorEastAsia" w:cstheme="minorEastAsia"/>
                <w:color w:val="000000" w:themeColor="text1"/>
                <w14:textFill>
                  <w14:solidFill>
                    <w14:schemeClr w14:val="tx1"/>
                  </w14:solidFill>
                </w14:textFill>
              </w:rPr>
              <w:t>公开单位</w:t>
            </w:r>
            <w:r>
              <w:rPr>
                <w:rFonts w:asciiTheme="minorEastAsia" w:hAnsiTheme="minorEastAsia" w:eastAsiaTheme="minorEastAsia" w:cstheme="minorEastAsia"/>
                <w:color w:val="000000" w:themeColor="text1"/>
                <w:lang w:bidi="ar"/>
                <w14:textFill>
                  <w14:solidFill>
                    <w14:schemeClr w14:val="tx1"/>
                  </w14:solidFill>
                </w14:textFill>
              </w:rPr>
              <w:t xml:space="preserve">： </w:t>
            </w:r>
            <w:r>
              <w:rPr>
                <w:color w:val="000000" w:themeColor="text1"/>
                <w14:textFill>
                  <w14:solidFill>
                    <w14:schemeClr w14:val="tx1"/>
                  </w14:solidFill>
                </w14:textFill>
              </w:rPr>
              <w:t>垫江县民防（应急）指挥信息保障中心</w:t>
            </w: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公开05表</w:t>
            </w:r>
          </w:p>
        </w:tc>
      </w:tr>
      <w:tr>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本年支出</w:t>
            </w:r>
          </w:p>
        </w:tc>
      </w:tr>
      <w:tr>
        <w:tblPrEx>
          <w:tblCellMar>
            <w:top w:w="0" w:type="dxa"/>
            <w:left w:w="0" w:type="dxa"/>
            <w:bottom w:w="0" w:type="dxa"/>
            <w:right w:w="0" w:type="dxa"/>
          </w:tblCellMar>
        </w:tblPrEx>
        <w:trPr>
          <w:trHeight w:val="327"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项目支出</w:t>
            </w:r>
          </w:p>
        </w:tc>
      </w:tr>
      <w:tr>
        <w:tblPrEx>
          <w:tblCellMar>
            <w:top w:w="0" w:type="dxa"/>
            <w:left w:w="0" w:type="dxa"/>
            <w:bottom w:w="0" w:type="dxa"/>
            <w:right w:w="0" w:type="dxa"/>
          </w:tblCellMar>
        </w:tblPrEx>
        <w:trPr>
          <w:trHeight w:val="327"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90.13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90.13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教育支出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0.21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0.21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进修及培训</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0.21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0.21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2050803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培训支出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0.21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0.21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7.27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7.27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7.27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7.27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5.16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5.16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2.10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2.10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2.65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2.65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2101102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2.65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城乡社区支出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城乡社区管理事务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2120199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其他城乡社区管理事务支出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76.40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76.40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3.60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3.60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3.60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bl>
    <w:p>
      <w:pPr>
        <w:rPr>
          <w:rFonts w:hint="default" w:cs="宋体"/>
          <w:color w:val="000000" w:themeColor="text1"/>
          <w:sz w:val="21"/>
          <w:szCs w:val="21"/>
          <w14:textFill>
            <w14:solidFill>
              <w14:schemeClr w14:val="tx1"/>
            </w14:solidFill>
          </w14:textFill>
        </w:rPr>
      </w:pPr>
      <w:r>
        <w:rPr>
          <w:rFonts w:cs="宋体"/>
          <w:color w:val="000000" w:themeColor="text1"/>
          <w:sz w:val="21"/>
          <w:szCs w:val="21"/>
          <w:lang w:bidi="ar"/>
          <w14:textFill>
            <w14:solidFill>
              <w14:schemeClr w14:val="tx1"/>
            </w14:solidFill>
          </w14:textFill>
        </w:rPr>
        <w:t>备注：1.本表反映单位本年度一般公共预算财政拨款支出情况。</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lang w:bidi="ar"/>
          <w14:textFill>
            <w14:solidFill>
              <w14:schemeClr w14:val="tx1"/>
            </w14:solidFill>
          </w14:textFill>
        </w:rPr>
        <w:t xml:space="preserve">      2.本套报表金额单位转换时可能存在尾数误差。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14:textFill>
            <w14:solidFill>
              <w14:schemeClr w14:val="tx1"/>
            </w14:solidFill>
          </w14:textFill>
        </w:rPr>
        <w:br w:type="textWrapping"/>
      </w:r>
    </w:p>
    <w:p>
      <w:pPr>
        <w:ind w:firstLine="630" w:firstLineChars="300"/>
        <w:rPr>
          <w:rFonts w:hint="default"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br w:type="page"/>
      </w:r>
    </w:p>
    <w:tbl>
      <w:tblPr>
        <w:tblStyle w:val="9"/>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r>
              <w:rPr>
                <w:rFonts w:asciiTheme="minorEastAsia" w:hAnsiTheme="minorEastAsia" w:eastAsiaTheme="minorEastAsia" w:cstheme="minorEastAsia"/>
                <w:color w:val="000000" w:themeColor="text1"/>
                <w14:textFill>
                  <w14:solidFill>
                    <w14:schemeClr w14:val="tx1"/>
                  </w14:solidFill>
                </w14:textFill>
              </w:rPr>
              <w:t>公开单位</w:t>
            </w:r>
            <w:r>
              <w:rPr>
                <w:rFonts w:asciiTheme="minorEastAsia" w:hAnsiTheme="minorEastAsia" w:eastAsiaTheme="minorEastAsia" w:cstheme="minorEastAsia"/>
                <w:color w:val="000000" w:themeColor="text1"/>
                <w:lang w:bidi="ar"/>
                <w14:textFill>
                  <w14:solidFill>
                    <w14:schemeClr w14:val="tx1"/>
                  </w14:solidFill>
                </w14:textFill>
              </w:rPr>
              <w:t xml:space="preserve">： </w:t>
            </w:r>
            <w:r>
              <w:rPr>
                <w:color w:val="000000" w:themeColor="text1"/>
                <w14:textFill>
                  <w14:solidFill>
                    <w14:schemeClr w14:val="tx1"/>
                  </w14:solidFill>
                </w14:textFill>
              </w:rPr>
              <w:t>垫江县民防（应急）指挥信息保障中心</w:t>
            </w: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公开06表</w:t>
            </w:r>
          </w:p>
        </w:tc>
      </w:tr>
      <w:tr>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公用经费</w:t>
            </w:r>
          </w:p>
        </w:tc>
      </w:tr>
      <w:tr>
        <w:tblPrEx>
          <w:tblCellMar>
            <w:top w:w="0" w:type="dxa"/>
            <w:left w:w="0" w:type="dxa"/>
            <w:bottom w:w="0" w:type="dxa"/>
            <w:right w:w="0" w:type="dxa"/>
          </w:tblCellMar>
        </w:tblPrEx>
        <w:trPr>
          <w:trHeight w:val="327"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74.21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15.92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13.90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0.80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0.50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45.05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5.16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2.10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1.20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2.65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0.08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2.95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3.60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0.68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0.49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0.21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1.00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0.32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0.41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6.63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2.40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74.21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15.92 </w:t>
            </w:r>
          </w:p>
        </w:tc>
      </w:tr>
    </w:tbl>
    <w:p>
      <w:pPr>
        <w:rPr>
          <w:rFonts w:hint="default" w:cs="宋体"/>
          <w:color w:val="000000" w:themeColor="text1"/>
          <w:sz w:val="21"/>
          <w:szCs w:val="21"/>
          <w14:textFill>
            <w14:solidFill>
              <w14:schemeClr w14:val="tx1"/>
            </w14:solidFill>
          </w14:textFill>
        </w:rPr>
      </w:pPr>
      <w:r>
        <w:rPr>
          <w:rFonts w:cs="宋体"/>
          <w:color w:val="000000" w:themeColor="text1"/>
          <w:sz w:val="21"/>
          <w:szCs w:val="21"/>
          <w:lang w:bidi="ar"/>
          <w14:textFill>
            <w14:solidFill>
              <w14:schemeClr w14:val="tx1"/>
            </w14:solidFill>
          </w14:textFill>
        </w:rPr>
        <w:t>备注：1.本表反映单位本年度一般公共预算财政拨款基本支出明细情况。</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lang w:bidi="ar"/>
          <w14:textFill>
            <w14:solidFill>
              <w14:schemeClr w14:val="tx1"/>
            </w14:solidFill>
          </w14:textFill>
        </w:rPr>
        <w:t xml:space="preserve">      2.本套报表金额单位转换时可能存在尾数误差。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14:textFill>
            <w14:solidFill>
              <w14:schemeClr w14:val="tx1"/>
            </w14:solidFill>
          </w14:textFill>
        </w:rPr>
        <w:br w:type="textWrapping"/>
      </w:r>
    </w:p>
    <w:p>
      <w:pPr>
        <w:rPr>
          <w:rFonts w:hint="default" w:cs="宋体"/>
          <w:color w:val="000000" w:themeColor="text1"/>
          <w:sz w:val="21"/>
          <w:szCs w:val="21"/>
          <w14:textFill>
            <w14:solidFill>
              <w14:schemeClr w14:val="tx1"/>
            </w14:solidFill>
          </w14:textFill>
        </w:rPr>
      </w:pPr>
    </w:p>
    <w:tbl>
      <w:tblPr>
        <w:tblStyle w:val="9"/>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r>
              <w:rPr>
                <w:rFonts w:asciiTheme="minorEastAsia" w:hAnsiTheme="minorEastAsia" w:eastAsiaTheme="minorEastAsia" w:cstheme="minorEastAsia"/>
                <w:color w:val="000000" w:themeColor="text1"/>
                <w14:textFill>
                  <w14:solidFill>
                    <w14:schemeClr w14:val="tx1"/>
                  </w14:solidFill>
                </w14:textFill>
              </w:rPr>
              <w:t>公开单位</w:t>
            </w:r>
            <w:r>
              <w:rPr>
                <w:rFonts w:asciiTheme="minorEastAsia" w:hAnsiTheme="minorEastAsia" w:eastAsiaTheme="minorEastAsia" w:cstheme="minorEastAsia"/>
                <w:color w:val="000000" w:themeColor="text1"/>
                <w:lang w:bidi="ar"/>
                <w14:textFill>
                  <w14:solidFill>
                    <w14:schemeClr w14:val="tx1"/>
                  </w14:solidFill>
                </w14:textFill>
              </w:rPr>
              <w:t xml:space="preserve">： </w:t>
            </w:r>
            <w:r>
              <w:rPr>
                <w:color w:val="000000" w:themeColor="text1"/>
                <w14:textFill>
                  <w14:solidFill>
                    <w14:schemeClr w14:val="tx1"/>
                  </w14:solidFill>
                </w14:textFill>
              </w:rPr>
              <w:t>垫江县民防（应急）指挥信息保障中心</w:t>
            </w: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r>
    </w:tbl>
    <w:p>
      <w:pPr>
        <w:rPr>
          <w:rFonts w:hint="default" w:cs="宋体"/>
          <w:color w:val="000000" w:themeColor="text1"/>
          <w:sz w:val="21"/>
          <w:szCs w:val="21"/>
          <w14:textFill>
            <w14:solidFill>
              <w14:schemeClr w14:val="tx1"/>
            </w14:solidFill>
          </w14:textFill>
        </w:rPr>
      </w:pPr>
      <w:r>
        <w:rPr>
          <w:rFonts w:cs="宋体"/>
          <w:color w:val="000000" w:themeColor="text1"/>
          <w:sz w:val="21"/>
          <w:szCs w:val="21"/>
          <w:lang w:bidi="ar"/>
          <w14:textFill>
            <w14:solidFill>
              <w14:schemeClr w14:val="tx1"/>
            </w14:solidFill>
          </w14:textFill>
        </w:rPr>
        <w:t>备注：本表反映单位本年度政府性基金预算财政拨款收入支出及结转和结余情况。本单位无政府性基金收支，故本表无数据。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14:textFill>
            <w14:solidFill>
              <w14:schemeClr w14:val="tx1"/>
            </w14:solidFill>
          </w14:textFill>
        </w:rPr>
        <w:br w:type="textWrapping"/>
      </w:r>
    </w:p>
    <w:p>
      <w:pPr>
        <w:rPr>
          <w:rFonts w:hint="default"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br w:type="page"/>
      </w:r>
    </w:p>
    <w:tbl>
      <w:tblPr>
        <w:tblStyle w:val="9"/>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国有资本经营预算财政拨款支出决算表</w:t>
            </w:r>
          </w:p>
        </w:tc>
      </w:tr>
      <w:tr>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r>
              <w:rPr>
                <w:rFonts w:asciiTheme="minorEastAsia" w:hAnsiTheme="minorEastAsia" w:eastAsiaTheme="minorEastAsia" w:cstheme="minorEastAsia"/>
                <w:color w:val="000000" w:themeColor="text1"/>
                <w14:textFill>
                  <w14:solidFill>
                    <w14:schemeClr w14:val="tx1"/>
                  </w14:solidFill>
                </w14:textFill>
              </w:rPr>
              <w:t>公开单位</w:t>
            </w:r>
            <w:r>
              <w:rPr>
                <w:rFonts w:asciiTheme="minorEastAsia" w:hAnsiTheme="minorEastAsia" w:eastAsiaTheme="minorEastAsia" w:cstheme="minorEastAsia"/>
                <w:color w:val="000000" w:themeColor="text1"/>
                <w:lang w:bidi="ar"/>
                <w14:textFill>
                  <w14:solidFill>
                    <w14:schemeClr w14:val="tx1"/>
                  </w14:solidFill>
                </w14:textFill>
              </w:rPr>
              <w:t xml:space="preserve">： </w:t>
            </w:r>
            <w:r>
              <w:rPr>
                <w:color w:val="000000" w:themeColor="text1"/>
                <w14:textFill>
                  <w14:solidFill>
                    <w14:schemeClr w14:val="tx1"/>
                  </w14:solidFill>
                </w14:textFill>
              </w:rPr>
              <w:t>垫江县民防（应急）指挥信息保障中心</w:t>
            </w: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27"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themeColor="text1"/>
                <w:sz w:val="22"/>
                <w:szCs w:val="22"/>
                <w14:textFill>
                  <w14:solidFill>
                    <w14:schemeClr w14:val="tx1"/>
                  </w14:solidFill>
                </w14:textFill>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r>
    </w:tbl>
    <w:p>
      <w:pPr>
        <w:rPr>
          <w:rFonts w:hint="default" w:cs="宋体"/>
          <w:color w:val="000000" w:themeColor="text1"/>
          <w:sz w:val="21"/>
          <w:szCs w:val="21"/>
          <w:lang w:bidi="ar"/>
          <w14:textFill>
            <w14:solidFill>
              <w14:schemeClr w14:val="tx1"/>
            </w14:solidFill>
          </w14:textFill>
        </w:rPr>
      </w:pPr>
      <w:r>
        <w:rPr>
          <w:rFonts w:cs="宋体"/>
          <w:color w:val="000000" w:themeColor="text1"/>
          <w:sz w:val="21"/>
          <w:szCs w:val="21"/>
          <w:lang w:bidi="ar"/>
          <w14:textFill>
            <w14:solidFill>
              <w14:schemeClr w14:val="tx1"/>
            </w14:solidFill>
          </w14:textFill>
        </w:rPr>
        <w:t>备注：本表反映单位本年度国有资本经营预算财政拨款支出情况。本单位无国有资本经营收支，故本表无数据。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14:textFill>
            <w14:solidFill>
              <w14:schemeClr w14:val="tx1"/>
            </w14:solidFill>
          </w14:textFill>
        </w:rPr>
        <w:br w:type="textWrapping"/>
      </w:r>
    </w:p>
    <w:p>
      <w:pPr>
        <w:rPr>
          <w:rFonts w:hint="default"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br w:type="page"/>
      </w:r>
    </w:p>
    <w:tbl>
      <w:tblPr>
        <w:tblStyle w:val="9"/>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color w:val="000000" w:themeColor="text1"/>
                <w:sz w:val="20"/>
                <w:szCs w:val="20"/>
                <w14:textFill>
                  <w14:solidFill>
                    <w14:schemeClr w14:val="tx1"/>
                  </w14:solidFill>
                </w14:textFill>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0"/>
                <w:szCs w:val="20"/>
                <w14:textFill>
                  <w14:solidFill>
                    <w14:schemeClr w14:val="tx1"/>
                  </w14:solidFill>
                </w14:textFill>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ascii="Arial" w:hAnsi="Arial" w:cs="Arial"/>
                <w:color w:val="000000" w:themeColor="text1"/>
                <w:sz w:val="22"/>
                <w:szCs w:val="22"/>
                <w14:textFill>
                  <w14:solidFill>
                    <w14:schemeClr w14:val="tx1"/>
                  </w14:solidFill>
                </w14:textFill>
              </w:rPr>
            </w:pPr>
            <w:r>
              <w:rPr>
                <w:rFonts w:asciiTheme="minorEastAsia" w:hAnsiTheme="minorEastAsia" w:eastAsiaTheme="minorEastAsia" w:cstheme="minorEastAsia"/>
                <w:color w:val="000000" w:themeColor="text1"/>
                <w14:textFill>
                  <w14:solidFill>
                    <w14:schemeClr w14:val="tx1"/>
                  </w14:solidFill>
                </w14:textFill>
              </w:rPr>
              <w:t>公开单位</w:t>
            </w:r>
            <w:r>
              <w:rPr>
                <w:rFonts w:asciiTheme="minorEastAsia" w:hAnsiTheme="minorEastAsia" w:eastAsiaTheme="minorEastAsia" w:cstheme="minorEastAsia"/>
                <w:color w:val="000000" w:themeColor="text1"/>
                <w:lang w:bidi="ar"/>
                <w14:textFill>
                  <w14:solidFill>
                    <w14:schemeClr w14:val="tx1"/>
                  </w14:solidFill>
                </w14:textFill>
              </w:rPr>
              <w:t xml:space="preserve">： </w:t>
            </w:r>
            <w:r>
              <w:rPr>
                <w:color w:val="000000" w:themeColor="text1"/>
                <w14:textFill>
                  <w14:solidFill>
                    <w14:schemeClr w14:val="tx1"/>
                  </w14:solidFill>
                </w14:textFill>
              </w:rPr>
              <w:t>垫江县民防（应急）指挥信息保障中心</w:t>
            </w: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cs="宋体"/>
                <w:color w:val="000000" w:themeColor="text1"/>
                <w:sz w:val="22"/>
                <w:szCs w:val="22"/>
                <w14:textFill>
                  <w14:solidFill>
                    <w14:schemeClr w14:val="tx1"/>
                  </w14:solidFill>
                </w14:textFill>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2"/>
                <w:szCs w:val="22"/>
                <w14:textFill>
                  <w14:solidFill>
                    <w14:schemeClr w14:val="tx1"/>
                  </w14:solidFill>
                </w14:textFill>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决算数</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7.63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7.63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6.63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6.63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6.63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6.63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1.00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1.00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1.00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19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88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0.21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0"/>
                <w:szCs w:val="20"/>
                <w14:textFill>
                  <w14:solidFill>
                    <w14:schemeClr w14:val="tx1"/>
                  </w14:solidFill>
                </w14:textFill>
              </w:rPr>
            </w:pPr>
          </w:p>
        </w:tc>
      </w:tr>
    </w:tbl>
    <w:p>
      <w:pPr>
        <w:rPr>
          <w:rFonts w:hint="default" w:cs="宋体"/>
          <w:color w:val="000000" w:themeColor="text1"/>
          <w:sz w:val="21"/>
          <w:szCs w:val="21"/>
          <w14:textFill>
            <w14:solidFill>
              <w14:schemeClr w14:val="tx1"/>
            </w14:solidFill>
          </w14:textFill>
        </w:rPr>
      </w:pPr>
      <w:r>
        <w:rPr>
          <w:rFonts w:cs="宋体"/>
          <w:color w:val="000000" w:themeColor="text1"/>
          <w:sz w:val="21"/>
          <w:szCs w:val="21"/>
          <w:lang w:bidi="ar"/>
          <w14:textFill>
            <w14:solidFill>
              <w14:schemeClr w14:val="tx1"/>
            </w14:solidFill>
          </w14:textFill>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lang w:bidi="ar"/>
          <w14:textFill>
            <w14:solidFill>
              <w14:schemeClr w14:val="tx1"/>
            </w14:solidFill>
          </w14:textFill>
        </w:rPr>
        <w:t xml:space="preserve">      2.本套报表金额单位转换时可能存在尾数误差。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14:textFill>
            <w14:solidFill>
              <w14:schemeClr w14:val="tx1"/>
            </w14:solidFill>
          </w14:textFill>
        </w:rPr>
        <w:br w:type="textWrapping"/>
      </w:r>
    </w:p>
    <w:p>
      <w:pPr>
        <w:rPr>
          <w:rFonts w:hint="default" w:cs="宋体"/>
          <w:color w:val="000000" w:themeColor="text1"/>
          <w:sz w:val="21"/>
          <w:szCs w:val="21"/>
          <w:lang w:bidi="ar"/>
          <w14:textFill>
            <w14:solidFill>
              <w14:schemeClr w14:val="tx1"/>
            </w14:solidFill>
          </w14:textFill>
        </w:rPr>
      </w:pPr>
    </w:p>
    <w:p>
      <w:pPr>
        <w:rPr>
          <w:rFonts w:hint="default" w:cs="宋体"/>
          <w:color w:val="000000" w:themeColor="text1"/>
          <w:sz w:val="21"/>
          <w:szCs w:val="21"/>
          <w:lang w:bidi="ar"/>
          <w14:textFill>
            <w14:solidFill>
              <w14:schemeClr w14:val="tx1"/>
            </w14:solidFill>
          </w14:textFill>
        </w:rPr>
      </w:pPr>
    </w:p>
    <w:p>
      <w:pPr>
        <w:rPr>
          <w:rFonts w:hint="default" w:cs="宋体"/>
          <w:color w:val="000000" w:themeColor="text1"/>
          <w:sz w:val="21"/>
          <w:szCs w:val="21"/>
          <w:lang w:bidi="ar"/>
          <w14:textFill>
            <w14:solidFill>
              <w14:schemeClr w14:val="tx1"/>
            </w14:solidFill>
          </w14:textFill>
        </w:rPr>
      </w:pPr>
    </w:p>
    <w:p>
      <w:pPr>
        <w:rPr>
          <w:rFonts w:hint="default" w:cs="宋体"/>
          <w:color w:val="000000" w:themeColor="text1"/>
          <w:sz w:val="21"/>
          <w:szCs w:val="21"/>
          <w:lang w:bidi="ar"/>
          <w14:textFill>
            <w14:solidFill>
              <w14:schemeClr w14:val="tx1"/>
            </w14:solidFill>
          </w14:textFill>
        </w:rPr>
      </w:pPr>
    </w:p>
    <w:p>
      <w:pPr>
        <w:rPr>
          <w:rFonts w:hint="default" w:cs="宋体"/>
          <w:color w:val="000000" w:themeColor="text1"/>
          <w:sz w:val="21"/>
          <w:szCs w:val="21"/>
          <w:lang w:bidi="ar"/>
          <w14:textFill>
            <w14:solidFill>
              <w14:schemeClr w14:val="tx1"/>
            </w14:solidFill>
          </w14:textFill>
        </w:rPr>
      </w:pPr>
    </w:p>
    <w:p>
      <w:pPr>
        <w:rPr>
          <w:rFonts w:hint="default" w:cs="宋体"/>
          <w:color w:val="000000" w:themeColor="text1"/>
          <w:sz w:val="21"/>
          <w:szCs w:val="21"/>
          <w:lang w:bidi="ar"/>
          <w14:textFill>
            <w14:solidFill>
              <w14:schemeClr w14:val="tx1"/>
            </w14:solidFill>
          </w14:textFill>
        </w:rPr>
      </w:pPr>
    </w:p>
    <w:p>
      <w:pPr>
        <w:rPr>
          <w:rFonts w:hint="default" w:cs="宋体"/>
          <w:color w:val="000000" w:themeColor="text1"/>
          <w:sz w:val="21"/>
          <w:szCs w:val="21"/>
          <w:lang w:bidi="ar"/>
          <w14:textFill>
            <w14:solidFill>
              <w14:schemeClr w14:val="tx1"/>
            </w14:solidFill>
          </w14:textFill>
        </w:rPr>
      </w:pPr>
    </w:p>
    <w:p>
      <w:pPr>
        <w:rPr>
          <w:rFonts w:hint="default" w:cs="宋体"/>
          <w:color w:val="000000" w:themeColor="text1"/>
          <w:sz w:val="21"/>
          <w:szCs w:val="21"/>
          <w:lang w:bidi="ar"/>
          <w14:textFill>
            <w14:solidFill>
              <w14:schemeClr w14:val="tx1"/>
            </w14:solidFill>
          </w14:textFill>
        </w:rPr>
      </w:pPr>
    </w:p>
    <w:p>
      <w:pPr>
        <w:rPr>
          <w:rFonts w:hint="default" w:cs="宋体"/>
          <w:color w:val="000000" w:themeColor="text1"/>
          <w:sz w:val="21"/>
          <w:szCs w:val="21"/>
          <w:lang w:bidi="ar"/>
          <w14:textFill>
            <w14:solidFill>
              <w14:schemeClr w14:val="tx1"/>
            </w14:solidFill>
          </w14:textFill>
        </w:rPr>
      </w:pPr>
    </w:p>
    <w:p>
      <w:pPr>
        <w:pStyle w:val="13"/>
        <w:autoSpaceDE w:val="0"/>
        <w:ind w:firstLine="0" w:firstLineChars="0"/>
        <w:rPr>
          <w:rFonts w:cs="宋体"/>
          <w:color w:val="000000" w:themeColor="text1"/>
          <w:sz w:val="21"/>
          <w:szCs w:val="21"/>
          <w14:textFill>
            <w14:solidFill>
              <w14:schemeClr w14:val="tx1"/>
            </w14:solidFill>
          </w14:textFill>
        </w:rPr>
      </w:pPr>
    </w:p>
    <w:sectPr>
      <w:pgSz w:w="23811" w:h="16838" w:orient="landscape"/>
      <w:pgMar w:top="567" w:right="454" w:bottom="567" w:left="1037" w:header="0" w:footer="283" w:gutter="0"/>
      <w:pgNumType w:fmt="numberInDash"/>
      <w:cols w:space="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Bitstream Charter">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5 -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5 -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64"/>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200B5B"/>
    <w:rsid w:val="00334363"/>
    <w:rsid w:val="00550ABE"/>
    <w:rsid w:val="006037C7"/>
    <w:rsid w:val="007B419D"/>
    <w:rsid w:val="007F68E4"/>
    <w:rsid w:val="009B67B8"/>
    <w:rsid w:val="00B03CCD"/>
    <w:rsid w:val="00F73F90"/>
    <w:rsid w:val="01474EBF"/>
    <w:rsid w:val="01F3521E"/>
    <w:rsid w:val="02292EFC"/>
    <w:rsid w:val="03B87EA0"/>
    <w:rsid w:val="03E3214F"/>
    <w:rsid w:val="044C50BA"/>
    <w:rsid w:val="05BC6D49"/>
    <w:rsid w:val="06194FF1"/>
    <w:rsid w:val="06A2550B"/>
    <w:rsid w:val="06F80EE2"/>
    <w:rsid w:val="07001CCA"/>
    <w:rsid w:val="073D226C"/>
    <w:rsid w:val="075678DB"/>
    <w:rsid w:val="079D7CC7"/>
    <w:rsid w:val="07EC7865"/>
    <w:rsid w:val="08051BCA"/>
    <w:rsid w:val="086C12F4"/>
    <w:rsid w:val="08705944"/>
    <w:rsid w:val="088234F2"/>
    <w:rsid w:val="08BA052C"/>
    <w:rsid w:val="08DB07BA"/>
    <w:rsid w:val="0969353F"/>
    <w:rsid w:val="098305D0"/>
    <w:rsid w:val="0A3317EA"/>
    <w:rsid w:val="0A5C4B69"/>
    <w:rsid w:val="0A86124A"/>
    <w:rsid w:val="0AB54CC0"/>
    <w:rsid w:val="0B4E398B"/>
    <w:rsid w:val="0B9335CE"/>
    <w:rsid w:val="0BF2311A"/>
    <w:rsid w:val="0C6E02D6"/>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4C038F"/>
    <w:rsid w:val="13871C70"/>
    <w:rsid w:val="13A71CB4"/>
    <w:rsid w:val="13AF1D43"/>
    <w:rsid w:val="13CE1647"/>
    <w:rsid w:val="13FD55AB"/>
    <w:rsid w:val="14200702"/>
    <w:rsid w:val="142F11CC"/>
    <w:rsid w:val="145208BC"/>
    <w:rsid w:val="163A6CEE"/>
    <w:rsid w:val="173708E3"/>
    <w:rsid w:val="17C374FC"/>
    <w:rsid w:val="182E4AB6"/>
    <w:rsid w:val="189079DC"/>
    <w:rsid w:val="189B0D0B"/>
    <w:rsid w:val="18B43F7C"/>
    <w:rsid w:val="194A1770"/>
    <w:rsid w:val="19B906A4"/>
    <w:rsid w:val="1B6F15B6"/>
    <w:rsid w:val="1B8E4A8C"/>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632E41"/>
    <w:rsid w:val="24B92327"/>
    <w:rsid w:val="24C14514"/>
    <w:rsid w:val="2533755C"/>
    <w:rsid w:val="254C548D"/>
    <w:rsid w:val="25791755"/>
    <w:rsid w:val="26396DF4"/>
    <w:rsid w:val="264025FF"/>
    <w:rsid w:val="26F234FB"/>
    <w:rsid w:val="27167136"/>
    <w:rsid w:val="27B23302"/>
    <w:rsid w:val="29310A5F"/>
    <w:rsid w:val="29C37A35"/>
    <w:rsid w:val="2A076083"/>
    <w:rsid w:val="2A73162E"/>
    <w:rsid w:val="2B167953"/>
    <w:rsid w:val="2B200583"/>
    <w:rsid w:val="2B8209DE"/>
    <w:rsid w:val="2BD62868"/>
    <w:rsid w:val="2C636760"/>
    <w:rsid w:val="2C6762A3"/>
    <w:rsid w:val="2FCA4B37"/>
    <w:rsid w:val="2FE029D7"/>
    <w:rsid w:val="2FF06E00"/>
    <w:rsid w:val="3049686B"/>
    <w:rsid w:val="30586FEC"/>
    <w:rsid w:val="315F0B22"/>
    <w:rsid w:val="31A95D0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3756ED"/>
    <w:rsid w:val="3ADD7F09"/>
    <w:rsid w:val="3B1705E5"/>
    <w:rsid w:val="3B18334B"/>
    <w:rsid w:val="3B36794F"/>
    <w:rsid w:val="3B6F6EE0"/>
    <w:rsid w:val="3C566AD6"/>
    <w:rsid w:val="3C594871"/>
    <w:rsid w:val="3C6A5B02"/>
    <w:rsid w:val="3D2757A1"/>
    <w:rsid w:val="3D3D4FC4"/>
    <w:rsid w:val="3DDF3AB1"/>
    <w:rsid w:val="3E1D0952"/>
    <w:rsid w:val="3E3C2572"/>
    <w:rsid w:val="3E42660A"/>
    <w:rsid w:val="3E50124B"/>
    <w:rsid w:val="3E7555B1"/>
    <w:rsid w:val="3E787ED9"/>
    <w:rsid w:val="3F032E93"/>
    <w:rsid w:val="3F0527E5"/>
    <w:rsid w:val="3F694D83"/>
    <w:rsid w:val="3F8422A8"/>
    <w:rsid w:val="3F885DCC"/>
    <w:rsid w:val="3FCD675E"/>
    <w:rsid w:val="4004000C"/>
    <w:rsid w:val="411B6CE5"/>
    <w:rsid w:val="412070D7"/>
    <w:rsid w:val="41314E40"/>
    <w:rsid w:val="41D86B3A"/>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7D863FD"/>
    <w:rsid w:val="48225EF7"/>
    <w:rsid w:val="488F422B"/>
    <w:rsid w:val="48E36915"/>
    <w:rsid w:val="48EB6572"/>
    <w:rsid w:val="495C4A24"/>
    <w:rsid w:val="497135DF"/>
    <w:rsid w:val="49BC7725"/>
    <w:rsid w:val="49CC2181"/>
    <w:rsid w:val="4A263DF2"/>
    <w:rsid w:val="4A6F6675"/>
    <w:rsid w:val="4B135857"/>
    <w:rsid w:val="4B2974A1"/>
    <w:rsid w:val="4B7951CB"/>
    <w:rsid w:val="4B7C315C"/>
    <w:rsid w:val="4CFF4881"/>
    <w:rsid w:val="4D7D0243"/>
    <w:rsid w:val="4DAC4ACA"/>
    <w:rsid w:val="4DBE01D2"/>
    <w:rsid w:val="4E7D5950"/>
    <w:rsid w:val="4F0C6BA3"/>
    <w:rsid w:val="4F186D58"/>
    <w:rsid w:val="4F9E793A"/>
    <w:rsid w:val="50F06B6E"/>
    <w:rsid w:val="51C13F45"/>
    <w:rsid w:val="51D21804"/>
    <w:rsid w:val="52234D33"/>
    <w:rsid w:val="522F6E0C"/>
    <w:rsid w:val="52463BA1"/>
    <w:rsid w:val="52AC7508"/>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0D2D49"/>
    <w:rsid w:val="5A3B59D6"/>
    <w:rsid w:val="5AD134D8"/>
    <w:rsid w:val="5BA96C1D"/>
    <w:rsid w:val="5C251D16"/>
    <w:rsid w:val="5C263CE4"/>
    <w:rsid w:val="5C5D2777"/>
    <w:rsid w:val="5C9F2122"/>
    <w:rsid w:val="5CF66BF3"/>
    <w:rsid w:val="5D290C69"/>
    <w:rsid w:val="5D2D50B1"/>
    <w:rsid w:val="5F2D4A41"/>
    <w:rsid w:val="60C74F6C"/>
    <w:rsid w:val="61025A59"/>
    <w:rsid w:val="613D5BBC"/>
    <w:rsid w:val="61536C39"/>
    <w:rsid w:val="61856397"/>
    <w:rsid w:val="62692A14"/>
    <w:rsid w:val="62944DD7"/>
    <w:rsid w:val="6319381F"/>
    <w:rsid w:val="63C25DC5"/>
    <w:rsid w:val="63C62057"/>
    <w:rsid w:val="64571EF5"/>
    <w:rsid w:val="64FB113D"/>
    <w:rsid w:val="656152C6"/>
    <w:rsid w:val="6587477F"/>
    <w:rsid w:val="658C3A08"/>
    <w:rsid w:val="65C031CA"/>
    <w:rsid w:val="65CE6852"/>
    <w:rsid w:val="66267C04"/>
    <w:rsid w:val="663F505A"/>
    <w:rsid w:val="66664D44"/>
    <w:rsid w:val="66EE5541"/>
    <w:rsid w:val="67924660"/>
    <w:rsid w:val="68407834"/>
    <w:rsid w:val="6883293E"/>
    <w:rsid w:val="688412AD"/>
    <w:rsid w:val="68EB1B71"/>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70B26"/>
    <w:rsid w:val="70D94BD3"/>
    <w:rsid w:val="71C34D91"/>
    <w:rsid w:val="72DB435C"/>
    <w:rsid w:val="72E2613A"/>
    <w:rsid w:val="72F771F4"/>
    <w:rsid w:val="73934AD2"/>
    <w:rsid w:val="750837F0"/>
    <w:rsid w:val="754758CF"/>
    <w:rsid w:val="764F62AB"/>
    <w:rsid w:val="765C45EC"/>
    <w:rsid w:val="768A7619"/>
    <w:rsid w:val="772E1EBA"/>
    <w:rsid w:val="781926BC"/>
    <w:rsid w:val="78C013EC"/>
    <w:rsid w:val="796D60A4"/>
    <w:rsid w:val="79A031D5"/>
    <w:rsid w:val="7A1525F7"/>
    <w:rsid w:val="7B420052"/>
    <w:rsid w:val="7BD06A28"/>
    <w:rsid w:val="7C3A7C0B"/>
    <w:rsid w:val="7C5248E4"/>
    <w:rsid w:val="7C566698"/>
    <w:rsid w:val="7C5866A3"/>
    <w:rsid w:val="7D7406BB"/>
    <w:rsid w:val="7DE94331"/>
    <w:rsid w:val="7E4C3BE0"/>
    <w:rsid w:val="7F446A19"/>
    <w:rsid w:val="7F7452B9"/>
    <w:rsid w:val="CF1F8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pPr>
    <w:rPr>
      <w:rFonts w:eastAsia="仿宋"/>
      <w:sz w:val="24"/>
      <w:szCs w:val="24"/>
    </w:rPr>
  </w:style>
  <w:style w:type="paragraph" w:styleId="3">
    <w:name w:val="Body Text"/>
    <w:basedOn w:val="1"/>
    <w:next w:val="4"/>
    <w:qFormat/>
    <w:uiPriority w:val="0"/>
    <w:rPr>
      <w:sz w:val="28"/>
      <w:szCs w:val="28"/>
    </w:rPr>
  </w:style>
  <w:style w:type="paragraph" w:customStyle="1" w:styleId="4">
    <w:name w:val="目录 53"/>
    <w:basedOn w:val="1"/>
    <w:next w:val="1"/>
    <w:qFormat/>
    <w:uiPriority w:val="0"/>
    <w:pPr>
      <w:wordWrap w:val="0"/>
      <w:ind w:left="1275"/>
      <w:jc w:val="both"/>
    </w:pPr>
    <w:rPr>
      <w:rFonts w:hint="default" w:ascii="Times New Roman" w:hAnsi="Times New Roman"/>
      <w:sz w:val="21"/>
      <w:szCs w:val="21"/>
    </w:rPr>
  </w:style>
  <w:style w:type="paragraph" w:styleId="5">
    <w:name w:val="footer"/>
    <w:basedOn w:val="1"/>
    <w:link w:val="19"/>
    <w:qFormat/>
    <w:uiPriority w:val="99"/>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27"/>
    <w:basedOn w:val="11"/>
    <w:qFormat/>
    <w:uiPriority w:val="0"/>
    <w:rPr>
      <w:rFonts w:hint="default" w:ascii="Times New Roman" w:hAnsi="Times New Roman" w:cs="Times New Roman"/>
      <w:b/>
    </w:rPr>
  </w:style>
  <w:style w:type="paragraph" w:customStyle="1" w:styleId="18">
    <w:name w:val="普通(网站) Char Char"/>
    <w:basedOn w:val="1"/>
    <w:qFormat/>
    <w:uiPriority w:val="0"/>
    <w:pPr>
      <w:spacing w:beforeAutospacing="1" w:afterAutospacing="1"/>
    </w:pPr>
  </w:style>
  <w:style w:type="character" w:customStyle="1" w:styleId="19">
    <w:name w:val="页脚 字符"/>
    <w:basedOn w:val="11"/>
    <w:link w:val="5"/>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1914</Words>
  <Characters>10915</Characters>
  <Lines>90</Lines>
  <Paragraphs>25</Paragraphs>
  <TotalTime>3</TotalTime>
  <ScaleCrop>false</ScaleCrop>
  <LinksUpToDate>false</LinksUpToDate>
  <CharactersWithSpaces>12804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user</cp:lastModifiedBy>
  <dcterms:modified xsi:type="dcterms:W3CDTF">2025-10-27T10:11:58Z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BB46EABDBB2749749395447164B066B3_12</vt:lpwstr>
  </property>
</Properties>
</file>