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jc w:val="center"/>
        <w:rPr>
          <w:rFonts w:hint="default" w:ascii="方正小标宋_GBK" w:hAnsi="方正小标宋_GBK" w:eastAsia="方正小标宋_GBK" w:cs="方正小标宋_GBK"/>
          <w:color w:val="000000" w:themeColor="text1"/>
          <w:sz w:val="36"/>
          <w:szCs w:val="36"/>
          <w:shd w:val="clear" w:color="auto" w:fill="FFFFFF"/>
          <w14:textFill>
            <w14:solidFill>
              <w14:schemeClr w14:val="tx1"/>
            </w14:solidFill>
          </w14:textFill>
        </w:rPr>
      </w:pPr>
      <w:r>
        <w:rPr>
          <w:rFonts w:ascii="方正小标宋_GBK" w:hAnsi="方正小标宋_GBK" w:eastAsia="方正小标宋_GBK" w:cs="方正小标宋_GBK"/>
          <w:color w:val="000000" w:themeColor="text1"/>
          <w:sz w:val="36"/>
          <w:szCs w:val="36"/>
          <w14:textFill>
            <w14:solidFill>
              <w14:schemeClr w14:val="tx1"/>
            </w14:solidFill>
          </w14:textFill>
        </w:rPr>
        <w:t>垫江县经济信息中心（垫江县推动融入成渝地区双城经济圈建设服务中心）</w:t>
      </w:r>
      <w:r>
        <w:rPr>
          <w:rFonts w:ascii="方正小标宋_GBK" w:hAnsi="方正小标宋_GBK" w:eastAsia="方正小标宋_GBK" w:cs="方正小标宋_GBK"/>
          <w:color w:val="000000" w:themeColor="text1"/>
          <w:sz w:val="36"/>
          <w:szCs w:val="36"/>
          <w:shd w:val="clear" w:color="auto" w:fill="FFFFFF"/>
          <w14:textFill>
            <w14:solidFill>
              <w14:schemeClr w14:val="tx1"/>
            </w14:solidFill>
          </w14:textFill>
        </w:rPr>
        <w:t>2023年度决算公开说明</w:t>
      </w:r>
    </w:p>
    <w:p>
      <w:pPr>
        <w:pStyle w:val="7"/>
        <w:shd w:val="clear" w:color="auto" w:fill="FFFFFF"/>
        <w:rPr>
          <w:rFonts w:hint="default" w:ascii="黑体" w:hAnsi="黑体" w:eastAsia="黑体" w:cs="黑体"/>
          <w:color w:val="000000" w:themeColor="text1"/>
          <w:sz w:val="32"/>
          <w:szCs w:val="32"/>
          <w14:textFill>
            <w14:solidFill>
              <w14:schemeClr w14:val="tx1"/>
            </w14:solidFill>
          </w14:textFill>
        </w:rPr>
      </w:pPr>
      <w:r>
        <w:rPr>
          <w:rStyle w:val="11"/>
          <w:rFonts w:ascii="黑体" w:hAnsi="黑体" w:eastAsia="黑体" w:cs="黑体"/>
          <w:color w:val="000000" w:themeColor="text1"/>
          <w:sz w:val="32"/>
          <w:szCs w:val="32"/>
          <w:shd w:val="clear" w:color="auto" w:fill="FFFFFF"/>
          <w14:textFill>
            <w14:solidFill>
              <w14:schemeClr w14:val="tx1"/>
            </w14:solidFill>
          </w14:textFill>
        </w:rPr>
        <w:t>一、单位基本情况</w:t>
      </w:r>
    </w:p>
    <w:p>
      <w:pPr>
        <w:pStyle w:val="7"/>
        <w:shd w:val="clear" w:color="auto" w:fill="FFFFFF"/>
        <w:ind w:firstLine="420"/>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楷体" w:hAnsi="楷体" w:eastAsia="楷体" w:cs="楷体"/>
          <w:color w:val="000000" w:themeColor="text1"/>
          <w:sz w:val="32"/>
          <w:szCs w:val="32"/>
          <w:shd w:val="clear" w:color="auto" w:fill="FFFFFF"/>
          <w14:textFill>
            <w14:solidFill>
              <w14:schemeClr w14:val="tx1"/>
            </w14:solidFill>
          </w14:textFill>
        </w:rPr>
        <w:t>（一）职能职责</w:t>
      </w:r>
    </w:p>
    <w:p>
      <w:pPr>
        <w:pStyle w:val="2"/>
        <w:autoSpaceDE w:val="0"/>
        <w:adjustRightInd w:val="0"/>
        <w:snapToGrid w:val="0"/>
        <w:spacing w:line="594" w:lineRule="exact"/>
        <w:ind w:right="26" w:rightChars="11"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14:textFill>
            <w14:solidFill>
              <w14:schemeClr w14:val="tx1"/>
            </w14:solidFill>
          </w14:textFill>
        </w:rPr>
        <w:t>建立经济信息网络，收集、储存、传递经济信息；建立数据库和资料档案</w:t>
      </w:r>
      <w:bookmarkStart w:id="0" w:name="_GoBack"/>
      <w:bookmarkEnd w:id="0"/>
      <w:r>
        <w:rPr>
          <w:rFonts w:ascii="方正仿宋_GBK" w:hAnsi="方正仿宋_GBK" w:eastAsia="方正仿宋_GBK" w:cs="方正仿宋_GBK"/>
          <w:color w:val="000000" w:themeColor="text1"/>
          <w:sz w:val="32"/>
          <w:szCs w:val="32"/>
          <w14:textFill>
            <w14:solidFill>
              <w14:schemeClr w14:val="tx1"/>
            </w14:solidFill>
          </w14:textFill>
        </w:rPr>
        <w:t>；开展经济预测，设计经济模型，为领导决策提供依据；培训经济预测人员。具体职责任务：（</w:t>
      </w:r>
      <w:r>
        <w:rPr>
          <w:rFonts w:hint="default" w:ascii="Times New Roman" w:hAnsi="Times New Roman" w:eastAsia="方正仿宋_GBK"/>
          <w:color w:val="000000" w:themeColor="text1"/>
          <w:sz w:val="32"/>
          <w:szCs w:val="32"/>
          <w14:textFill>
            <w14:solidFill>
              <w14:schemeClr w14:val="tx1"/>
            </w14:solidFill>
          </w14:textFill>
        </w:rPr>
        <w:t>1</w:t>
      </w:r>
      <w:r>
        <w:rPr>
          <w:rFonts w:ascii="方正仿宋_GBK" w:hAnsi="方正仿宋_GBK" w:eastAsia="方正仿宋_GBK" w:cs="方正仿宋_GBK"/>
          <w:color w:val="000000" w:themeColor="text1"/>
          <w:sz w:val="32"/>
          <w:szCs w:val="32"/>
          <w14:textFill>
            <w14:solidFill>
              <w14:schemeClr w14:val="tx1"/>
            </w14:solidFill>
          </w14:textFill>
        </w:rPr>
        <w:t>）建立经济信息网络，收集、储存、传递经济信息。（</w:t>
      </w:r>
      <w:r>
        <w:rPr>
          <w:rFonts w:hint="default" w:ascii="Times New Roman" w:hAnsi="Times New Roman" w:eastAsia="方正仿宋_GBK"/>
          <w:color w:val="000000" w:themeColor="text1"/>
          <w:sz w:val="32"/>
          <w:szCs w:val="32"/>
          <w14:textFill>
            <w14:solidFill>
              <w14:schemeClr w14:val="tx1"/>
            </w14:solidFill>
          </w14:textFill>
        </w:rPr>
        <w:t>2</w:t>
      </w:r>
      <w:r>
        <w:rPr>
          <w:rFonts w:ascii="方正仿宋_GBK" w:hAnsi="方正仿宋_GBK" w:eastAsia="方正仿宋_GBK" w:cs="方正仿宋_GBK"/>
          <w:color w:val="000000" w:themeColor="text1"/>
          <w:sz w:val="32"/>
          <w:szCs w:val="32"/>
          <w14:textFill>
            <w14:solidFill>
              <w14:schemeClr w14:val="tx1"/>
            </w14:solidFill>
          </w14:textFill>
        </w:rPr>
        <w:t>）建立数据库和资料档案，为经济预测工作提供基础资料。（</w:t>
      </w:r>
      <w:r>
        <w:rPr>
          <w:rFonts w:hint="default" w:ascii="Times New Roman" w:hAnsi="Times New Roman" w:eastAsia="方正仿宋_GBK"/>
          <w:color w:val="000000" w:themeColor="text1"/>
          <w:sz w:val="32"/>
          <w:szCs w:val="32"/>
          <w14:textFill>
            <w14:solidFill>
              <w14:schemeClr w14:val="tx1"/>
            </w14:solidFill>
          </w14:textFill>
        </w:rPr>
        <w:t>3</w:t>
      </w:r>
      <w:r>
        <w:rPr>
          <w:rFonts w:ascii="方正仿宋_GBK" w:hAnsi="方正仿宋_GBK" w:eastAsia="方正仿宋_GBK" w:cs="方正仿宋_GBK"/>
          <w:color w:val="000000" w:themeColor="text1"/>
          <w:sz w:val="32"/>
          <w:szCs w:val="32"/>
          <w14:textFill>
            <w14:solidFill>
              <w14:schemeClr w14:val="tx1"/>
            </w14:solidFill>
          </w14:textFill>
        </w:rPr>
        <w:t>）开展经济预测，设计经济模型，为全县国民经济各部门提供经济信息，为领导进行决策提供依据。（</w:t>
      </w:r>
      <w:r>
        <w:rPr>
          <w:rFonts w:hint="default" w:ascii="Times New Roman" w:hAnsi="Times New Roman" w:eastAsia="方正仿宋_GBK"/>
          <w:color w:val="000000" w:themeColor="text1"/>
          <w:sz w:val="32"/>
          <w:szCs w:val="32"/>
          <w14:textFill>
            <w14:solidFill>
              <w14:schemeClr w14:val="tx1"/>
            </w14:solidFill>
          </w14:textFill>
        </w:rPr>
        <w:t>4</w:t>
      </w:r>
      <w:r>
        <w:rPr>
          <w:rFonts w:ascii="方正仿宋_GBK" w:hAnsi="方正仿宋_GBK" w:eastAsia="方正仿宋_GBK" w:cs="方正仿宋_GBK"/>
          <w:color w:val="000000" w:themeColor="text1"/>
          <w:sz w:val="32"/>
          <w:szCs w:val="32"/>
          <w14:textFill>
            <w14:solidFill>
              <w14:schemeClr w14:val="tx1"/>
            </w14:solidFill>
          </w14:textFill>
        </w:rPr>
        <w:t>）组织经济信息交流、传递，培训经济预测人员。</w:t>
      </w:r>
    </w:p>
    <w:p>
      <w:pPr>
        <w:pStyle w:val="7"/>
        <w:shd w:val="clear" w:color="auto" w:fill="FFFFFF"/>
        <w:ind w:firstLine="420"/>
        <w:rPr>
          <w:rFonts w:hint="default" w:ascii="楷体" w:hAnsi="楷体" w:eastAsia="楷体" w:cs="楷体"/>
          <w:color w:val="000000" w:themeColor="text1"/>
          <w:sz w:val="32"/>
          <w:szCs w:val="32"/>
          <w14:textFill>
            <w14:solidFill>
              <w14:schemeClr w14:val="tx1"/>
            </w14:solidFill>
          </w14:textFill>
        </w:rPr>
      </w:pPr>
      <w:r>
        <w:rPr>
          <w:rStyle w:val="11"/>
          <w:rFonts w:ascii="楷体" w:hAnsi="楷体" w:eastAsia="楷体" w:cs="楷体"/>
          <w:color w:val="000000" w:themeColor="text1"/>
          <w:sz w:val="32"/>
          <w:szCs w:val="32"/>
          <w:shd w:val="clear" w:color="auto" w:fill="FFFFFF"/>
          <w14:textFill>
            <w14:solidFill>
              <w14:schemeClr w14:val="tx1"/>
            </w14:solidFill>
          </w14:textFill>
        </w:rPr>
        <w:t>（二）机构设置</w:t>
      </w:r>
    </w:p>
    <w:p>
      <w:pPr>
        <w:pStyle w:val="13"/>
        <w:autoSpaceDE w:val="0"/>
        <w:spacing w:before="0" w:beforeAutospacing="0" w:after="0" w:afterAutospacing="0" w:line="594"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14:textFill>
            <w14:solidFill>
              <w14:schemeClr w14:val="tx1"/>
            </w14:solidFill>
          </w14:textFill>
        </w:rPr>
        <w:t>本单位属行政副科级单位，设主任</w:t>
      </w:r>
      <w:r>
        <w:rPr>
          <w:rFonts w:ascii="Times New Roman" w:hAnsi="Times New Roman" w:eastAsia="方正仿宋_GBK"/>
          <w:color w:val="000000" w:themeColor="text1"/>
          <w:sz w:val="32"/>
          <w:szCs w:val="32"/>
          <w14:textFill>
            <w14:solidFill>
              <w14:schemeClr w14:val="tx1"/>
            </w14:solidFill>
          </w14:textFill>
        </w:rPr>
        <w:t>1</w:t>
      </w:r>
      <w:r>
        <w:rPr>
          <w:rFonts w:ascii="方正仿宋_GBK" w:hAnsi="方正仿宋_GBK" w:eastAsia="方正仿宋_GBK" w:cs="方正仿宋_GBK"/>
          <w:color w:val="000000" w:themeColor="text1"/>
          <w:sz w:val="32"/>
          <w:szCs w:val="32"/>
          <w14:textFill>
            <w14:solidFill>
              <w14:schemeClr w14:val="tx1"/>
            </w14:solidFill>
          </w14:textFill>
        </w:rPr>
        <w:t>名，副主任</w:t>
      </w:r>
      <w:r>
        <w:rPr>
          <w:rFonts w:ascii="Times New Roman" w:hAnsi="Times New Roman" w:eastAsia="方正仿宋_GBK"/>
          <w:color w:val="000000" w:themeColor="text1"/>
          <w:sz w:val="32"/>
          <w:szCs w:val="32"/>
          <w14:textFill>
            <w14:solidFill>
              <w14:schemeClr w14:val="tx1"/>
            </w14:solidFill>
          </w14:textFill>
        </w:rPr>
        <w:t>1</w:t>
      </w:r>
      <w:r>
        <w:rPr>
          <w:rFonts w:ascii="方正仿宋_GBK" w:hAnsi="方正仿宋_GBK" w:eastAsia="方正仿宋_GBK" w:cs="方正仿宋_GBK"/>
          <w:color w:val="000000" w:themeColor="text1"/>
          <w:sz w:val="32"/>
          <w:szCs w:val="32"/>
          <w14:textFill>
            <w14:solidFill>
              <w14:schemeClr w14:val="tx1"/>
            </w14:solidFill>
          </w14:textFill>
        </w:rPr>
        <w:t>名。</w:t>
      </w:r>
    </w:p>
    <w:p>
      <w:pPr>
        <w:pStyle w:val="7"/>
        <w:shd w:val="clear" w:color="auto" w:fill="FFFFFF"/>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黑体" w:hAnsi="黑体" w:eastAsia="黑体" w:cs="黑体"/>
          <w:color w:val="000000" w:themeColor="text1"/>
          <w:sz w:val="32"/>
          <w:szCs w:val="32"/>
          <w:shd w:val="clear" w:color="auto" w:fill="FFFFFF"/>
          <w14:textFill>
            <w14:solidFill>
              <w14:schemeClr w14:val="tx1"/>
            </w14:solidFill>
          </w14:textFill>
        </w:rPr>
        <w:t>二、部门决算情况说明</w:t>
      </w:r>
    </w:p>
    <w:p>
      <w:pPr>
        <w:pStyle w:val="12"/>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（一）收入支出决算总体情况说明。</w:t>
      </w:r>
    </w:p>
    <w:p>
      <w:pPr>
        <w:pStyle w:val="7"/>
        <w:shd w:val="clear" w:color="auto" w:fill="FFFFFF"/>
        <w:ind w:firstLine="642" w:firstLineChars="200"/>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1.总体情况。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2023年度收入总计165.5万元，支出总计</w:t>
      </w:r>
      <w:r>
        <w:rPr>
          <w:rFonts w:ascii="方正仿宋_GBK" w:hAnsi="方正仿宋_GBK" w:eastAsia="方正仿宋_GBK" w:cs="方正仿宋_GBK"/>
          <w:color w:val="000000" w:themeColor="text1"/>
          <w:sz w:val="32"/>
          <w:szCs w:val="32"/>
          <w14:textFill>
            <w14:solidFill>
              <w14:schemeClr w14:val="tx1"/>
            </w14:solidFill>
          </w14:textFill>
        </w:rPr>
        <w:t>165.5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万元。收支较上年决算数增加14.74万元，增长9.78%，主要原因是预算内人员经费超额工资增加、人员工资晋级晋档。</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2.收入情况。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2023年度收入合计164.24万元，较上年决算数增加14.97万元，增长10.03%，主要原因是预算内人员经费超额工资增加、人员工资晋级晋档。其中：财政拨款收入</w:t>
      </w:r>
      <w:r>
        <w:rPr>
          <w:rFonts w:ascii="方正仿宋_GBK" w:hAnsi="方正仿宋_GBK" w:eastAsia="方正仿宋_GBK" w:cs="方正仿宋_GBK"/>
          <w:color w:val="000000" w:themeColor="text1"/>
          <w:sz w:val="32"/>
          <w:szCs w:val="32"/>
          <w14:textFill>
            <w14:solidFill>
              <w14:schemeClr w14:val="tx1"/>
            </w14:solidFill>
          </w14:textFill>
        </w:rPr>
        <w:t>164.24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100.0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%；事业收入</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万元，占0.0%；经营收入</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万元，占0.0%；其他收入</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万元，占0.0%。此外，使用非财政拨款结余和专用结余</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万元，年初结转和结余</w:t>
      </w:r>
      <w:r>
        <w:rPr>
          <w:rFonts w:ascii="方正仿宋_GBK" w:hAnsi="方正仿宋_GBK" w:eastAsia="方正仿宋_GBK" w:cs="方正仿宋_GBK"/>
          <w:color w:val="000000" w:themeColor="text1"/>
          <w:sz w:val="32"/>
          <w:szCs w:val="32"/>
          <w14:textFill>
            <w14:solidFill>
              <w14:schemeClr w14:val="tx1"/>
            </w14:solidFill>
          </w14:textFill>
        </w:rPr>
        <w:t>1.26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3.支出情况。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2023年度支出合计</w:t>
      </w:r>
      <w:r>
        <w:rPr>
          <w:rFonts w:ascii="方正仿宋_GBK" w:hAnsi="方正仿宋_GBK" w:eastAsia="方正仿宋_GBK" w:cs="方正仿宋_GBK"/>
          <w:color w:val="000000" w:themeColor="text1"/>
          <w:sz w:val="32"/>
          <w:szCs w:val="32"/>
          <w14:textFill>
            <w14:solidFill>
              <w14:schemeClr w14:val="tx1"/>
            </w14:solidFill>
          </w14:textFill>
        </w:rPr>
        <w:t>164.24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万元，较上年决算数增加14.74万元，增长9.86%，主要原因是预算内人员经费超额工资增加、人员工资晋级晋档。其中：基本支出</w:t>
      </w:r>
      <w:r>
        <w:rPr>
          <w:rFonts w:ascii="方正仿宋_GBK" w:hAnsi="方正仿宋_GBK" w:eastAsia="方正仿宋_GBK" w:cs="方正仿宋_GBK"/>
          <w:color w:val="000000" w:themeColor="text1"/>
          <w:sz w:val="32"/>
          <w:szCs w:val="32"/>
          <w14:textFill>
            <w14:solidFill>
              <w14:schemeClr w14:val="tx1"/>
            </w14:solidFill>
          </w14:textFill>
        </w:rPr>
        <w:t>164.24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万元，占100.0%；项目支出</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万元，占0.0%；经营支出</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万元，占0.0%。此外，结余分配</w:t>
      </w:r>
      <w:r>
        <w:rPr>
          <w:rFonts w:ascii="方正仿宋_GBK" w:hAnsi="方正仿宋_GBK" w:eastAsia="方正仿宋_GBK" w:cs="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4.结转结余情况。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2023年度年末结转和结余</w:t>
      </w:r>
      <w:r>
        <w:rPr>
          <w:rFonts w:ascii="方正仿宋_GBK" w:hAnsi="方正仿宋_GBK" w:eastAsia="方正仿宋_GBK" w:cs="方正仿宋_GBK"/>
          <w:color w:val="000000" w:themeColor="text1"/>
          <w:sz w:val="32"/>
          <w:szCs w:val="32"/>
          <w14:textFill>
            <w14:solidFill>
              <w14:schemeClr w14:val="tx1"/>
            </w14:solidFill>
          </w14:textFill>
        </w:rPr>
        <w:t>1.26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万元，较上年决算数无增减，</w:t>
      </w:r>
      <w:r>
        <w:rPr>
          <w:rFonts w:ascii="方正仿宋_GBK" w:hAnsi="方正仿宋_GBK" w:eastAsia="方正仿宋_GBK" w:cs="方正仿宋_GBK"/>
          <w:sz w:val="32"/>
          <w:szCs w:val="32"/>
          <w:shd w:val="clear" w:color="auto" w:fill="FFFFFF"/>
        </w:rPr>
        <w:t>主要原因是收入支出均为预算内资金，未支出结转结余</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12"/>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（二）财政拨款收入支出决算总体情况说明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2023年度财政拨款收、支总计165.50万元。与2022年相比，财政拨款收、支总计各增加14.74万元，增长9.78%。主要原因是</w:t>
      </w:r>
      <w:r>
        <w:rPr>
          <w:rFonts w:ascii="方正仿宋_GBK" w:hAnsi="方正仿宋_GBK" w:eastAsia="方正仿宋_GBK" w:cs="方正仿宋_GBK"/>
          <w:color w:val="000000" w:themeColor="text1"/>
          <w:sz w:val="32"/>
          <w:szCs w:val="32"/>
          <w14:textFill>
            <w14:solidFill>
              <w14:schemeClr w14:val="tx1"/>
            </w14:solidFill>
          </w14:textFill>
        </w:rPr>
        <w:t>人员工资晋级晋档，预算追加超额绩效工资，公用经费支出增加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12"/>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（三）一般公共预算财政拨款收入支出决算情况说明</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1.收入情况。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2023年度一般公共预算财政拨款收入</w:t>
      </w:r>
      <w:r>
        <w:rPr>
          <w:rFonts w:ascii="方正仿宋_GBK" w:hAnsi="方正仿宋_GBK" w:eastAsia="方正仿宋_GBK" w:cs="方正仿宋_GBK"/>
          <w:color w:val="000000" w:themeColor="text1"/>
          <w:sz w:val="32"/>
          <w:szCs w:val="32"/>
          <w14:textFill>
            <w14:solidFill>
              <w14:schemeClr w14:val="tx1"/>
            </w14:solidFill>
          </w14:textFill>
        </w:rPr>
        <w:t>164.24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万元，较上年决算数增加14.97万元，增长10.03%。主要原因是</w:t>
      </w:r>
      <w:r>
        <w:rPr>
          <w:rFonts w:ascii="方正仿宋_GBK" w:hAnsi="方正仿宋_GBK" w:eastAsia="方正仿宋_GBK" w:cs="方正仿宋_GBK"/>
          <w:color w:val="000000" w:themeColor="text1"/>
          <w:sz w:val="32"/>
          <w:szCs w:val="32"/>
          <w14:textFill>
            <w14:solidFill>
              <w14:schemeClr w14:val="tx1"/>
            </w14:solidFill>
          </w14:textFill>
        </w:rPr>
        <w:t>人员工资晋级晋档，预算增加超额绩效工资，公用经费支出增加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。较年初预算数增加20.90万元，增长14.58%。主要原因是追加</w:t>
      </w:r>
      <w:r>
        <w:rPr>
          <w:rFonts w:ascii="方正仿宋_GBK" w:hAnsi="方正仿宋_GBK" w:eastAsia="方正仿宋_GBK" w:cs="方正仿宋_GBK"/>
          <w:color w:val="000000" w:themeColor="text1"/>
          <w:sz w:val="32"/>
          <w:szCs w:val="32"/>
          <w14:textFill>
            <w14:solidFill>
              <w14:schemeClr w14:val="tx1"/>
            </w14:solidFill>
          </w14:textFill>
        </w:rPr>
        <w:t>人员工资晋级晋档及超额绩效工资</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。此外，年初财政拨款结转和结余</w:t>
      </w:r>
      <w:r>
        <w:rPr>
          <w:rFonts w:ascii="方正仿宋_GBK" w:hAnsi="方正仿宋_GBK" w:eastAsia="方正仿宋_GBK" w:cs="方正仿宋_GBK"/>
          <w:color w:val="000000" w:themeColor="text1"/>
          <w:sz w:val="32"/>
          <w:szCs w:val="32"/>
          <w14:textFill>
            <w14:solidFill>
              <w14:schemeClr w14:val="tx1"/>
            </w14:solidFill>
          </w14:textFill>
        </w:rPr>
        <w:t>1.26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2.支出情况。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2023年度一般公共预算财政拨款支出</w:t>
      </w:r>
      <w:r>
        <w:rPr>
          <w:rFonts w:ascii="方正仿宋_GBK" w:hAnsi="方正仿宋_GBK" w:eastAsia="方正仿宋_GBK" w:cs="方正仿宋_GBK"/>
          <w:color w:val="000000" w:themeColor="text1"/>
          <w:sz w:val="32"/>
          <w:szCs w:val="32"/>
          <w14:textFill>
            <w14:solidFill>
              <w14:schemeClr w14:val="tx1"/>
            </w14:solidFill>
          </w14:textFill>
        </w:rPr>
        <w:t>164.24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万元，较上年决算数增加14.74万元，增长9.86%。主要原因是</w:t>
      </w:r>
      <w:r>
        <w:rPr>
          <w:rFonts w:ascii="方正仿宋_GBK" w:hAnsi="方正仿宋_GBK" w:eastAsia="方正仿宋_GBK" w:cs="方正仿宋_GBK"/>
          <w:color w:val="000000" w:themeColor="text1"/>
          <w:sz w:val="32"/>
          <w:szCs w:val="32"/>
          <w14:textFill>
            <w14:solidFill>
              <w14:schemeClr w14:val="tx1"/>
            </w14:solidFill>
          </w14:textFill>
        </w:rPr>
        <w:t>人员工资晋级晋档，预算增加超额绩效工资，公用经费支出增加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。较年初预算数增加20.90万元，增长14.58%。主要原因是追加</w:t>
      </w:r>
      <w:r>
        <w:rPr>
          <w:rFonts w:ascii="方正仿宋_GBK" w:hAnsi="方正仿宋_GBK" w:eastAsia="方正仿宋_GBK" w:cs="方正仿宋_GBK"/>
          <w:color w:val="000000" w:themeColor="text1"/>
          <w:sz w:val="32"/>
          <w:szCs w:val="32"/>
          <w14:textFill>
            <w14:solidFill>
              <w14:schemeClr w14:val="tx1"/>
            </w14:solidFill>
          </w14:textFill>
        </w:rPr>
        <w:t>人员工资晋级晋档及超额绩效工资</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3.结转结余情况。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2023年度年末一般公共预算财政拨款结转和结余</w:t>
      </w:r>
      <w:r>
        <w:rPr>
          <w:rFonts w:ascii="方正仿宋_GBK" w:hAnsi="方正仿宋_GBK" w:eastAsia="方正仿宋_GBK" w:cs="方正仿宋_GBK"/>
          <w:color w:val="000000" w:themeColor="text1"/>
          <w:sz w:val="32"/>
          <w:szCs w:val="32"/>
          <w14:textFill>
            <w14:solidFill>
              <w14:schemeClr w14:val="tx1"/>
            </w14:solidFill>
          </w14:textFill>
        </w:rPr>
        <w:t>1.26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万元，较上年决算数无增减，</w:t>
      </w:r>
      <w:r>
        <w:rPr>
          <w:rFonts w:ascii="方正仿宋_GBK" w:hAnsi="方正仿宋_GBK" w:eastAsia="方正仿宋_GBK" w:cs="方正仿宋_GBK"/>
          <w:sz w:val="32"/>
          <w:szCs w:val="32"/>
          <w:shd w:val="clear" w:color="auto" w:fill="FFFFFF"/>
        </w:rPr>
        <w:t>主要原因是收入支出均为预算内资金，未支出结转结余</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highlight w:val="cyan"/>
          <w:shd w:val="clear" w:color="auto" w:fill="FFFFFF"/>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 4.比较情况。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本部门2023年度一般公共预算财政拨款支出主要用于以下几个方面：</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（1）一般公共服务支出</w:t>
      </w:r>
      <w:r>
        <w:rPr>
          <w:rFonts w:ascii="方正仿宋_GBK" w:hAnsi="方正仿宋_GBK" w:eastAsia="方正仿宋_GBK" w:cs="方正仿宋_GBK"/>
          <w:color w:val="000000" w:themeColor="text1"/>
          <w:sz w:val="32"/>
          <w:szCs w:val="32"/>
          <w14:textFill>
            <w14:solidFill>
              <w14:schemeClr w14:val="tx1"/>
            </w14:solidFill>
          </w14:textFill>
        </w:rPr>
        <w:t>136.29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82.98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%，较年初预算数增加19.21万元，增长16.41%，主要原因是追加</w:t>
      </w:r>
      <w:r>
        <w:rPr>
          <w:rFonts w:ascii="方正仿宋_GBK" w:hAnsi="方正仿宋_GBK" w:eastAsia="方正仿宋_GBK" w:cs="方正仿宋_GBK"/>
          <w:color w:val="000000" w:themeColor="text1"/>
          <w:sz w:val="32"/>
          <w:szCs w:val="32"/>
          <w14:textFill>
            <w14:solidFill>
              <w14:schemeClr w14:val="tx1"/>
            </w14:solidFill>
          </w14:textFill>
        </w:rPr>
        <w:t>人员工资晋级晋档及超额绩效工资</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（2）社会保障与就业支出</w:t>
      </w:r>
      <w:r>
        <w:rPr>
          <w:rFonts w:ascii="方正仿宋_GBK" w:hAnsi="方正仿宋_GBK" w:eastAsia="方正仿宋_GBK" w:cs="方正仿宋_GBK"/>
          <w:color w:val="000000" w:themeColor="text1"/>
          <w:sz w:val="32"/>
          <w:szCs w:val="32"/>
          <w14:textFill>
            <w14:solidFill>
              <w14:schemeClr w14:val="tx1"/>
            </w14:solidFill>
          </w14:textFill>
        </w:rPr>
        <w:t>14.09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8.58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%，较年初预算数增加0.62万元，增长4.60%，主要原因是人员调动，工资级别差异。</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（3）卫生健康支出</w:t>
      </w:r>
      <w:r>
        <w:rPr>
          <w:rFonts w:ascii="方正仿宋_GBK" w:hAnsi="方正仿宋_GBK" w:eastAsia="方正仿宋_GBK" w:cs="方正仿宋_GBK"/>
          <w:color w:val="000000" w:themeColor="text1"/>
          <w:sz w:val="32"/>
          <w:szCs w:val="32"/>
          <w14:textFill>
            <w14:solidFill>
              <w14:schemeClr w14:val="tx1"/>
            </w14:solidFill>
          </w14:textFill>
        </w:rPr>
        <w:t>5.48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3.34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%，较年初预算数减少0.13万元，下降2.32%，主要原因是人员调动，工资级别差异。</w:t>
      </w:r>
    </w:p>
    <w:p>
      <w:pPr>
        <w:ind w:firstLine="640"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（4）</w:t>
      </w:r>
      <w:r>
        <w:rPr>
          <w:rFonts w:ascii="方正仿宋_GBK" w:hAnsi="方正仿宋_GBK" w:eastAsia="方正仿宋_GBK" w:cs="方正仿宋_GBK"/>
          <w:color w:val="000000" w:themeColor="text1"/>
          <w:sz w:val="32"/>
          <w:szCs w:val="32"/>
          <w14:textFill>
            <w14:solidFill>
              <w14:schemeClr w14:val="tx1"/>
            </w14:solidFill>
          </w14:textFill>
        </w:rPr>
        <w:t>住房保障支出8.38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5.10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%，较年初预算数增加1.65万元，增长24.52%，主要原因是公积金缴纳基数增加。</w:t>
      </w:r>
    </w:p>
    <w:p>
      <w:pPr>
        <w:pStyle w:val="12"/>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（四）一般公共预算财政拨款基本支出决算情况说明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2023年度一般公共财政拨款基本支出</w:t>
      </w:r>
      <w:r>
        <w:rPr>
          <w:rFonts w:ascii="方正仿宋_GBK" w:hAnsi="方正仿宋_GBK" w:eastAsia="方正仿宋_GBK" w:cs="方正仿宋_GBK"/>
          <w:color w:val="000000" w:themeColor="text1"/>
          <w:sz w:val="32"/>
          <w:szCs w:val="32"/>
          <w14:textFill>
            <w14:solidFill>
              <w14:schemeClr w14:val="tx1"/>
            </w14:solidFill>
          </w14:textFill>
        </w:rPr>
        <w:t>164.24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万元。其中：人员经费</w:t>
      </w:r>
      <w:r>
        <w:rPr>
          <w:rFonts w:ascii="方正仿宋_GBK" w:hAnsi="方正仿宋_GBK" w:eastAsia="方正仿宋_GBK" w:cs="方正仿宋_GBK"/>
          <w:color w:val="000000" w:themeColor="text1"/>
          <w:sz w:val="32"/>
          <w:szCs w:val="32"/>
          <w14:textFill>
            <w14:solidFill>
              <w14:schemeClr w14:val="tx1"/>
            </w14:solidFill>
          </w14:textFill>
        </w:rPr>
        <w:t>148.27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万元，较上年决算数增加11.44万元，增长8.36%，主要原因是</w:t>
      </w:r>
      <w:r>
        <w:rPr>
          <w:rFonts w:ascii="方正仿宋_GBK" w:hAnsi="方正仿宋_GBK" w:eastAsia="方正仿宋_GBK" w:cs="方正仿宋_GBK"/>
          <w:color w:val="000000" w:themeColor="text1"/>
          <w:sz w:val="32"/>
          <w:szCs w:val="32"/>
          <w14:textFill>
            <w14:solidFill>
              <w14:schemeClr w14:val="tx1"/>
            </w14:solidFill>
          </w14:textFill>
        </w:rPr>
        <w:t>人员工资晋级晋档，预算增加超额绩效工资</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。人员经费用途主要包括基</w:t>
      </w:r>
      <w:r>
        <w:rPr>
          <w:rFonts w:ascii="方正仿宋_GBK" w:hAnsi="方正仿宋_GBK" w:eastAsia="方正仿宋_GBK" w:cs="方正仿宋_GBK"/>
          <w:color w:val="000000" w:themeColor="text1"/>
          <w:sz w:val="32"/>
          <w:szCs w:val="32"/>
          <w14:textFill>
            <w14:solidFill>
              <w14:schemeClr w14:val="tx1"/>
            </w14:solidFill>
          </w14:textFill>
        </w:rPr>
        <w:t>本工资、基础绩效工资、超额绩效工资、社会保障缴费、住房公积金、医疗费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。公用经费</w:t>
      </w:r>
      <w:r>
        <w:rPr>
          <w:rFonts w:ascii="方正仿宋_GBK" w:hAnsi="方正仿宋_GBK" w:eastAsia="方正仿宋_GBK" w:cs="方正仿宋_GBK"/>
          <w:color w:val="000000" w:themeColor="text1"/>
          <w:sz w:val="32"/>
          <w:szCs w:val="32"/>
          <w14:textFill>
            <w14:solidFill>
              <w14:schemeClr w14:val="tx1"/>
            </w14:solidFill>
          </w14:textFill>
        </w:rPr>
        <w:t>15.98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万元，较上年决算数增加3.31万元，增长26.12%，主要</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合署办公2023年拨付发改委工会经费3.47万元。公用经费用途主要包括</w:t>
      </w:r>
      <w:r>
        <w:rPr>
          <w:rFonts w:ascii="方正仿宋_GBK" w:hAnsi="方正仿宋_GBK" w:eastAsia="方正仿宋_GBK" w:cs="方正仿宋_GBK"/>
          <w:color w:val="000000" w:themeColor="text1"/>
          <w:sz w:val="32"/>
          <w:szCs w:val="32"/>
          <w14:textFill>
            <w14:solidFill>
              <w14:schemeClr w14:val="tx1"/>
            </w14:solidFill>
          </w14:textFill>
        </w:rPr>
        <w:t>办公费、差旅费、福利费、职工工作餐、工会经费等</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12"/>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（五）政府性基金预算收支决算情况说明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2023年度政府性基金预算财政拨款年初结转结余0.00万元，年末结转结余0.00万元。本年收入0.00万元，较上年决算数无增减，主要原因是本年度无政府性基金预算财政拨款收入。本年支出0.00万元，较上年决算数无增减，主要原因是本年度无政府性基金预算财政拨款支出。本单位2023年度无政府性基金预算财政拨款收支。</w:t>
      </w:r>
    </w:p>
    <w:p>
      <w:pPr>
        <w:pStyle w:val="12"/>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14:textFill>
            <w14:solidFill>
              <w14:schemeClr w14:val="tx1"/>
            </w14:solidFill>
          </w14:textFill>
        </w:rPr>
        <w:t>本单位2023年度无国有资本经营预算财政拨款支出。</w:t>
      </w:r>
    </w:p>
    <w:p>
      <w:pPr>
        <w:pStyle w:val="7"/>
        <w:shd w:val="clear" w:color="auto" w:fill="FFFFFF"/>
        <w:rPr>
          <w:rStyle w:val="11"/>
          <w:rFonts w:hint="default" w:ascii="黑体" w:hAnsi="黑体" w:eastAsia="黑体" w:cs="黑体"/>
          <w:color w:val="000000" w:themeColor="text1"/>
          <w:sz w:val="32"/>
          <w:szCs w:val="32"/>
          <w:shd w:val="clear" w:color="auto" w:fill="FFFFFF"/>
          <w14:textFill>
            <w14:solidFill>
              <w14:schemeClr w14:val="tx1"/>
            </w14:solidFill>
          </w14:textFill>
        </w:rPr>
      </w:pPr>
      <w:r>
        <w:rPr>
          <w:rStyle w:val="11"/>
          <w:rFonts w:ascii="黑体" w:hAnsi="黑体" w:eastAsia="黑体" w:cs="黑体"/>
          <w:color w:val="000000" w:themeColor="text1"/>
          <w:sz w:val="32"/>
          <w:szCs w:val="32"/>
          <w:shd w:val="clear" w:color="auto" w:fill="FFFFFF"/>
          <w14:textFill>
            <w14:solidFill>
              <w14:schemeClr w14:val="tx1"/>
            </w14:solidFill>
          </w14:textFill>
        </w:rPr>
        <w:t>三、“三公”经费情况说明</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（一）“三公”经费支出总体情况说明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2023年度“三公”经费支出共计0.00万元，较年初预算数无增减，主要原因是我单位2023年未发生“三公”经费支出。较上年支出数无增减，主要原因是我单位本年及上年均未发生“三公”经费支出。</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（二）“三公”经费分项支出情况</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公务车运行维护费0.00万元。费用支出较年初预算数无增减，主要原因是年初预算数未安排且本年未发生公务车运行维护费用。较上年支出数无增减，主要原因是上年和本年均未发生公务车运行维护费用。</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（三）“三公”经费实物量情况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7"/>
        <w:shd w:val="clear" w:color="auto" w:fill="FFFFFF"/>
        <w:ind w:firstLine="321" w:firstLineChars="100"/>
        <w:rPr>
          <w:rStyle w:val="11"/>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1"/>
          <w:rFonts w:ascii="黑体" w:hAnsi="黑体" w:eastAsia="黑体" w:cs="黑体"/>
          <w:color w:val="000000" w:themeColor="text1"/>
          <w:sz w:val="32"/>
          <w:szCs w:val="32"/>
          <w:shd w:val="clear" w:color="auto" w:fill="FFFFFF"/>
          <w14:textFill>
            <w14:solidFill>
              <w14:schemeClr w14:val="tx1"/>
            </w14:solidFill>
          </w14:textFill>
        </w:rPr>
        <w:t>四、其他需要说明的事项</w:t>
      </w:r>
    </w:p>
    <w:p>
      <w:pPr>
        <w:pStyle w:val="12"/>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  （一）财政拨款会议费和培训费情况说明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  </w:t>
      </w: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万元，较上年决算数无增减，主要原因是本年度未发生会议费，本年度培训费支出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万元，较上年决算数无变化，主要原因是本年度未发生培训费。</w:t>
      </w:r>
    </w:p>
    <w:p>
      <w:pPr>
        <w:pStyle w:val="12"/>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（二）机关运行经费情况说明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pPr>
        <w:pStyle w:val="12"/>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截至2023年12月31日，本部门共有车辆</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辆，其中，副部（省）级及以上领导用车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辆、主要负责人用车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辆、机要通信用车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辆、应急保障用车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辆、执法执勤用车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辆，特种专业技术用车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辆，离退休干部用车</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辆。单价100万元（含）以上专用设备</w:t>
      </w:r>
      <w:r>
        <w:rPr>
          <w:rFonts w:ascii="方正仿宋_GBK" w:hAnsi="方正仿宋_GBK" w:eastAsia="方正仿宋_GBK" w:cs="方正仿宋_GBK"/>
          <w:color w:val="000000" w:themeColor="text1"/>
          <w:sz w:val="32"/>
          <w:szCs w:val="32"/>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台（套）。</w:t>
      </w:r>
    </w:p>
    <w:p>
      <w:pPr>
        <w:pStyle w:val="12"/>
        <w:autoSpaceDE w:val="0"/>
        <w:ind w:firstLine="643"/>
        <w:rPr>
          <w:rFonts w:ascii="楷体" w:hAnsi="楷体" w:eastAsia="楷体" w:cs="楷体"/>
          <w:b/>
          <w:bCs/>
          <w:color w:val="000000" w:themeColor="text1"/>
          <w:sz w:val="32"/>
          <w:szCs w:val="32"/>
          <w:shd w:val="clear" w:color="auto" w:fill="FFFFFF"/>
          <w:lang w:bidi="ar"/>
          <w14:textFill>
            <w14:solidFill>
              <w14:schemeClr w14:val="tx1"/>
            </w14:solidFill>
          </w14:textFill>
        </w:rPr>
      </w:pPr>
      <w:r>
        <w:rPr>
          <w:rFonts w:hint="eastAsia" w:ascii="楷体" w:hAnsi="楷体" w:eastAsia="楷体" w:cs="楷体"/>
          <w:b/>
          <w:bCs/>
          <w:color w:val="000000" w:themeColor="text1"/>
          <w:sz w:val="32"/>
          <w:szCs w:val="32"/>
          <w:shd w:val="clear" w:color="auto" w:fill="FFFFFF"/>
          <w:lang w:bidi="ar"/>
          <w14:textFill>
            <w14:solidFill>
              <w14:schemeClr w14:val="tx1"/>
            </w14:solidFill>
          </w14:textFill>
        </w:rPr>
        <w:t>（四）政府采购支出情况说明</w:t>
      </w:r>
    </w:p>
    <w:p>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%。2023年度我单位未发生政府采购事项，无相关经费支出。</w:t>
      </w:r>
    </w:p>
    <w:p>
      <w:pPr>
        <w:pStyle w:val="7"/>
        <w:numPr>
          <w:ilvl w:val="0"/>
          <w:numId w:val="1"/>
        </w:numPr>
        <w:shd w:val="clear" w:color="auto" w:fill="FFFFFF"/>
        <w:rPr>
          <w:rStyle w:val="11"/>
          <w:rFonts w:hint="default" w:ascii="黑体" w:hAnsi="黑体" w:eastAsia="黑体" w:cs="黑体"/>
          <w:color w:val="000000" w:themeColor="text1"/>
          <w:sz w:val="32"/>
          <w:szCs w:val="32"/>
          <w:shd w:val="clear" w:color="auto" w:fill="FFFFFF"/>
          <w14:textFill>
            <w14:solidFill>
              <w14:schemeClr w14:val="tx1"/>
            </w14:solidFill>
          </w14:textFill>
        </w:rPr>
      </w:pPr>
      <w:r>
        <w:rPr>
          <w:rStyle w:val="11"/>
          <w:rFonts w:ascii="黑体" w:hAnsi="黑体" w:eastAsia="黑体" w:cs="黑体"/>
          <w:color w:val="000000" w:themeColor="text1"/>
          <w:sz w:val="32"/>
          <w:szCs w:val="32"/>
          <w:shd w:val="clear" w:color="auto" w:fill="FFFFFF"/>
          <w14:textFill>
            <w14:solidFill>
              <w14:schemeClr w14:val="tx1"/>
            </w14:solidFill>
          </w14:textFill>
        </w:rPr>
        <w:t>预算绩效管理情况说明</w:t>
      </w:r>
    </w:p>
    <w:p>
      <w:pPr>
        <w:pStyle w:val="7"/>
        <w:snapToGrid w:val="0"/>
        <w:spacing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（一）单位自评情况</w:t>
      </w:r>
    </w:p>
    <w:p>
      <w:pPr>
        <w:pStyle w:val="7"/>
        <w:snapToGrid w:val="0"/>
        <w:spacing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根据预算绩效管理要求，我单位为下属单位，</w:t>
      </w:r>
      <w:r>
        <w:rPr>
          <w:rFonts w:hint="default" w:ascii="方正仿宋_GBK" w:hAnsi="方正仿宋_GBK" w:eastAsia="方正仿宋_GBK" w:cs="方正仿宋_GBK"/>
          <w:sz w:val="32"/>
          <w:szCs w:val="32"/>
          <w:shd w:val="clear" w:color="auto" w:fill="FFFFFF"/>
        </w:rPr>
        <w:t>2023年未开展项目自评，涉及项目支出资金0万元。</w:t>
      </w:r>
    </w:p>
    <w:p>
      <w:pPr>
        <w:pStyle w:val="7"/>
        <w:snapToGrid w:val="0"/>
        <w:spacing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（二）单位绩效评价情况</w:t>
      </w:r>
    </w:p>
    <w:p>
      <w:pPr>
        <w:pStyle w:val="7"/>
        <w:snapToGrid w:val="0"/>
        <w:spacing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我单位未组织开展绩效评价。</w:t>
      </w:r>
    </w:p>
    <w:p>
      <w:pPr>
        <w:pStyle w:val="7"/>
        <w:snapToGrid w:val="0"/>
        <w:spacing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（三）财政绩效评价情况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pStyle w:val="7"/>
        <w:numPr>
          <w:ilvl w:val="0"/>
          <w:numId w:val="1"/>
        </w:numPr>
        <w:shd w:val="clear" w:color="auto" w:fill="FFFFFF"/>
        <w:rPr>
          <w:rStyle w:val="11"/>
          <w:rFonts w:hint="default" w:ascii="黑体" w:hAnsi="黑体" w:eastAsia="黑体" w:cs="黑体"/>
          <w:color w:val="000000" w:themeColor="text1"/>
          <w:sz w:val="32"/>
          <w:szCs w:val="32"/>
          <w:shd w:val="clear" w:color="auto" w:fill="FFFFFF"/>
          <w14:textFill>
            <w14:solidFill>
              <w14:schemeClr w14:val="tx1"/>
            </w14:solidFill>
          </w14:textFill>
        </w:rPr>
      </w:pPr>
      <w:r>
        <w:rPr>
          <w:rStyle w:val="11"/>
          <w:rFonts w:ascii="黑体" w:hAnsi="黑体" w:eastAsia="黑体" w:cs="黑体"/>
          <w:color w:val="000000" w:themeColor="text1"/>
          <w:sz w:val="32"/>
          <w:szCs w:val="32"/>
          <w:shd w:val="clear" w:color="auto" w:fill="FFFFFF"/>
          <w14:textFill>
            <w14:solidFill>
              <w14:schemeClr w14:val="tx1"/>
            </w14:solidFill>
          </w14:textFill>
        </w:rPr>
        <w:t>专业名词解释</w:t>
      </w:r>
    </w:p>
    <w:p>
      <w:pPr>
        <w:pStyle w:val="7"/>
        <w:shd w:val="clear" w:color="auto" w:fill="FFFFFF"/>
        <w:ind w:firstLine="642" w:firstLineChars="200"/>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b/>
          <w:bCs/>
          <w:color w:val="000000" w:themeColor="text1"/>
          <w:sz w:val="32"/>
          <w:szCs w:val="32"/>
          <w:shd w:val="clear" w:color="auto" w:fill="FFFFFF"/>
          <w:lang w:bidi="ar"/>
          <w14:textFill>
            <w14:solidFill>
              <w14:schemeClr w14:val="tx1"/>
            </w14:solidFill>
          </w14:textFill>
        </w:rPr>
        <w:t> </w:t>
      </w:r>
      <w:r>
        <w:rPr>
          <w:rFonts w:ascii="楷体" w:hAnsi="楷体" w:eastAsia="楷体" w:cs="楷体"/>
          <w:b/>
          <w:bCs/>
          <w:color w:val="000000" w:themeColor="text1"/>
          <w:sz w:val="32"/>
          <w:szCs w:val="32"/>
          <w:shd w:val="clear" w:color="auto" w:fill="FFFFFF"/>
          <w:lang w:bidi="ar"/>
          <w14:textFill>
            <w14:solidFill>
              <w14:schemeClr w14:val="tx1"/>
            </w14:solidFill>
          </w14:textFill>
        </w:rPr>
        <w:t>（一）财政拨款收入：</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指本年度从本级财政部门取得的财政拨款，包括一般公共预算财政拨款和政府性基金预算财政拨款。</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1"/>
          <w:rFonts w:ascii="楷体" w:hAnsi="楷体" w:eastAsia="楷体" w:cs="楷体"/>
          <w:color w:val="000000" w:themeColor="text1"/>
          <w:sz w:val="32"/>
          <w:szCs w:val="32"/>
          <w:shd w:val="clear" w:color="auto" w:fill="FFFFFF"/>
          <w14:textFill>
            <w14:solidFill>
              <w14:schemeClr w14:val="tx1"/>
            </w14:solidFill>
          </w14:textFill>
        </w:rPr>
        <w:t>（二）事业收入</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指事业单位开展专业业务活动及其辅助活动取得的现金流入；事业单位收到的财政专户实际核拨的教育收费等资金在此反映。</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1"/>
          <w:rFonts w:ascii="楷体" w:hAnsi="楷体" w:eastAsia="楷体" w:cs="楷体"/>
          <w:color w:val="000000" w:themeColor="text1"/>
          <w:sz w:val="32"/>
          <w:szCs w:val="32"/>
          <w:shd w:val="clear" w:color="auto" w:fill="FFFFFF"/>
          <w14:textFill>
            <w14:solidFill>
              <w14:schemeClr w14:val="tx1"/>
            </w14:solidFill>
          </w14:textFill>
        </w:rPr>
        <w:t>（三）经营收入</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指事业单位在专业业务活动及其辅助活动之外开展非独立核算经营活动取得的现金流入。</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1"/>
          <w:rFonts w:ascii="楷体" w:hAnsi="楷体" w:eastAsia="楷体" w:cs="楷体"/>
          <w:color w:val="000000" w:themeColor="text1"/>
          <w:sz w:val="32"/>
          <w:szCs w:val="32"/>
          <w:shd w:val="clear" w:color="auto" w:fill="FFFFFF"/>
          <w14:textFill>
            <w14:solidFill>
              <w14:schemeClr w14:val="tx1"/>
            </w14:solidFill>
          </w14:textFill>
        </w:rPr>
        <w:t>（四）其他收入</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楷体" w:hAnsi="楷体" w:eastAsia="楷体" w:cs="楷体"/>
          <w:color w:val="000000" w:themeColor="text1"/>
          <w:sz w:val="32"/>
          <w:szCs w:val="32"/>
          <w:shd w:val="clear" w:color="auto" w:fill="FFFFFF"/>
          <w14:textFill>
            <w14:solidFill>
              <w14:schemeClr w14:val="tx1"/>
            </w14:solidFill>
          </w14:textFill>
        </w:rPr>
        <w:t>（五）使用非财政拨款结余</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指单位在当年的“财政拨款收入”、“事业收入”、“经营收入”、“其他收入”等不足以安排当年支出的情况下，使用以前年度积累的非财政拨款结余弥补本年度收支缺口的资金。</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1"/>
          <w:rFonts w:ascii="楷体" w:hAnsi="楷体" w:eastAsia="楷体" w:cs="楷体"/>
          <w:color w:val="000000" w:themeColor="text1"/>
          <w:sz w:val="32"/>
          <w:szCs w:val="32"/>
          <w:shd w:val="clear" w:color="auto" w:fill="FFFFFF"/>
          <w14:textFill>
            <w14:solidFill>
              <w14:schemeClr w14:val="tx1"/>
            </w14:solidFill>
          </w14:textFill>
        </w:rPr>
        <w:t>（六）年初结转和结余</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指单位上年结转本年使用的基本支出结转、项目支出结转和结余、经营结余。</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1"/>
          <w:rFonts w:ascii="楷体" w:hAnsi="楷体" w:eastAsia="楷体" w:cs="楷体"/>
          <w:color w:val="000000" w:themeColor="text1"/>
          <w:sz w:val="32"/>
          <w:szCs w:val="32"/>
          <w:shd w:val="clear" w:color="auto" w:fill="FFFFFF"/>
          <w14:textFill>
            <w14:solidFill>
              <w14:schemeClr w14:val="tx1"/>
            </w14:solidFill>
          </w14:textFill>
        </w:rPr>
        <w:t>（七）结余分配</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指单位按照国家有关规定，缴纳所得税、提取专用基金、转入非财政拨款结余等当年结余的分配情况。</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1"/>
          <w:rFonts w:ascii="楷体" w:hAnsi="楷体" w:eastAsia="楷体" w:cs="楷体"/>
          <w:color w:val="000000" w:themeColor="text1"/>
          <w:sz w:val="32"/>
          <w:szCs w:val="32"/>
          <w:shd w:val="clear" w:color="auto" w:fill="FFFFFF"/>
          <w14:textFill>
            <w14:solidFill>
              <w14:schemeClr w14:val="tx1"/>
            </w14:solidFill>
          </w14:textFill>
        </w:rPr>
        <w:t>（八）年末结转和结余</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指单位结转下年的基本支出结转、项目支出结转和结余、经营结余。</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1"/>
          <w:rFonts w:ascii="楷体" w:hAnsi="楷体" w:eastAsia="楷体" w:cs="楷体"/>
          <w:color w:val="000000" w:themeColor="text1"/>
          <w:sz w:val="32"/>
          <w:szCs w:val="32"/>
          <w:shd w:val="clear" w:color="auto" w:fill="FFFFFF"/>
          <w14:textFill>
            <w14:solidFill>
              <w14:schemeClr w14:val="tx1"/>
            </w14:solidFill>
          </w14:textFill>
        </w:rPr>
        <w:t>（九）基本支出</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1"/>
          <w:rFonts w:ascii="楷体" w:hAnsi="楷体" w:eastAsia="楷体" w:cs="楷体"/>
          <w:color w:val="000000" w:themeColor="text1"/>
          <w:sz w:val="32"/>
          <w:szCs w:val="32"/>
          <w:shd w:val="clear" w:color="auto" w:fill="FFFFFF"/>
          <w14:textFill>
            <w14:solidFill>
              <w14:schemeClr w14:val="tx1"/>
            </w14:solidFill>
          </w14:textFill>
        </w:rPr>
        <w:t>（十）项目支出</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指在基本支出之外为完成特定行政任务和事业发展目标所发生的支出。</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1"/>
          <w:rFonts w:ascii="楷体" w:hAnsi="楷体" w:eastAsia="楷体" w:cs="楷体"/>
          <w:color w:val="000000" w:themeColor="text1"/>
          <w:sz w:val="32"/>
          <w:szCs w:val="32"/>
          <w:shd w:val="clear" w:color="auto" w:fill="FFFFFF"/>
          <w14:textFill>
            <w14:solidFill>
              <w14:schemeClr w14:val="tx1"/>
            </w14:solidFill>
          </w14:textFill>
        </w:rPr>
        <w:t>（十一）经营支出</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指事业单位在专业业务活动及其辅助活动之外开展非独立核算经营活动发生的支出。</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1"/>
          <w:rFonts w:ascii="楷体" w:hAnsi="楷体" w:eastAsia="楷体" w:cs="楷体"/>
          <w:color w:val="000000" w:themeColor="text1"/>
          <w:sz w:val="32"/>
          <w:szCs w:val="32"/>
          <w:shd w:val="clear" w:color="auto" w:fill="FFFFFF"/>
          <w14:textFill>
            <w14:solidFill>
              <w14:schemeClr w14:val="tx1"/>
            </w14:solidFill>
          </w14:textFill>
        </w:rPr>
        <w:t>（十二）“三公”经费</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1"/>
          <w:rFonts w:ascii="楷体" w:hAnsi="楷体" w:eastAsia="楷体" w:cs="楷体"/>
          <w:color w:val="000000" w:themeColor="text1"/>
          <w:sz w:val="32"/>
          <w:szCs w:val="32"/>
          <w:shd w:val="clear" w:color="auto" w:fill="FFFFFF"/>
          <w14:textFill>
            <w14:solidFill>
              <w14:schemeClr w14:val="tx1"/>
            </w14:solidFill>
          </w14:textFill>
        </w:rPr>
        <w:t>（十三）机关运行经费</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1"/>
          <w:rFonts w:ascii="楷体" w:hAnsi="楷体" w:eastAsia="楷体" w:cs="楷体"/>
          <w:color w:val="000000" w:themeColor="text1"/>
          <w:sz w:val="32"/>
          <w:szCs w:val="32"/>
          <w:shd w:val="clear" w:color="auto" w:fill="FFFFFF"/>
          <w14:textFill>
            <w14:solidFill>
              <w14:schemeClr w14:val="tx1"/>
            </w14:solidFill>
          </w14:textFill>
        </w:rPr>
        <w:t>（十四）工资福利支出（支出经济分类科目类级）</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反映单位开支的在职职工和编制外长期聘用人员的各类劳动报酬，以及为上述人员缴纳的各项社会保险费等。</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1"/>
          <w:rFonts w:ascii="楷体" w:hAnsi="楷体" w:eastAsia="楷体" w:cs="楷体"/>
          <w:color w:val="000000" w:themeColor="text1"/>
          <w:sz w:val="32"/>
          <w:szCs w:val="32"/>
          <w:shd w:val="clear" w:color="auto" w:fill="FFFFFF"/>
          <w14:textFill>
            <w14:solidFill>
              <w14:schemeClr w14:val="tx1"/>
            </w14:solidFill>
          </w14:textFill>
        </w:rPr>
        <w:t>（十五）商品和服务支出（支出经济分类科目类级）</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反映单位购买商品和服务的支出（不包括用于购置固定资产的支出、战略性和应急储备支出）。</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楷体" w:hAnsi="楷体" w:eastAsia="楷体" w:cs="楷体"/>
          <w:color w:val="000000" w:themeColor="text1"/>
          <w:sz w:val="32"/>
          <w:szCs w:val="32"/>
          <w:shd w:val="clear" w:color="auto" w:fill="FFFFFF"/>
          <w14:textFill>
            <w14:solidFill>
              <w14:schemeClr w14:val="tx1"/>
            </w14:solidFill>
          </w14:textFill>
        </w:rPr>
        <w:t> （十六）对个人和家庭的补助（支出经济分类科目类级）</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反映用于对个人和家庭的补助支出。</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 </w:t>
      </w:r>
      <w:r>
        <w:rPr>
          <w:rStyle w:val="11"/>
          <w:rFonts w:ascii="楷体" w:hAnsi="楷体" w:eastAsia="楷体" w:cs="楷体"/>
          <w:color w:val="000000" w:themeColor="text1"/>
          <w:sz w:val="32"/>
          <w:szCs w:val="32"/>
          <w:shd w:val="clear" w:color="auto" w:fill="FFFFFF"/>
          <w14:textFill>
            <w14:solidFill>
              <w14:schemeClr w14:val="tx1"/>
            </w14:solidFill>
          </w14:textFill>
        </w:rPr>
        <w:t>（十七）其他资本性支出（支出经济分类科目类级）</w:t>
      </w:r>
      <w:r>
        <w:rPr>
          <w:rFonts w:ascii="楷体" w:hAnsi="楷体" w:eastAsia="楷体" w:cs="楷体"/>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反映非各级发展与改革部门集中安排的用于购置固定资产、战略性和应急性储备、土地和无形资产，以及构建基础设施、大型修缮和财政支持企业更新改造所发生的支出。</w:t>
      </w:r>
    </w:p>
    <w:p>
      <w:pPr>
        <w:pStyle w:val="7"/>
        <w:shd w:val="clear" w:color="auto" w:fill="FFFFFF"/>
        <w:rPr>
          <w:rStyle w:val="11"/>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  </w:t>
      </w:r>
      <w:r>
        <w:rPr>
          <w:rStyle w:val="11"/>
          <w:rFonts w:ascii="黑体" w:hAnsi="黑体" w:eastAsia="黑体" w:cs="黑体"/>
          <w:color w:val="000000" w:themeColor="text1"/>
          <w:sz w:val="32"/>
          <w:szCs w:val="32"/>
          <w:shd w:val="clear" w:color="auto" w:fill="FFFFFF"/>
          <w14:textFill>
            <w14:solidFill>
              <w14:schemeClr w14:val="tx1"/>
            </w14:solidFill>
          </w14:textFill>
        </w:rPr>
        <w:t>七、决算公开联系方式及信息反馈渠道</w:t>
      </w:r>
    </w:p>
    <w:p>
      <w:pPr>
        <w:pStyle w:val="13"/>
        <w:autoSpaceDE w:val="0"/>
        <w:spacing w:before="0" w:beforeAutospacing="0" w:after="0" w:afterAutospacing="0" w:line="594" w:lineRule="exact"/>
        <w:ind w:firstLine="320" w:firstLineChars="100"/>
        <w:rPr>
          <w:rFonts w:ascii="Times New Roman" w:hAnsi="Times New Roman" w:eastAsia="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本单位决算公开信息反馈和联系方式：马老师</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023-74529950</w:t>
      </w:r>
    </w:p>
    <w:p>
      <w:pPr>
        <w:pStyle w:val="13"/>
        <w:autoSpaceDE w:val="0"/>
        <w:spacing w:before="0" w:beforeAutospacing="0" w:after="0" w:afterAutospacing="0" w:line="594" w:lineRule="exact"/>
        <w:ind w:firstLine="640" w:firstLineChars="200"/>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p>
    <w:p>
      <w:pPr>
        <w:pStyle w:val="12"/>
        <w:autoSpaceDE w:val="0"/>
        <w:ind w:firstLine="0" w:firstLineChars="0"/>
        <w:rPr>
          <w:rStyle w:val="11"/>
          <w:rFonts w:ascii="方正仿宋_GBK" w:hAnsi="方正仿宋_GBK" w:eastAsia="方正仿宋_GBK" w:cs="方正仿宋_GBK"/>
          <w:color w:val="000000" w:themeColor="text1"/>
          <w:sz w:val="32"/>
          <w:szCs w:val="32"/>
          <w:shd w:val="clear" w:color="auto" w:fill="FFFF00"/>
          <w14:textFill>
            <w14:solidFill>
              <w14:schemeClr w14:val="tx1"/>
            </w14:solidFill>
          </w14:textFill>
        </w:rPr>
      </w:pPr>
    </w:p>
    <w:p>
      <w:pPr>
        <w:pStyle w:val="12"/>
        <w:autoSpaceDE w:val="0"/>
        <w:ind w:firstLine="0" w:firstLineChars="0"/>
        <w:rPr>
          <w:rStyle w:val="11"/>
          <w:rFonts w:ascii="方正仿宋_GBK" w:hAnsi="方正仿宋_GBK" w:eastAsia="方正仿宋_GBK" w:cs="方正仿宋_GBK"/>
          <w:color w:val="000000" w:themeColor="text1"/>
          <w:sz w:val="32"/>
          <w:szCs w:val="32"/>
          <w:shd w:val="clear" w:color="auto" w:fill="FFFF00"/>
          <w14:textFill>
            <w14:solidFill>
              <w14:schemeClr w14:val="tx1"/>
            </w14:solidFill>
          </w14:textFill>
        </w:rPr>
      </w:pPr>
    </w:p>
    <w:p>
      <w:pPr>
        <w:pStyle w:val="12"/>
        <w:autoSpaceDE w:val="0"/>
        <w:ind w:firstLine="0" w:firstLineChars="0"/>
        <w:rPr>
          <w:rStyle w:val="11"/>
          <w:rFonts w:ascii="方正仿宋_GBK" w:hAnsi="方正仿宋_GBK" w:eastAsia="方正仿宋_GBK" w:cs="方正仿宋_GBK"/>
          <w:color w:val="000000" w:themeColor="text1"/>
          <w:sz w:val="32"/>
          <w:szCs w:val="32"/>
          <w:shd w:val="clear" w:color="auto" w:fill="FFFF00"/>
          <w14:textFill>
            <w14:solidFill>
              <w14:schemeClr w14:val="tx1"/>
            </w14:solidFill>
          </w14:textFill>
        </w:rPr>
      </w:pPr>
    </w:p>
    <w:p>
      <w:pPr>
        <w:pStyle w:val="12"/>
        <w:autoSpaceDE w:val="0"/>
        <w:ind w:firstLine="0" w:firstLineChars="0"/>
        <w:rPr>
          <w:rStyle w:val="11"/>
          <w:rFonts w:ascii="方正仿宋_GBK" w:hAnsi="方正仿宋_GBK" w:eastAsia="方正仿宋_GBK" w:cs="方正仿宋_GBK"/>
          <w:color w:val="000000" w:themeColor="text1"/>
          <w:sz w:val="32"/>
          <w:szCs w:val="32"/>
          <w:shd w:val="clear" w:color="auto" w:fill="FFFF00"/>
          <w14:textFill>
            <w14:solidFill>
              <w14:schemeClr w14:val="tx1"/>
            </w14:solidFill>
          </w14:textFill>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default" w:cs="宋体"/>
          <w:color w:val="000000" w:themeColor="text1"/>
          <w:sz w:val="21"/>
          <w:szCs w:val="21"/>
          <w14:textFill>
            <w14:solidFill>
              <w14:schemeClr w14:val="tx1"/>
            </w14:solidFill>
          </w14:textFill>
        </w:rPr>
      </w:pPr>
    </w:p>
    <w:tbl>
      <w:tblPr>
        <w:tblStyle w:val="8"/>
        <w:tblW w:w="22292" w:type="dxa"/>
        <w:tblInd w:w="0" w:type="dxa"/>
        <w:tblLayout w:type="fixed"/>
        <w:tblCellMar>
          <w:top w:w="0" w:type="dxa"/>
          <w:left w:w="0" w:type="dxa"/>
          <w:bottom w:w="0" w:type="dxa"/>
          <w:right w:w="0" w:type="dxa"/>
        </w:tblCellMar>
      </w:tblPr>
      <w:tblGrid>
        <w:gridCol w:w="6581"/>
        <w:gridCol w:w="4358"/>
        <w:gridCol w:w="7536"/>
        <w:gridCol w:w="3817"/>
      </w:tblGrid>
      <w:tr>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themeColor="text1"/>
                <w:sz w:val="40"/>
                <w:szCs w:val="40"/>
                <w14:textFill>
                  <w14:solidFill>
                    <w14:schemeClr w14:val="tx1"/>
                  </w14:solidFill>
                </w14:textFill>
              </w:rPr>
            </w:pPr>
            <w:r>
              <w:rPr>
                <w:rFonts w:cs="宋体"/>
                <w:b/>
                <w:color w:val="000000" w:themeColor="text1"/>
                <w:sz w:val="44"/>
                <w:szCs w:val="44"/>
                <w:lang w:bidi="ar"/>
                <w14:textFill>
                  <w14:solidFill>
                    <w14:schemeClr w14:val="tx1"/>
                  </w14:solidFill>
                </w14:textFill>
              </w:rPr>
              <w:t>收入支出决算总表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0"/>
                <w:szCs w:val="20"/>
                <w14:textFill>
                  <w14:solidFill>
                    <w14:schemeClr w14:val="tx1"/>
                  </w14:solidFill>
                </w14:textFill>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公开01表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cs="宋体"/>
                <w:color w:val="000000" w:themeColor="text1"/>
                <w14:textFill>
                  <w14:solidFill>
                    <w14:schemeClr w14:val="tx1"/>
                  </w14:solidFill>
                </w14:textFill>
              </w:rPr>
            </w:pPr>
            <w:r>
              <w:rPr>
                <w:rFonts w:cs="宋体"/>
                <w:color w:val="000000" w:themeColor="text1"/>
                <w14:textFill>
                  <w14:solidFill>
                    <w14:schemeClr w14:val="tx1"/>
                  </w14:solidFill>
                </w14:textFill>
              </w:rPr>
              <w:t>公开单位：垫江县经济信息中心（垫江县推动融入成渝地区双城经济圈建设服务中心）</w:t>
            </w: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2"/>
                <w:szCs w:val="22"/>
                <w14:textFill>
                  <w14:solidFill>
                    <w14:schemeClr w14:val="tx1"/>
                  </w14:solidFill>
                </w14:textFill>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单位：</w:t>
            </w:r>
            <w:r>
              <w:rPr>
                <w:rFonts w:cs="宋体"/>
                <w:color w:val="000000" w:themeColor="text1"/>
                <w14:textFill>
                  <w14:solidFill>
                    <w14:schemeClr w14:val="tx1"/>
                  </w14:solidFill>
                </w14:textFill>
              </w:rPr>
              <w:t>万元</w:t>
            </w:r>
          </w:p>
        </w:tc>
      </w:tr>
      <w:tr>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支出</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决算数</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164.24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136.29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14.09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0"/>
                <w:szCs w:val="20"/>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5.48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0"/>
                <w:szCs w:val="20"/>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0"/>
                <w:szCs w:val="20"/>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0"/>
                <w:szCs w:val="20"/>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8.38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164.24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164.24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1.26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1.26 </w:t>
            </w:r>
          </w:p>
        </w:tc>
      </w:tr>
      <w:tr>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165.50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165.50 </w:t>
            </w:r>
          </w:p>
        </w:tc>
      </w:tr>
    </w:tbl>
    <w:p>
      <w:pPr>
        <w:rPr>
          <w:rFonts w:hint="default" w:cs="宋体"/>
          <w:color w:val="000000" w:themeColor="text1"/>
          <w:sz w:val="21"/>
          <w:szCs w:val="21"/>
          <w:lang w:bidi="ar"/>
          <w14:textFill>
            <w14:solidFill>
              <w14:schemeClr w14:val="tx1"/>
            </w14:solidFill>
          </w14:textFill>
        </w:rPr>
      </w:pPr>
      <w:r>
        <w:rPr>
          <w:rFonts w:cs="宋体"/>
          <w:color w:val="000000" w:themeColor="text1"/>
          <w:sz w:val="21"/>
          <w:szCs w:val="21"/>
          <w:lang w:bidi="ar"/>
          <w14:textFill>
            <w14:solidFill>
              <w14:schemeClr w14:val="tx1"/>
            </w14:solidFill>
          </w14:textFill>
        </w:rPr>
        <w:t>备注：1.本表反映单位本年度的总收支和年末结转结余情况。</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lang w:bidi="ar"/>
          <w14:textFill>
            <w14:solidFill>
              <w14:schemeClr w14:val="tx1"/>
            </w14:solidFill>
          </w14:textFill>
        </w:rPr>
        <w:t xml:space="preserve">      2.本套报表金额单位转换时可能存在尾数误差。</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14:textFill>
            <w14:solidFill>
              <w14:schemeClr w14:val="tx1"/>
            </w14:solidFill>
          </w14:textFill>
        </w:rPr>
        <w:br w:type="textWrapping"/>
      </w:r>
    </w:p>
    <w:p>
      <w:pPr>
        <w:rPr>
          <w:rFonts w:hint="default" w:cs="宋体"/>
          <w:color w:val="000000" w:themeColor="text1"/>
          <w:sz w:val="21"/>
          <w:szCs w:val="21"/>
          <w:lang w:bidi="ar"/>
          <w14:textFill>
            <w14:solidFill>
              <w14:schemeClr w14:val="tx1"/>
            </w14:solidFill>
          </w14:textFill>
        </w:rPr>
      </w:pPr>
      <w:r>
        <w:rPr>
          <w:rFonts w:cs="宋体"/>
          <w:color w:val="000000" w:themeColor="text1"/>
          <w:sz w:val="21"/>
          <w:szCs w:val="21"/>
          <w:lang w:bidi="ar"/>
          <w14:textFill>
            <w14:solidFill>
              <w14:schemeClr w14:val="tx1"/>
            </w14:solidFill>
          </w14:textFill>
        </w:rPr>
        <w:br w:type="page"/>
      </w:r>
    </w:p>
    <w:p>
      <w:pPr>
        <w:rPr>
          <w:rFonts w:hint="default" w:cs="宋体"/>
          <w:color w:val="000000" w:themeColor="text1"/>
          <w:sz w:val="21"/>
          <w:szCs w:val="21"/>
          <w:lang w:bidi="ar"/>
          <w14:textFill>
            <w14:solidFill>
              <w14:schemeClr w14:val="tx1"/>
            </w14:solidFill>
          </w14:textFill>
        </w:rPr>
      </w:pPr>
    </w:p>
    <w:tbl>
      <w:tblPr>
        <w:tblStyle w:val="8"/>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themeColor="text1"/>
                <w:sz w:val="40"/>
                <w:szCs w:val="40"/>
                <w14:textFill>
                  <w14:solidFill>
                    <w14:schemeClr w14:val="tx1"/>
                  </w14:solidFill>
                </w14:textFill>
              </w:rPr>
            </w:pPr>
            <w:r>
              <w:rPr>
                <w:rFonts w:cs="宋体"/>
                <w:b/>
                <w:color w:val="000000" w:themeColor="text1"/>
                <w:sz w:val="44"/>
                <w:szCs w:val="44"/>
                <w:lang w:bidi="ar"/>
                <w14:textFill>
                  <w14:solidFill>
                    <w14:schemeClr w14:val="tx1"/>
                  </w14:solidFill>
                </w14:textFill>
              </w:rPr>
              <w:t>收入决算表</w:t>
            </w:r>
          </w:p>
        </w:tc>
      </w:tr>
      <w:tr>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r>
              <w:rPr>
                <w:rFonts w:cs="宋体"/>
                <w:color w:val="000000" w:themeColor="text1"/>
                <w14:textFill>
                  <w14:solidFill>
                    <w14:schemeClr w14:val="tx1"/>
                  </w14:solidFill>
                </w14:textFill>
              </w:rPr>
              <w:t>公开单位：垫江县经济信息中心（垫江县推动融入成渝地区双城经济圈建设服务中心）</w:t>
            </w: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公开02表</w:t>
            </w:r>
          </w:p>
        </w:tc>
      </w:tr>
      <w:tr>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单位：</w:t>
            </w:r>
            <w:r>
              <w:rPr>
                <w:rFonts w:cs="宋体"/>
                <w:color w:val="000000" w:themeColor="text1"/>
                <w14:textFill>
                  <w14:solidFill>
                    <w14:schemeClr w14:val="tx1"/>
                  </w14:solidFill>
                </w14:textFill>
              </w:rPr>
              <w:t>万元</w:t>
            </w:r>
          </w:p>
        </w:tc>
      </w:tr>
      <w:tr>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其他收入</w:t>
            </w:r>
          </w:p>
        </w:tc>
      </w:tr>
      <w:tr>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164.24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164.24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136.29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136.29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20104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发展与改革事务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136.29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136.29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2010450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136.29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136.29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14.09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14.09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14.09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14.09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9.39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9.39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4.70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4.70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5.48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5.48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5.48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5.48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2101102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5.48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5.48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8.38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8.38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8.38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8.38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8.38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8.38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bl>
    <w:p>
      <w:pPr>
        <w:ind w:left="630" w:hanging="630" w:hangingChars="300"/>
        <w:rPr>
          <w:rFonts w:hint="default" w:cs="宋体"/>
          <w:color w:val="000000" w:themeColor="text1"/>
          <w:sz w:val="21"/>
          <w:szCs w:val="21"/>
          <w:lang w:bidi="ar"/>
          <w14:textFill>
            <w14:solidFill>
              <w14:schemeClr w14:val="tx1"/>
            </w14:solidFill>
          </w14:textFill>
        </w:rPr>
      </w:pPr>
      <w:r>
        <w:rPr>
          <w:rFonts w:cs="宋体"/>
          <w:color w:val="000000" w:themeColor="text1"/>
          <w:sz w:val="21"/>
          <w:szCs w:val="21"/>
          <w:lang w:bidi="ar"/>
          <w14:textFill>
            <w14:solidFill>
              <w14:schemeClr w14:val="tx1"/>
            </w14:solidFill>
          </w14:textFill>
        </w:rPr>
        <w:t>备注：1.本表反映单位本年度取得的各项收入情况。</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lang w:bidi="ar"/>
          <w14:textFill>
            <w14:solidFill>
              <w14:schemeClr w14:val="tx1"/>
            </w14:solidFill>
          </w14:textFill>
        </w:rPr>
        <w:t>2.本套报表金额单位转换时可能存在尾数误差。</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lang w:bidi="ar"/>
          <w14:textFill>
            <w14:solidFill>
              <w14:schemeClr w14:val="tx1"/>
            </w14:solidFill>
          </w14:textFill>
        </w:rPr>
        <w:br w:type="textWrapping"/>
      </w:r>
    </w:p>
    <w:p>
      <w:pPr>
        <w:rPr>
          <w:rFonts w:hint="default" w:cs="宋体"/>
          <w:color w:val="000000" w:themeColor="text1"/>
          <w:sz w:val="21"/>
          <w:szCs w:val="21"/>
          <w:lang w:bidi="ar"/>
          <w14:textFill>
            <w14:solidFill>
              <w14:schemeClr w14:val="tx1"/>
            </w14:solidFill>
          </w14:textFill>
        </w:rPr>
      </w:pPr>
      <w:r>
        <w:rPr>
          <w:rFonts w:cs="宋体"/>
          <w:color w:val="000000" w:themeColor="text1"/>
          <w:sz w:val="21"/>
          <w:szCs w:val="21"/>
          <w:lang w:bidi="ar"/>
          <w14:textFill>
            <w14:solidFill>
              <w14:schemeClr w14:val="tx1"/>
            </w14:solidFill>
          </w14:textFill>
        </w:rPr>
        <w:br w:type="page"/>
      </w:r>
    </w:p>
    <w:p>
      <w:pPr>
        <w:ind w:left="630" w:hanging="630" w:hangingChars="300"/>
        <w:rPr>
          <w:rFonts w:hint="default" w:cs="宋体"/>
          <w:color w:val="000000" w:themeColor="text1"/>
          <w:sz w:val="21"/>
          <w:szCs w:val="21"/>
          <w:lang w:bidi="ar"/>
          <w14:textFill>
            <w14:solidFill>
              <w14:schemeClr w14:val="tx1"/>
            </w14:solidFill>
          </w14:textFill>
        </w:rPr>
      </w:pPr>
    </w:p>
    <w:tbl>
      <w:tblPr>
        <w:tblStyle w:val="8"/>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themeColor="text1"/>
                <w:sz w:val="40"/>
                <w:szCs w:val="40"/>
                <w14:textFill>
                  <w14:solidFill>
                    <w14:schemeClr w14:val="tx1"/>
                  </w14:solidFill>
                </w14:textFill>
              </w:rPr>
            </w:pPr>
            <w:r>
              <w:rPr>
                <w:rFonts w:cs="宋体"/>
                <w:b/>
                <w:color w:val="000000" w:themeColor="text1"/>
                <w:sz w:val="44"/>
                <w:szCs w:val="44"/>
                <w:lang w:bidi="ar"/>
                <w14:textFill>
                  <w14:solidFill>
                    <w14:schemeClr w14:val="tx1"/>
                  </w14:solidFill>
                </w14:textFill>
              </w:rPr>
              <w:t>支出决算表</w:t>
            </w:r>
          </w:p>
        </w:tc>
      </w:tr>
      <w:tr>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r>
              <w:rPr>
                <w:rFonts w:asciiTheme="minorEastAsia" w:hAnsiTheme="minorEastAsia" w:eastAsiaTheme="minorEastAsia" w:cstheme="minorEastAsia"/>
                <w:color w:val="000000" w:themeColor="text1"/>
                <w14:textFill>
                  <w14:solidFill>
                    <w14:schemeClr w14:val="tx1"/>
                  </w14:solidFill>
                </w14:textFill>
              </w:rPr>
              <w:t>公开单位</w:t>
            </w:r>
            <w:r>
              <w:rPr>
                <w:rFonts w:asciiTheme="minorEastAsia" w:hAnsiTheme="minorEastAsia" w:eastAsiaTheme="minorEastAsia" w:cstheme="minorEastAsia"/>
                <w:color w:val="000000" w:themeColor="text1"/>
                <w:lang w:bidi="ar"/>
                <w14:textFill>
                  <w14:solidFill>
                    <w14:schemeClr w14:val="tx1"/>
                  </w14:solidFill>
                </w14:textFill>
              </w:rPr>
              <w:t xml:space="preserve">： </w:t>
            </w:r>
            <w:r>
              <w:rPr>
                <w:color w:val="000000" w:themeColor="text1"/>
                <w14:textFill>
                  <w14:solidFill>
                    <w14:schemeClr w14:val="tx1"/>
                  </w14:solidFill>
                </w14:textFill>
              </w:rPr>
              <w:t xml:space="preserve">垫江县经济信息中心（垫江县推动融入成渝地区双城经济圈建设服务中心） </w:t>
            </w: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公开03表</w:t>
            </w:r>
          </w:p>
        </w:tc>
      </w:tr>
      <w:tr>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单位：</w:t>
            </w:r>
            <w:r>
              <w:rPr>
                <w:rFonts w:cs="宋体"/>
                <w:color w:val="000000" w:themeColor="text1"/>
                <w14:textFill>
                  <w14:solidFill>
                    <w14:schemeClr w14:val="tx1"/>
                  </w14:solidFill>
                </w14:textFill>
              </w:rPr>
              <w:t>万元</w:t>
            </w: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对附属单位补助支出</w:t>
            </w:r>
          </w:p>
        </w:tc>
      </w:tr>
      <w:tr>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164.24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164.24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136.29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136.29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发展与改革事务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136.29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136.29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2010450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136.29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136.29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14.09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14.09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14.09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14.09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9.39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9.39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4.70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4.70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5.48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5.48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5.48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5.48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2101102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5.48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5.48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8.38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8.38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8.38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8.38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8.38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8.38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18"/>
                <w:szCs w:val="18"/>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bl>
    <w:p>
      <w:pPr>
        <w:rPr>
          <w:rFonts w:hint="default" w:cs="宋体"/>
          <w:color w:val="000000" w:themeColor="text1"/>
          <w:sz w:val="21"/>
          <w:szCs w:val="21"/>
          <w14:textFill>
            <w14:solidFill>
              <w14:schemeClr w14:val="tx1"/>
            </w14:solidFill>
          </w14:textFill>
        </w:rPr>
      </w:pPr>
      <w:r>
        <w:rPr>
          <w:rFonts w:cs="宋体"/>
          <w:color w:val="000000" w:themeColor="text1"/>
          <w:sz w:val="21"/>
          <w:szCs w:val="21"/>
          <w:lang w:bidi="ar"/>
          <w14:textFill>
            <w14:solidFill>
              <w14:schemeClr w14:val="tx1"/>
            </w14:solidFill>
          </w14:textFill>
        </w:rPr>
        <w:t>备注：1.本表反映单位本年度各项支出情况。</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lang w:bidi="ar"/>
          <w14:textFill>
            <w14:solidFill>
              <w14:schemeClr w14:val="tx1"/>
            </w14:solidFill>
          </w14:textFill>
        </w:rPr>
        <w:t xml:space="preserve">      2.本套报表金额单位转换时可能存在尾数误差。</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14:textFill>
            <w14:solidFill>
              <w14:schemeClr w14:val="tx1"/>
            </w14:solidFill>
          </w14:textFill>
        </w:rPr>
        <w:br w:type="textWrapping"/>
      </w:r>
    </w:p>
    <w:p>
      <w:pPr>
        <w:rPr>
          <w:rFonts w:hint="default" w:cs="宋体"/>
          <w:color w:val="000000" w:themeColor="text1"/>
          <w:sz w:val="21"/>
          <w:szCs w:val="21"/>
          <w:lang w:bidi="ar"/>
          <w14:textFill>
            <w14:solidFill>
              <w14:schemeClr w14:val="tx1"/>
            </w14:solidFill>
          </w14:textFill>
        </w:rPr>
      </w:pPr>
      <w:r>
        <w:rPr>
          <w:rFonts w:cs="宋体"/>
          <w:color w:val="000000" w:themeColor="text1"/>
          <w:sz w:val="21"/>
          <w:szCs w:val="21"/>
          <w:lang w:bidi="ar"/>
          <w14:textFill>
            <w14:solidFill>
              <w14:schemeClr w14:val="tx1"/>
            </w14:solidFill>
          </w14:textFill>
        </w:rPr>
        <w:br w:type="page"/>
      </w:r>
    </w:p>
    <w:p>
      <w:pPr>
        <w:rPr>
          <w:rFonts w:hint="default" w:cs="宋体"/>
          <w:color w:val="000000" w:themeColor="text1"/>
          <w:sz w:val="21"/>
          <w:szCs w:val="21"/>
          <w:lang w:bidi="ar"/>
          <w14:textFill>
            <w14:solidFill>
              <w14:schemeClr w14:val="tx1"/>
            </w14:solidFill>
          </w14:textFill>
        </w:rPr>
      </w:pPr>
    </w:p>
    <w:tbl>
      <w:tblPr>
        <w:tblStyle w:val="8"/>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themeColor="text1"/>
                <w:sz w:val="40"/>
                <w:szCs w:val="40"/>
                <w14:textFill>
                  <w14:solidFill>
                    <w14:schemeClr w14:val="tx1"/>
                  </w14:solidFill>
                </w14:textFill>
              </w:rPr>
            </w:pPr>
            <w:r>
              <w:rPr>
                <w:rFonts w:cs="宋体"/>
                <w:b/>
                <w:color w:val="000000" w:themeColor="text1"/>
                <w:sz w:val="44"/>
                <w:szCs w:val="44"/>
                <w:lang w:bidi="ar"/>
                <w14:textFill>
                  <w14:solidFill>
                    <w14:schemeClr w14:val="tx1"/>
                  </w14:solidFill>
                </w14:textFill>
              </w:rPr>
              <w:t>财政拨款收入支出决算总表</w:t>
            </w:r>
          </w:p>
        </w:tc>
      </w:tr>
      <w:tr>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r>
              <w:rPr>
                <w:rFonts w:asciiTheme="minorEastAsia" w:hAnsiTheme="minorEastAsia" w:eastAsiaTheme="minorEastAsia" w:cstheme="minorEastAsia"/>
                <w:color w:val="000000" w:themeColor="text1"/>
                <w14:textFill>
                  <w14:solidFill>
                    <w14:schemeClr w14:val="tx1"/>
                  </w14:solidFill>
                </w14:textFill>
              </w:rPr>
              <w:t>公开单位</w:t>
            </w:r>
            <w:r>
              <w:rPr>
                <w:rFonts w:asciiTheme="minorEastAsia" w:hAnsiTheme="minorEastAsia" w:eastAsiaTheme="minorEastAsia" w:cstheme="minorEastAsia"/>
                <w:color w:val="000000" w:themeColor="text1"/>
                <w:lang w:bidi="ar"/>
                <w14:textFill>
                  <w14:solidFill>
                    <w14:schemeClr w14:val="tx1"/>
                  </w14:solidFill>
                </w14:textFill>
              </w:rPr>
              <w:t xml:space="preserve">： </w:t>
            </w:r>
            <w:r>
              <w:rPr>
                <w:color w:val="000000" w:themeColor="text1"/>
                <w14:textFill>
                  <w14:solidFill>
                    <w14:schemeClr w14:val="tx1"/>
                  </w14:solidFill>
                </w14:textFill>
              </w:rPr>
              <w:t>垫江县经济信息中心（垫江县推动融入成渝地区双城经济圈建设服务中心）</w:t>
            </w: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公开04表</w:t>
            </w:r>
          </w:p>
        </w:tc>
      </w:tr>
      <w:tr>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单位：</w:t>
            </w:r>
            <w:r>
              <w:rPr>
                <w:rFonts w:cs="宋体"/>
                <w:color w:val="000000" w:themeColor="text1"/>
                <w14:textFill>
                  <w14:solidFill>
                    <w14:schemeClr w14:val="tx1"/>
                  </w14:solidFill>
                </w14:textFill>
              </w:rPr>
              <w:t>万元</w:t>
            </w:r>
          </w:p>
        </w:tc>
      </w:tr>
      <w:tr>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支     出</w:t>
            </w:r>
          </w:p>
        </w:tc>
      </w:tr>
      <w:tr>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决算数</w:t>
            </w:r>
          </w:p>
        </w:tc>
      </w:tr>
      <w:tr>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国有资本经营预算财政拨款</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164.24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136.29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136.29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14.09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14.09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5.48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5.48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8.38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8.38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themeColor="text1"/>
                <w:sz w:val="20"/>
                <w:szCs w:val="20"/>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themeColor="text1"/>
                <w:sz w:val="20"/>
                <w:szCs w:val="20"/>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themeColor="text1"/>
                <w:sz w:val="20"/>
                <w:szCs w:val="20"/>
                <w14:textFill>
                  <w14:solidFill>
                    <w14:schemeClr w14:val="tx1"/>
                  </w14:solidFill>
                </w14:textFill>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164.24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164.24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164.24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1.26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1.26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1.26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1.26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0"/>
                <w:szCs w:val="20"/>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0"/>
                <w:szCs w:val="20"/>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0"/>
                <w:szCs w:val="20"/>
                <w14:textFill>
                  <w14:solidFill>
                    <w14:schemeClr w14:val="tx1"/>
                  </w14:solidFill>
                </w14:textFill>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0"/>
                <w:szCs w:val="20"/>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0"/>
                <w:szCs w:val="20"/>
                <w14:textFill>
                  <w14:solidFill>
                    <w14:schemeClr w14:val="tx1"/>
                  </w14:solidFill>
                </w14:textFill>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0"/>
                <w:szCs w:val="20"/>
                <w14:textFill>
                  <w14:solidFill>
                    <w14:schemeClr w14:val="tx1"/>
                  </w14:solidFill>
                </w14:textFill>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165.50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165.50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165.50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bl>
    <w:p>
      <w:pPr>
        <w:rPr>
          <w:rFonts w:hint="default" w:cs="宋体"/>
          <w:color w:val="000000" w:themeColor="text1"/>
          <w:sz w:val="21"/>
          <w:szCs w:val="21"/>
          <w14:textFill>
            <w14:solidFill>
              <w14:schemeClr w14:val="tx1"/>
            </w14:solidFill>
          </w14:textFill>
        </w:rPr>
      </w:pPr>
      <w:r>
        <w:rPr>
          <w:rFonts w:cs="宋体"/>
          <w:color w:val="000000" w:themeColor="text1"/>
          <w:sz w:val="21"/>
          <w:szCs w:val="21"/>
          <w:lang w:bidi="ar"/>
          <w14:textFill>
            <w14:solidFill>
              <w14:schemeClr w14:val="tx1"/>
            </w14:solidFill>
          </w14:textFill>
        </w:rPr>
        <w:t>备注：1.本表反映单位本年度一般公共预算财政拨款、政府性基金预算财政拨款及国有资本经营预算财政拨款的总收支和年末结转结余情况。</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lang w:bidi="ar"/>
          <w14:textFill>
            <w14:solidFill>
              <w14:schemeClr w14:val="tx1"/>
            </w14:solidFill>
          </w14:textFill>
        </w:rPr>
        <w:t xml:space="preserve">      2.本套报表金额单位转换时可能存在尾数误差。</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14:textFill>
            <w14:solidFill>
              <w14:schemeClr w14:val="tx1"/>
            </w14:solidFill>
          </w14:textFill>
        </w:rPr>
        <w:br w:type="textWrapping"/>
      </w:r>
    </w:p>
    <w:p>
      <w:pPr>
        <w:rPr>
          <w:rFonts w:hint="default" w:cs="宋体"/>
          <w:color w:val="000000" w:themeColor="text1"/>
          <w:sz w:val="21"/>
          <w:szCs w:val="21"/>
          <w14:textFill>
            <w14:solidFill>
              <w14:schemeClr w14:val="tx1"/>
            </w14:solidFill>
          </w14:textFill>
        </w:rPr>
      </w:pPr>
      <w:r>
        <w:rPr>
          <w:rFonts w:cs="宋体"/>
          <w:color w:val="000000" w:themeColor="text1"/>
          <w:sz w:val="21"/>
          <w:szCs w:val="21"/>
          <w14:textFill>
            <w14:solidFill>
              <w14:schemeClr w14:val="tx1"/>
            </w14:solidFill>
          </w14:textFill>
        </w:rPr>
        <w:br w:type="page"/>
      </w:r>
    </w:p>
    <w:tbl>
      <w:tblPr>
        <w:tblStyle w:val="8"/>
        <w:tblW w:w="22300" w:type="dxa"/>
        <w:tblInd w:w="0" w:type="dxa"/>
        <w:tblLayout w:type="fixed"/>
        <w:tblCellMar>
          <w:top w:w="0" w:type="dxa"/>
          <w:left w:w="0" w:type="dxa"/>
          <w:bottom w:w="0" w:type="dxa"/>
          <w:right w:w="0" w:type="dxa"/>
        </w:tblCellMar>
      </w:tblPr>
      <w:tblGrid>
        <w:gridCol w:w="2694"/>
        <w:gridCol w:w="5151"/>
        <w:gridCol w:w="4817"/>
        <w:gridCol w:w="4817"/>
        <w:gridCol w:w="4821"/>
      </w:tblGrid>
      <w:tr>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themeColor="text1"/>
                <w:sz w:val="40"/>
                <w:szCs w:val="40"/>
                <w14:textFill>
                  <w14:solidFill>
                    <w14:schemeClr w14:val="tx1"/>
                  </w14:solidFill>
                </w14:textFill>
              </w:rPr>
            </w:pPr>
            <w:r>
              <w:rPr>
                <w:rFonts w:cs="宋体"/>
                <w:b/>
                <w:color w:val="000000" w:themeColor="text1"/>
                <w:sz w:val="44"/>
                <w:szCs w:val="44"/>
                <w:lang w:bidi="ar"/>
                <w14:textFill>
                  <w14:solidFill>
                    <w14:schemeClr w14:val="tx1"/>
                  </w14:solidFill>
                </w14:textFill>
              </w:rPr>
              <w:t>一般公共预算财政拨款支出决算表</w:t>
            </w:r>
          </w:p>
        </w:tc>
      </w:tr>
      <w:tr>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r>
              <w:rPr>
                <w:rFonts w:asciiTheme="minorEastAsia" w:hAnsiTheme="minorEastAsia" w:eastAsiaTheme="minorEastAsia" w:cstheme="minorEastAsia"/>
                <w:color w:val="000000" w:themeColor="text1"/>
                <w14:textFill>
                  <w14:solidFill>
                    <w14:schemeClr w14:val="tx1"/>
                  </w14:solidFill>
                </w14:textFill>
              </w:rPr>
              <w:t>公开单位</w:t>
            </w:r>
            <w:r>
              <w:rPr>
                <w:rFonts w:asciiTheme="minorEastAsia" w:hAnsiTheme="minorEastAsia" w:eastAsiaTheme="minorEastAsia" w:cstheme="minorEastAsia"/>
                <w:color w:val="000000" w:themeColor="text1"/>
                <w:lang w:bidi="ar"/>
                <w14:textFill>
                  <w14:solidFill>
                    <w14:schemeClr w14:val="tx1"/>
                  </w14:solidFill>
                </w14:textFill>
              </w:rPr>
              <w:t xml:space="preserve">： </w:t>
            </w:r>
            <w:r>
              <w:rPr>
                <w:color w:val="000000" w:themeColor="text1"/>
                <w14:textFill>
                  <w14:solidFill>
                    <w14:schemeClr w14:val="tx1"/>
                  </w14:solidFill>
                </w14:textFill>
              </w:rPr>
              <w:t>垫江县经济信息中心（垫江县推动融入成渝地区双城经济圈建设服务中心）</w:t>
            </w: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公开05表</w:t>
            </w:r>
          </w:p>
        </w:tc>
      </w:tr>
      <w:tr>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单位：</w:t>
            </w:r>
            <w:r>
              <w:rPr>
                <w:rFonts w:cs="宋体"/>
                <w:color w:val="000000" w:themeColor="text1"/>
                <w14:textFill>
                  <w14:solidFill>
                    <w14:schemeClr w14:val="tx1"/>
                  </w14:solidFill>
                </w14:textFill>
              </w:rPr>
              <w:t>万元</w:t>
            </w:r>
          </w:p>
        </w:tc>
      </w:tr>
      <w:tr>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本年支出</w:t>
            </w:r>
          </w:p>
        </w:tc>
      </w:tr>
      <w:tr>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项目支出</w:t>
            </w:r>
          </w:p>
        </w:tc>
      </w:tr>
      <w:tr>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164.24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164.24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136.29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136.29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发展与改革事务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136.29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136.29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2010450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事业运行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136.29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136.29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14.09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14.09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14.09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14.09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9.39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9.39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4.70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4.70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5.48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5.48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5.48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5.48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2101102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5.48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5.48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8.38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8.38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8.38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1"/>
                <w:szCs w:val="21"/>
                <w:lang w:bidi="ar"/>
                <w14:textFill>
                  <w14:solidFill>
                    <w14:schemeClr w14:val="tx1"/>
                  </w14:solidFill>
                </w14:textFill>
              </w:rPr>
              <w:t xml:space="preserve">8.38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8.38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8.38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bl>
    <w:p>
      <w:pPr>
        <w:rPr>
          <w:rFonts w:hint="default" w:cs="宋体"/>
          <w:color w:val="000000" w:themeColor="text1"/>
          <w:sz w:val="21"/>
          <w:szCs w:val="21"/>
          <w14:textFill>
            <w14:solidFill>
              <w14:schemeClr w14:val="tx1"/>
            </w14:solidFill>
          </w14:textFill>
        </w:rPr>
      </w:pPr>
      <w:r>
        <w:rPr>
          <w:rFonts w:cs="宋体"/>
          <w:color w:val="000000" w:themeColor="text1"/>
          <w:sz w:val="21"/>
          <w:szCs w:val="21"/>
          <w:lang w:bidi="ar"/>
          <w14:textFill>
            <w14:solidFill>
              <w14:schemeClr w14:val="tx1"/>
            </w14:solidFill>
          </w14:textFill>
        </w:rPr>
        <w:t>备注：1.本表反映单位本年度一般公共预算财政拨款支出情况。</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lang w:bidi="ar"/>
          <w14:textFill>
            <w14:solidFill>
              <w14:schemeClr w14:val="tx1"/>
            </w14:solidFill>
          </w14:textFill>
        </w:rPr>
        <w:t xml:space="preserve">      2.本套报表金额单位转换时可能存在尾数误差。</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14:textFill>
            <w14:solidFill>
              <w14:schemeClr w14:val="tx1"/>
            </w14:solidFill>
          </w14:textFill>
        </w:rPr>
        <w:br w:type="textWrapping"/>
      </w:r>
    </w:p>
    <w:p>
      <w:pPr>
        <w:ind w:firstLine="630" w:firstLineChars="300"/>
        <w:rPr>
          <w:rFonts w:hint="default" w:cs="宋体"/>
          <w:color w:val="000000" w:themeColor="text1"/>
          <w:sz w:val="21"/>
          <w:szCs w:val="21"/>
          <w14:textFill>
            <w14:solidFill>
              <w14:schemeClr w14:val="tx1"/>
            </w14:solidFill>
          </w14:textFill>
        </w:rPr>
      </w:pPr>
      <w:r>
        <w:rPr>
          <w:rFonts w:cs="宋体"/>
          <w:color w:val="000000" w:themeColor="text1"/>
          <w:sz w:val="21"/>
          <w:szCs w:val="21"/>
          <w14:textFill>
            <w14:solidFill>
              <w14:schemeClr w14:val="tx1"/>
            </w14:solidFill>
          </w14:textFill>
        </w:rPr>
        <w:br w:type="page"/>
      </w:r>
    </w:p>
    <w:tbl>
      <w:tblPr>
        <w:tblStyle w:val="8"/>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themeColor="text1"/>
                <w:sz w:val="40"/>
                <w:szCs w:val="40"/>
                <w14:textFill>
                  <w14:solidFill>
                    <w14:schemeClr w14:val="tx1"/>
                  </w14:solidFill>
                </w14:textFill>
              </w:rPr>
            </w:pPr>
            <w:r>
              <w:rPr>
                <w:rFonts w:cs="宋体"/>
                <w:b/>
                <w:color w:val="000000" w:themeColor="text1"/>
                <w:sz w:val="44"/>
                <w:szCs w:val="44"/>
                <w:lang w:bidi="ar"/>
                <w14:textFill>
                  <w14:solidFill>
                    <w14:schemeClr w14:val="tx1"/>
                  </w14:solidFill>
                </w14:textFill>
              </w:rPr>
              <w:t>一般公共预算财政拨款基本支出决算表</w:t>
            </w:r>
          </w:p>
        </w:tc>
      </w:tr>
      <w:tr>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r>
              <w:rPr>
                <w:rFonts w:asciiTheme="minorEastAsia" w:hAnsiTheme="minorEastAsia" w:eastAsiaTheme="minorEastAsia" w:cstheme="minorEastAsia"/>
                <w:color w:val="000000" w:themeColor="text1"/>
                <w14:textFill>
                  <w14:solidFill>
                    <w14:schemeClr w14:val="tx1"/>
                  </w14:solidFill>
                </w14:textFill>
              </w:rPr>
              <w:t>公开单位</w:t>
            </w:r>
            <w:r>
              <w:rPr>
                <w:rFonts w:asciiTheme="minorEastAsia" w:hAnsiTheme="minorEastAsia" w:eastAsiaTheme="minorEastAsia" w:cstheme="minorEastAsia"/>
                <w:color w:val="000000" w:themeColor="text1"/>
                <w:lang w:bidi="ar"/>
                <w14:textFill>
                  <w14:solidFill>
                    <w14:schemeClr w14:val="tx1"/>
                  </w14:solidFill>
                </w14:textFill>
              </w:rPr>
              <w:t xml:space="preserve">： </w:t>
            </w:r>
            <w:r>
              <w:rPr>
                <w:color w:val="000000" w:themeColor="text1"/>
                <w14:textFill>
                  <w14:solidFill>
                    <w14:schemeClr w14:val="tx1"/>
                  </w14:solidFill>
                </w14:textFill>
              </w:rPr>
              <w:t>垫江县经济信息中心（垫江县推动融入成渝地区双城经济圈建设服务中心）</w:t>
            </w: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公开06表</w:t>
            </w:r>
          </w:p>
        </w:tc>
      </w:tr>
      <w:tr>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单位：</w:t>
            </w:r>
            <w:r>
              <w:rPr>
                <w:rFonts w:cs="宋体"/>
                <w:color w:val="000000" w:themeColor="text1"/>
                <w14:textFill>
                  <w14:solidFill>
                    <w14:schemeClr w14:val="tx1"/>
                  </w14:solidFill>
                </w14:textFill>
              </w:rPr>
              <w:t>万元</w:t>
            </w:r>
          </w:p>
        </w:tc>
      </w:tr>
      <w:tr>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公用经费</w:t>
            </w:r>
          </w:p>
        </w:tc>
      </w:tr>
      <w:tr>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金额</w:t>
            </w:r>
          </w:p>
        </w:tc>
      </w:tr>
      <w:tr>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148.27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15.98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31.93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0.53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1.15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84.98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9.39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4.70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5.48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0.15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7.61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8.38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1.12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0.98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3.47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0.89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3.47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148.27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themeColor="text1"/>
                <w:sz w:val="22"/>
                <w:szCs w:val="22"/>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15.98 </w:t>
            </w:r>
          </w:p>
        </w:tc>
      </w:tr>
    </w:tbl>
    <w:p>
      <w:pPr>
        <w:rPr>
          <w:rFonts w:hint="default" w:cs="宋体"/>
          <w:color w:val="000000" w:themeColor="text1"/>
          <w:sz w:val="21"/>
          <w:szCs w:val="21"/>
          <w14:textFill>
            <w14:solidFill>
              <w14:schemeClr w14:val="tx1"/>
            </w14:solidFill>
          </w14:textFill>
        </w:rPr>
      </w:pPr>
      <w:r>
        <w:rPr>
          <w:rFonts w:cs="宋体"/>
          <w:color w:val="000000" w:themeColor="text1"/>
          <w:sz w:val="21"/>
          <w:szCs w:val="21"/>
          <w:lang w:bidi="ar"/>
          <w14:textFill>
            <w14:solidFill>
              <w14:schemeClr w14:val="tx1"/>
            </w14:solidFill>
          </w14:textFill>
        </w:rPr>
        <w:t>备注：1.本表反映单位本年度一般公共预算财政拨款基本支出明细情况。</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lang w:bidi="ar"/>
          <w14:textFill>
            <w14:solidFill>
              <w14:schemeClr w14:val="tx1"/>
            </w14:solidFill>
          </w14:textFill>
        </w:rPr>
        <w:t xml:space="preserve">      2.本套报表金额单位转换时可能存在尾数误差。</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14:textFill>
            <w14:solidFill>
              <w14:schemeClr w14:val="tx1"/>
            </w14:solidFill>
          </w14:textFill>
        </w:rPr>
        <w:br w:type="textWrapping"/>
      </w:r>
    </w:p>
    <w:p>
      <w:pPr>
        <w:rPr>
          <w:rFonts w:hint="default" w:cs="宋体"/>
          <w:color w:val="000000" w:themeColor="text1"/>
          <w:sz w:val="21"/>
          <w:szCs w:val="21"/>
          <w14:textFill>
            <w14:solidFill>
              <w14:schemeClr w14:val="tx1"/>
            </w14:solidFill>
          </w14:textFill>
        </w:rPr>
      </w:pPr>
      <w:r>
        <w:rPr>
          <w:rFonts w:cs="宋体"/>
          <w:color w:val="000000" w:themeColor="text1"/>
          <w:sz w:val="21"/>
          <w:szCs w:val="21"/>
          <w14:textFill>
            <w14:solidFill>
              <w14:schemeClr w14:val="tx1"/>
            </w14:solidFill>
          </w14:textFill>
        </w:rPr>
        <w:br w:type="page"/>
      </w:r>
    </w:p>
    <w:tbl>
      <w:tblPr>
        <w:tblStyle w:val="8"/>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themeColor="text1"/>
                <w:sz w:val="40"/>
                <w:szCs w:val="40"/>
                <w14:textFill>
                  <w14:solidFill>
                    <w14:schemeClr w14:val="tx1"/>
                  </w14:solidFill>
                </w14:textFill>
              </w:rPr>
            </w:pPr>
            <w:r>
              <w:rPr>
                <w:rFonts w:cs="宋体"/>
                <w:b/>
                <w:color w:val="000000" w:themeColor="text1"/>
                <w:sz w:val="44"/>
                <w:szCs w:val="44"/>
                <w:lang w:bidi="ar"/>
                <w14:textFill>
                  <w14:solidFill>
                    <w14:schemeClr w14:val="tx1"/>
                  </w14:solidFill>
                </w14:textFill>
              </w:rPr>
              <w:t>政府性基金预算财政拨款收入支出决算表</w:t>
            </w:r>
          </w:p>
        </w:tc>
      </w:tr>
      <w:tr>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r>
              <w:rPr>
                <w:rFonts w:asciiTheme="minorEastAsia" w:hAnsiTheme="minorEastAsia" w:eastAsiaTheme="minorEastAsia" w:cstheme="minorEastAsia"/>
                <w:color w:val="000000" w:themeColor="text1"/>
                <w14:textFill>
                  <w14:solidFill>
                    <w14:schemeClr w14:val="tx1"/>
                  </w14:solidFill>
                </w14:textFill>
              </w:rPr>
              <w:t>公开单位</w:t>
            </w:r>
            <w:r>
              <w:rPr>
                <w:rFonts w:asciiTheme="minorEastAsia" w:hAnsiTheme="minorEastAsia" w:eastAsiaTheme="minorEastAsia" w:cstheme="minorEastAsia"/>
                <w:color w:val="000000" w:themeColor="text1"/>
                <w:lang w:bidi="ar"/>
                <w14:textFill>
                  <w14:solidFill>
                    <w14:schemeClr w14:val="tx1"/>
                  </w14:solidFill>
                </w14:textFill>
              </w:rPr>
              <w:t xml:space="preserve">： </w:t>
            </w:r>
            <w:r>
              <w:rPr>
                <w:color w:val="000000" w:themeColor="text1"/>
                <w14:textFill>
                  <w14:solidFill>
                    <w14:schemeClr w14:val="tx1"/>
                  </w14:solidFill>
                </w14:textFill>
              </w:rPr>
              <w:t>垫江县经济信息中心（垫江县推动融入成渝地区双城经济圈建设服务中心）</w:t>
            </w: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公开07表</w:t>
            </w:r>
          </w:p>
        </w:tc>
      </w:tr>
      <w:tr>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单位：</w:t>
            </w:r>
            <w:r>
              <w:rPr>
                <w:rFonts w:cs="宋体"/>
                <w:color w:val="000000" w:themeColor="text1"/>
                <w14:textFill>
                  <w14:solidFill>
                    <w14:schemeClr w14:val="tx1"/>
                  </w14:solidFill>
                </w14:textFill>
              </w:rPr>
              <w:t>万元</w:t>
            </w:r>
          </w:p>
        </w:tc>
      </w:tr>
      <w:tr>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年末结转和结余</w:t>
            </w:r>
          </w:p>
        </w:tc>
      </w:tr>
      <w:tr>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r>
    </w:tbl>
    <w:p>
      <w:pPr>
        <w:rPr>
          <w:rFonts w:hint="default" w:cs="宋体"/>
          <w:color w:val="000000" w:themeColor="text1"/>
          <w:sz w:val="21"/>
          <w:szCs w:val="21"/>
          <w14:textFill>
            <w14:solidFill>
              <w14:schemeClr w14:val="tx1"/>
            </w14:solidFill>
          </w14:textFill>
        </w:rPr>
      </w:pPr>
      <w:r>
        <w:rPr>
          <w:rFonts w:cs="宋体"/>
          <w:color w:val="000000" w:themeColor="text1"/>
          <w:sz w:val="21"/>
          <w:szCs w:val="21"/>
          <w:lang w:bidi="ar"/>
          <w14:textFill>
            <w14:solidFill>
              <w14:schemeClr w14:val="tx1"/>
            </w14:solidFill>
          </w14:textFill>
        </w:rPr>
        <w:t>备注：本表反映单位本年度政府性基金预算财政拨款收入支出及结转和结余情况。本单位无政府性基金收支，故本表无数据。</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14:textFill>
            <w14:solidFill>
              <w14:schemeClr w14:val="tx1"/>
            </w14:solidFill>
          </w14:textFill>
        </w:rPr>
        <w:br w:type="textWrapping"/>
      </w:r>
    </w:p>
    <w:p>
      <w:pPr>
        <w:rPr>
          <w:rFonts w:hint="default" w:cs="宋体"/>
          <w:color w:val="000000" w:themeColor="text1"/>
          <w:sz w:val="21"/>
          <w:szCs w:val="21"/>
          <w14:textFill>
            <w14:solidFill>
              <w14:schemeClr w14:val="tx1"/>
            </w14:solidFill>
          </w14:textFill>
        </w:rPr>
      </w:pPr>
      <w:r>
        <w:rPr>
          <w:rFonts w:cs="宋体"/>
          <w:color w:val="000000" w:themeColor="text1"/>
          <w:sz w:val="21"/>
          <w:szCs w:val="21"/>
          <w14:textFill>
            <w14:solidFill>
              <w14:schemeClr w14:val="tx1"/>
            </w14:solidFill>
          </w14:textFill>
        </w:rPr>
        <w:br w:type="page"/>
      </w:r>
    </w:p>
    <w:tbl>
      <w:tblPr>
        <w:tblStyle w:val="8"/>
        <w:tblW w:w="22220" w:type="dxa"/>
        <w:tblInd w:w="0" w:type="dxa"/>
        <w:tblLayout w:type="fixed"/>
        <w:tblCellMar>
          <w:top w:w="0" w:type="dxa"/>
          <w:left w:w="0" w:type="dxa"/>
          <w:bottom w:w="0" w:type="dxa"/>
          <w:right w:w="0" w:type="dxa"/>
        </w:tblCellMar>
      </w:tblPr>
      <w:tblGrid>
        <w:gridCol w:w="2729"/>
        <w:gridCol w:w="4420"/>
        <w:gridCol w:w="4736"/>
        <w:gridCol w:w="5423"/>
        <w:gridCol w:w="4912"/>
      </w:tblGrid>
      <w:tr>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themeColor="text1"/>
                <w:sz w:val="40"/>
                <w:szCs w:val="40"/>
                <w14:textFill>
                  <w14:solidFill>
                    <w14:schemeClr w14:val="tx1"/>
                  </w14:solidFill>
                </w14:textFill>
              </w:rPr>
            </w:pPr>
            <w:r>
              <w:rPr>
                <w:rFonts w:cs="宋体"/>
                <w:b/>
                <w:color w:val="000000" w:themeColor="text1"/>
                <w:sz w:val="44"/>
                <w:szCs w:val="44"/>
                <w:lang w:bidi="ar"/>
                <w14:textFill>
                  <w14:solidFill>
                    <w14:schemeClr w14:val="tx1"/>
                  </w14:solidFill>
                </w14:textFill>
              </w:rPr>
              <w:t>国有资本经营预算财政拨款支出决算表</w:t>
            </w:r>
          </w:p>
        </w:tc>
      </w:tr>
      <w:tr>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r>
              <w:rPr>
                <w:rFonts w:asciiTheme="minorEastAsia" w:hAnsiTheme="minorEastAsia" w:eastAsiaTheme="minorEastAsia" w:cstheme="minorEastAsia"/>
                <w:color w:val="000000" w:themeColor="text1"/>
                <w14:textFill>
                  <w14:solidFill>
                    <w14:schemeClr w14:val="tx1"/>
                  </w14:solidFill>
                </w14:textFill>
              </w:rPr>
              <w:t>公开单位</w:t>
            </w:r>
            <w:r>
              <w:rPr>
                <w:rFonts w:asciiTheme="minorEastAsia" w:hAnsiTheme="minorEastAsia" w:eastAsiaTheme="minorEastAsia" w:cstheme="minorEastAsia"/>
                <w:color w:val="000000" w:themeColor="text1"/>
                <w:lang w:bidi="ar"/>
                <w14:textFill>
                  <w14:solidFill>
                    <w14:schemeClr w14:val="tx1"/>
                  </w14:solidFill>
                </w14:textFill>
              </w:rPr>
              <w:t xml:space="preserve">： </w:t>
            </w:r>
            <w:r>
              <w:rPr>
                <w:color w:val="000000" w:themeColor="text1"/>
                <w14:textFill>
                  <w14:solidFill>
                    <w14:schemeClr w14:val="tx1"/>
                  </w14:solidFill>
                </w14:textFill>
              </w:rPr>
              <w:t>垫江县经济信息中心（垫江县推动融入成渝地区双城经济圈建设服务中心）</w:t>
            </w: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公开08表</w:t>
            </w:r>
          </w:p>
        </w:tc>
      </w:tr>
      <w:tr>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单位：</w:t>
            </w:r>
            <w:r>
              <w:rPr>
                <w:rFonts w:cs="宋体"/>
                <w:color w:val="000000" w:themeColor="text1"/>
                <w14:textFill>
                  <w14:solidFill>
                    <w14:schemeClr w14:val="tx1"/>
                  </w14:solidFill>
                </w14:textFill>
              </w:rPr>
              <w:t>万元</w:t>
            </w:r>
          </w:p>
        </w:tc>
      </w:tr>
      <w:tr>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本年支出</w:t>
            </w:r>
          </w:p>
        </w:tc>
      </w:tr>
      <w:tr>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项目支出</w:t>
            </w: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themeColor="text1"/>
                <w:sz w:val="22"/>
                <w:szCs w:val="22"/>
                <w14:textFill>
                  <w14:solidFill>
                    <w14:schemeClr w14:val="tx1"/>
                  </w14:solidFill>
                </w14:textFill>
              </w:rPr>
            </w:pPr>
          </w:p>
        </w:tc>
      </w:tr>
      <w:tr>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themeColor="text1"/>
                <w:sz w:val="22"/>
                <w:szCs w:val="22"/>
                <w14:textFill>
                  <w14:solidFill>
                    <w14:schemeClr w14:val="tx1"/>
                  </w14:solidFill>
                </w14:textFill>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themeColor="text1"/>
                <w:sz w:val="22"/>
                <w:szCs w:val="22"/>
                <w14:textFill>
                  <w14:solidFill>
                    <w14:schemeClr w14:val="tx1"/>
                  </w14:solidFill>
                </w14:textFill>
              </w:rPr>
            </w:pPr>
            <w:r>
              <w:rPr>
                <w:rFonts w:cs="宋体"/>
                <w:b/>
                <w:bCs/>
                <w:color w:val="000000" w:themeColor="text1"/>
                <w:sz w:val="21"/>
                <w:szCs w:val="21"/>
                <w:lang w:bidi="ar"/>
                <w14:textFill>
                  <w14:solidFill>
                    <w14:schemeClr w14:val="tx1"/>
                  </w14:solidFill>
                </w14:textFill>
              </w:rPr>
              <w:t xml:space="preserve"> </w:t>
            </w:r>
          </w:p>
        </w:tc>
      </w:tr>
    </w:tbl>
    <w:p>
      <w:pPr>
        <w:rPr>
          <w:rFonts w:hint="default" w:cs="宋体"/>
          <w:color w:val="000000" w:themeColor="text1"/>
          <w:sz w:val="21"/>
          <w:szCs w:val="21"/>
          <w:lang w:bidi="ar"/>
          <w14:textFill>
            <w14:solidFill>
              <w14:schemeClr w14:val="tx1"/>
            </w14:solidFill>
          </w14:textFill>
        </w:rPr>
      </w:pPr>
      <w:r>
        <w:rPr>
          <w:rFonts w:cs="宋体"/>
          <w:color w:val="000000" w:themeColor="text1"/>
          <w:sz w:val="21"/>
          <w:szCs w:val="21"/>
          <w:lang w:bidi="ar"/>
          <w14:textFill>
            <w14:solidFill>
              <w14:schemeClr w14:val="tx1"/>
            </w14:solidFill>
          </w14:textFill>
        </w:rPr>
        <w:t>备注：本表反映单位本年度国有资本经营预算财政拨款支出情况。本单位无国有资本经营收支，故本表无数据。</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14:textFill>
            <w14:solidFill>
              <w14:schemeClr w14:val="tx1"/>
            </w14:solidFill>
          </w14:textFill>
        </w:rPr>
        <w:br w:type="textWrapping"/>
      </w:r>
    </w:p>
    <w:p>
      <w:pPr>
        <w:rPr>
          <w:rFonts w:hint="default" w:cs="宋体"/>
          <w:color w:val="000000" w:themeColor="text1"/>
          <w:sz w:val="21"/>
          <w:szCs w:val="21"/>
          <w14:textFill>
            <w14:solidFill>
              <w14:schemeClr w14:val="tx1"/>
            </w14:solidFill>
          </w14:textFill>
        </w:rPr>
      </w:pPr>
      <w:r>
        <w:rPr>
          <w:rFonts w:cs="宋体"/>
          <w:color w:val="000000" w:themeColor="text1"/>
          <w:sz w:val="21"/>
          <w:szCs w:val="21"/>
          <w14:textFill>
            <w14:solidFill>
              <w14:schemeClr w14:val="tx1"/>
            </w14:solidFill>
          </w14:textFill>
        </w:rPr>
        <w:br w:type="page"/>
      </w:r>
    </w:p>
    <w:tbl>
      <w:tblPr>
        <w:tblStyle w:val="8"/>
        <w:tblW w:w="22168" w:type="dxa"/>
        <w:tblInd w:w="0" w:type="dxa"/>
        <w:tblLayout w:type="fixed"/>
        <w:tblCellMar>
          <w:top w:w="0" w:type="dxa"/>
          <w:left w:w="0" w:type="dxa"/>
          <w:bottom w:w="0" w:type="dxa"/>
          <w:right w:w="0" w:type="dxa"/>
        </w:tblCellMar>
      </w:tblPr>
      <w:tblGrid>
        <w:gridCol w:w="5159"/>
        <w:gridCol w:w="3822"/>
        <w:gridCol w:w="3281"/>
        <w:gridCol w:w="6581"/>
        <w:gridCol w:w="3325"/>
      </w:tblGrid>
      <w:tr>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themeColor="text1"/>
                <w:sz w:val="40"/>
                <w:szCs w:val="40"/>
                <w14:textFill>
                  <w14:solidFill>
                    <w14:schemeClr w14:val="tx1"/>
                  </w14:solidFill>
                </w14:textFill>
              </w:rPr>
            </w:pPr>
            <w:r>
              <w:rPr>
                <w:rFonts w:cs="宋体"/>
                <w:b/>
                <w:color w:val="000000" w:themeColor="text1"/>
                <w:sz w:val="44"/>
                <w:szCs w:val="44"/>
                <w:lang w:bidi="ar"/>
                <w14:textFill>
                  <w14:solidFill>
                    <w14:schemeClr w14:val="tx1"/>
                  </w14:solidFill>
                </w14:textFill>
              </w:rPr>
              <w:t>机构运行信息表</w:t>
            </w:r>
          </w:p>
        </w:tc>
      </w:tr>
      <w:tr>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color w:val="000000" w:themeColor="text1"/>
                <w:sz w:val="20"/>
                <w:szCs w:val="20"/>
                <w14:textFill>
                  <w14:solidFill>
                    <w14:schemeClr w14:val="tx1"/>
                  </w14:solidFill>
                </w14:textFill>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0"/>
                <w:szCs w:val="20"/>
                <w14:textFill>
                  <w14:solidFill>
                    <w14:schemeClr w14:val="tx1"/>
                  </w14:solidFill>
                </w14:textFill>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0"/>
                <w:szCs w:val="20"/>
                <w14:textFill>
                  <w14:solidFill>
                    <w14:schemeClr w14:val="tx1"/>
                  </w14:solidFill>
                </w14:textFill>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公开09表</w:t>
            </w:r>
          </w:p>
        </w:tc>
      </w:tr>
      <w:tr>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ascii="Arial" w:hAnsi="Arial" w:cs="Arial"/>
                <w:color w:val="000000" w:themeColor="text1"/>
                <w:sz w:val="22"/>
                <w:szCs w:val="22"/>
                <w14:textFill>
                  <w14:solidFill>
                    <w14:schemeClr w14:val="tx1"/>
                  </w14:solidFill>
                </w14:textFill>
              </w:rPr>
            </w:pPr>
            <w:r>
              <w:rPr>
                <w:rFonts w:asciiTheme="minorEastAsia" w:hAnsiTheme="minorEastAsia" w:eastAsiaTheme="minorEastAsia" w:cstheme="minorEastAsia"/>
                <w:color w:val="000000" w:themeColor="text1"/>
                <w14:textFill>
                  <w14:solidFill>
                    <w14:schemeClr w14:val="tx1"/>
                  </w14:solidFill>
                </w14:textFill>
              </w:rPr>
              <w:t>公开单位</w:t>
            </w:r>
            <w:r>
              <w:rPr>
                <w:rFonts w:asciiTheme="minorEastAsia" w:hAnsiTheme="minorEastAsia" w:eastAsiaTheme="minorEastAsia" w:cstheme="minorEastAsia"/>
                <w:color w:val="000000" w:themeColor="text1"/>
                <w:lang w:bidi="ar"/>
                <w14:textFill>
                  <w14:solidFill>
                    <w14:schemeClr w14:val="tx1"/>
                  </w14:solidFill>
                </w14:textFill>
              </w:rPr>
              <w:t xml:space="preserve">： </w:t>
            </w:r>
            <w:r>
              <w:rPr>
                <w:color w:val="000000" w:themeColor="text1"/>
                <w14:textFill>
                  <w14:solidFill>
                    <w14:schemeClr w14:val="tx1"/>
                  </w14:solidFill>
                </w14:textFill>
              </w:rPr>
              <w:t>垫江县经济信息中心（垫江县推动融入成渝地区双城经济圈建设服务中心）</w:t>
            </w: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cs="宋体"/>
                <w:color w:val="000000" w:themeColor="text1"/>
                <w:sz w:val="22"/>
                <w:szCs w:val="22"/>
                <w14:textFill>
                  <w14:solidFill>
                    <w14:schemeClr w14:val="tx1"/>
                  </w14:solidFill>
                </w14:textFill>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2"/>
                <w:szCs w:val="22"/>
                <w14:textFill>
                  <w14:solidFill>
                    <w14:schemeClr w14:val="tx1"/>
                  </w14:solidFill>
                </w14:textFill>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themeColor="text1"/>
                <w:sz w:val="22"/>
                <w:szCs w:val="22"/>
                <w14:textFill>
                  <w14:solidFill>
                    <w14:schemeClr w14:val="tx1"/>
                  </w14:solidFill>
                </w14:textFill>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themeColor="text1"/>
                <w14:textFill>
                  <w14:solidFill>
                    <w14:schemeClr w14:val="tx1"/>
                  </w14:solidFill>
                </w14:textFill>
              </w:rPr>
            </w:pPr>
            <w:r>
              <w:rPr>
                <w:rFonts w:cs="宋体"/>
                <w:color w:val="000000" w:themeColor="text1"/>
                <w:lang w:bidi="ar"/>
                <w14:textFill>
                  <w14:solidFill>
                    <w14:schemeClr w14:val="tx1"/>
                  </w14:solidFill>
                </w14:textFill>
              </w:rPr>
              <w:t>单位：</w:t>
            </w:r>
            <w:r>
              <w:rPr>
                <w:rFonts w:cs="宋体"/>
                <w:color w:val="000000" w:themeColor="text1"/>
                <w14:textFill>
                  <w14:solidFill>
                    <w14:schemeClr w14:val="tx1"/>
                  </w14:solidFill>
                </w14:textFill>
              </w:rPr>
              <w:t>万元</w:t>
            </w:r>
          </w:p>
        </w:tc>
      </w:tr>
      <w:tr>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themeColor="text1"/>
                <w:sz w:val="22"/>
                <w:szCs w:val="22"/>
                <w14:textFill>
                  <w14:solidFill>
                    <w14:schemeClr w14:val="tx1"/>
                  </w14:solidFill>
                </w14:textFill>
              </w:rPr>
            </w:pPr>
            <w:r>
              <w:rPr>
                <w:rFonts w:cs="宋体"/>
                <w:b/>
                <w:color w:val="000000" w:themeColor="text1"/>
                <w:sz w:val="22"/>
                <w:szCs w:val="22"/>
                <w:lang w:bidi="ar"/>
                <w14:textFill>
                  <w14:solidFill>
                    <w14:schemeClr w14:val="tx1"/>
                  </w14:solidFill>
                </w14:textFill>
              </w:rPr>
              <w:t>决算数</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1"/>
                <w:szCs w:val="21"/>
                <w:lang w:bidi="ar"/>
                <w14:textFill>
                  <w14:solidFill>
                    <w14:schemeClr w14:val="tx1"/>
                  </w14:solidFill>
                </w14:textFill>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themeColor="text1"/>
                <w:sz w:val="22"/>
                <w:szCs w:val="22"/>
                <w14:textFill>
                  <w14:solidFill>
                    <w14:schemeClr w14:val="tx1"/>
                  </w14:solidFill>
                </w14:textFill>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themeColor="text1"/>
                <w:sz w:val="20"/>
                <w:szCs w:val="20"/>
                <w14:textFill>
                  <w14:solidFill>
                    <w14:schemeClr w14:val="tx1"/>
                  </w14:solidFill>
                </w14:textFill>
              </w:rPr>
            </w:pPr>
          </w:p>
        </w:tc>
      </w:tr>
    </w:tbl>
    <w:p>
      <w:pPr>
        <w:rPr>
          <w:rFonts w:hint="default" w:cs="宋体"/>
          <w:color w:val="000000" w:themeColor="text1"/>
          <w:sz w:val="21"/>
          <w:szCs w:val="21"/>
          <w14:textFill>
            <w14:solidFill>
              <w14:schemeClr w14:val="tx1"/>
            </w14:solidFill>
          </w14:textFill>
        </w:rPr>
      </w:pPr>
      <w:r>
        <w:rPr>
          <w:rFonts w:cs="宋体"/>
          <w:color w:val="000000" w:themeColor="text1"/>
          <w:sz w:val="21"/>
          <w:szCs w:val="21"/>
          <w:lang w:bidi="ar"/>
          <w14:textFill>
            <w14:solidFill>
              <w14:schemeClr w14:val="tx1"/>
            </w14:solidFill>
          </w14:textFill>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lang w:bidi="ar"/>
          <w14:textFill>
            <w14:solidFill>
              <w14:schemeClr w14:val="tx1"/>
            </w14:solidFill>
          </w14:textFill>
        </w:rPr>
        <w:t xml:space="preserve">      2.本套报表金额单位转换时可能存在尾数误差。</w:t>
      </w:r>
      <w:r>
        <w:rPr>
          <w:rFonts w:cs="宋体"/>
          <w:color w:val="000000" w:themeColor="text1"/>
          <w:sz w:val="21"/>
          <w:szCs w:val="21"/>
          <w:lang w:bidi="ar"/>
          <w14:textFill>
            <w14:solidFill>
              <w14:schemeClr w14:val="tx1"/>
            </w14:solidFill>
          </w14:textFill>
        </w:rPr>
        <w:br w:type="textWrapping"/>
      </w:r>
      <w:r>
        <w:rPr>
          <w:rFonts w:cs="宋体"/>
          <w:color w:val="000000" w:themeColor="text1"/>
          <w:sz w:val="21"/>
          <w:szCs w:val="21"/>
          <w14:textFill>
            <w14:solidFill>
              <w14:schemeClr w14:val="tx1"/>
            </w14:solidFill>
          </w14:textFill>
        </w:rPr>
        <w:br w:type="textWrapping"/>
      </w:r>
    </w:p>
    <w:p>
      <w:pPr>
        <w:rPr>
          <w:rFonts w:hint="default" w:cs="宋体"/>
          <w:color w:val="000000" w:themeColor="text1"/>
          <w:sz w:val="21"/>
          <w:szCs w:val="21"/>
          <w:lang w:bidi="ar"/>
          <w14:textFill>
            <w14:solidFill>
              <w14:schemeClr w14:val="tx1"/>
            </w14:solidFill>
          </w14:textFill>
        </w:rPr>
      </w:pPr>
    </w:p>
    <w:p>
      <w:pPr>
        <w:rPr>
          <w:rFonts w:hint="default" w:cs="宋体"/>
          <w:color w:val="000000" w:themeColor="text1"/>
          <w:sz w:val="21"/>
          <w:szCs w:val="21"/>
          <w:lang w:bidi="ar"/>
          <w14:textFill>
            <w14:solidFill>
              <w14:schemeClr w14:val="tx1"/>
            </w14:solidFill>
          </w14:textFill>
        </w:rPr>
      </w:pPr>
    </w:p>
    <w:p>
      <w:pPr>
        <w:rPr>
          <w:rFonts w:hint="default" w:cs="宋体"/>
          <w:color w:val="000000" w:themeColor="text1"/>
          <w:sz w:val="21"/>
          <w:szCs w:val="21"/>
          <w:lang w:bidi="ar"/>
          <w14:textFill>
            <w14:solidFill>
              <w14:schemeClr w14:val="tx1"/>
            </w14:solidFill>
          </w14:textFill>
        </w:rPr>
      </w:pPr>
    </w:p>
    <w:p>
      <w:pPr>
        <w:rPr>
          <w:rFonts w:hint="default" w:cs="宋体"/>
          <w:color w:val="000000" w:themeColor="text1"/>
          <w:sz w:val="21"/>
          <w:szCs w:val="21"/>
          <w:lang w:bidi="ar"/>
          <w14:textFill>
            <w14:solidFill>
              <w14:schemeClr w14:val="tx1"/>
            </w14:solidFill>
          </w14:textFill>
        </w:rPr>
      </w:pPr>
    </w:p>
    <w:p>
      <w:pPr>
        <w:rPr>
          <w:rFonts w:hint="default" w:cs="宋体"/>
          <w:color w:val="000000" w:themeColor="text1"/>
          <w:sz w:val="21"/>
          <w:szCs w:val="21"/>
          <w:lang w:bidi="ar"/>
          <w14:textFill>
            <w14:solidFill>
              <w14:schemeClr w14:val="tx1"/>
            </w14:solidFill>
          </w14:textFill>
        </w:rPr>
      </w:pPr>
    </w:p>
    <w:p>
      <w:pPr>
        <w:rPr>
          <w:rFonts w:hint="default" w:cs="宋体"/>
          <w:color w:val="000000" w:themeColor="text1"/>
          <w:sz w:val="21"/>
          <w:szCs w:val="21"/>
          <w:lang w:bidi="ar"/>
          <w14:textFill>
            <w14:solidFill>
              <w14:schemeClr w14:val="tx1"/>
            </w14:solidFill>
          </w14:textFill>
        </w:rPr>
      </w:pPr>
    </w:p>
    <w:p>
      <w:pPr>
        <w:rPr>
          <w:rFonts w:hint="default" w:cs="宋体"/>
          <w:color w:val="000000" w:themeColor="text1"/>
          <w:sz w:val="21"/>
          <w:szCs w:val="21"/>
          <w:lang w:bidi="ar"/>
          <w14:textFill>
            <w14:solidFill>
              <w14:schemeClr w14:val="tx1"/>
            </w14:solidFill>
          </w14:textFill>
        </w:rPr>
      </w:pPr>
    </w:p>
    <w:p>
      <w:pPr>
        <w:rPr>
          <w:rFonts w:hint="default" w:cs="宋体"/>
          <w:color w:val="000000" w:themeColor="text1"/>
          <w:sz w:val="21"/>
          <w:szCs w:val="21"/>
          <w:lang w:bidi="ar"/>
          <w14:textFill>
            <w14:solidFill>
              <w14:schemeClr w14:val="tx1"/>
            </w14:solidFill>
          </w14:textFill>
        </w:rPr>
      </w:pPr>
    </w:p>
    <w:p>
      <w:pPr>
        <w:rPr>
          <w:rFonts w:hint="default" w:cs="宋体"/>
          <w:color w:val="000000" w:themeColor="text1"/>
          <w:sz w:val="21"/>
          <w:szCs w:val="21"/>
          <w:lang w:bidi="ar"/>
          <w14:textFill>
            <w14:solidFill>
              <w14:schemeClr w14:val="tx1"/>
            </w14:solidFill>
          </w14:textFill>
        </w:rPr>
      </w:pPr>
    </w:p>
    <w:p>
      <w:pPr>
        <w:pStyle w:val="12"/>
        <w:autoSpaceDE w:val="0"/>
        <w:ind w:firstLine="0" w:firstLineChars="0"/>
        <w:rPr>
          <w:rFonts w:cs="宋体"/>
          <w:color w:val="000000" w:themeColor="text1"/>
          <w:sz w:val="21"/>
          <w:szCs w:val="21"/>
          <w14:textFill>
            <w14:solidFill>
              <w14:schemeClr w14:val="tx1"/>
            </w14:solidFill>
          </w14:textFill>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ourier New">
    <w:altName w:val="DejaVu Sans"/>
    <w:panose1 w:val="02070309020205020404"/>
    <w:charset w:val="00"/>
    <w:family w:val="modern"/>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Arial">
    <w:altName w:val="DejaVu Sans"/>
    <w:panose1 w:val="020B0604020202020204"/>
    <w:charset w:val="00"/>
    <w:family w:val="swiss"/>
    <w:pitch w:val="default"/>
    <w:sig w:usb0="00000000" w:usb1="00000000" w:usb2="00000009" w:usb3="00000000" w:csb0="000001FF"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Bitstream Charter">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rPr>
                          </w:pPr>
                          <w:r>
                            <w:fldChar w:fldCharType="begin"/>
                          </w:r>
                          <w:r>
                            <w:instrText xml:space="preserve"> PAGE  \* MERGEFORMAT </w:instrText>
                          </w:r>
                          <w:r>
                            <w:fldChar w:fldCharType="separate"/>
                          </w:r>
                          <w:r>
                            <w:rPr>
                              <w:rFonts w:hint="default"/>
                            </w:rPr>
                            <w:t>- 11 -</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94E9D"/>
    <w:rsid w:val="001C01B5"/>
    <w:rsid w:val="002762F9"/>
    <w:rsid w:val="00550ABE"/>
    <w:rsid w:val="007B419D"/>
    <w:rsid w:val="009B67B8"/>
    <w:rsid w:val="00B03CCD"/>
    <w:rsid w:val="00E17F51"/>
    <w:rsid w:val="00E34F55"/>
    <w:rsid w:val="00F67F18"/>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885D00"/>
    <w:rsid w:val="0FA25D96"/>
    <w:rsid w:val="107B59E5"/>
    <w:rsid w:val="10EC0126"/>
    <w:rsid w:val="10F70B9A"/>
    <w:rsid w:val="111445C7"/>
    <w:rsid w:val="114278C6"/>
    <w:rsid w:val="1158083A"/>
    <w:rsid w:val="11643A4B"/>
    <w:rsid w:val="11645D7D"/>
    <w:rsid w:val="11ED0F98"/>
    <w:rsid w:val="11F03528"/>
    <w:rsid w:val="12C921C4"/>
    <w:rsid w:val="13871C70"/>
    <w:rsid w:val="13A71CB4"/>
    <w:rsid w:val="13AF1D43"/>
    <w:rsid w:val="13CE1647"/>
    <w:rsid w:val="13FD55AB"/>
    <w:rsid w:val="14200702"/>
    <w:rsid w:val="154277E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465FBC"/>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3F6C95"/>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5BA1235"/>
    <w:rsid w:val="35FB75BE"/>
    <w:rsid w:val="36C9128A"/>
    <w:rsid w:val="37841E99"/>
    <w:rsid w:val="37BF1123"/>
    <w:rsid w:val="37EB12E1"/>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8006ED"/>
    <w:rsid w:val="3DDF3AB1"/>
    <w:rsid w:val="3E1D0952"/>
    <w:rsid w:val="3E42660A"/>
    <w:rsid w:val="3E7555B1"/>
    <w:rsid w:val="3E787ED9"/>
    <w:rsid w:val="3F032E93"/>
    <w:rsid w:val="3F0527E5"/>
    <w:rsid w:val="3F694D83"/>
    <w:rsid w:val="3F885DCC"/>
    <w:rsid w:val="3FCD675E"/>
    <w:rsid w:val="4004000C"/>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642AFC"/>
    <w:rsid w:val="578867FC"/>
    <w:rsid w:val="5842572D"/>
    <w:rsid w:val="5A3B59D6"/>
    <w:rsid w:val="5AD134D8"/>
    <w:rsid w:val="5B2B5BD9"/>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AD2300"/>
    <w:rsid w:val="6B474EF5"/>
    <w:rsid w:val="6C0A5AC5"/>
    <w:rsid w:val="6C560CAE"/>
    <w:rsid w:val="6C576495"/>
    <w:rsid w:val="6D2F2327"/>
    <w:rsid w:val="6D903FF5"/>
    <w:rsid w:val="6DA955B8"/>
    <w:rsid w:val="6DE346AB"/>
    <w:rsid w:val="6DE5391A"/>
    <w:rsid w:val="6EAE74CC"/>
    <w:rsid w:val="6EFD1324"/>
    <w:rsid w:val="6F5A53AC"/>
    <w:rsid w:val="6FAC003D"/>
    <w:rsid w:val="6FE55E12"/>
    <w:rsid w:val="6FFB2E76"/>
    <w:rsid w:val="708F6F7F"/>
    <w:rsid w:val="70D94BD3"/>
    <w:rsid w:val="71C34D91"/>
    <w:rsid w:val="72DB435C"/>
    <w:rsid w:val="72E2613A"/>
    <w:rsid w:val="72F771F4"/>
    <w:rsid w:val="73934AD2"/>
    <w:rsid w:val="750837F0"/>
    <w:rsid w:val="754758CF"/>
    <w:rsid w:val="760E0E56"/>
    <w:rsid w:val="764F62AB"/>
    <w:rsid w:val="765C45EC"/>
    <w:rsid w:val="768A7619"/>
    <w:rsid w:val="772E1EBA"/>
    <w:rsid w:val="781926BC"/>
    <w:rsid w:val="796D60A4"/>
    <w:rsid w:val="79A031D5"/>
    <w:rsid w:val="7A1525F7"/>
    <w:rsid w:val="7B420052"/>
    <w:rsid w:val="7BD06A28"/>
    <w:rsid w:val="7C3A7C0B"/>
    <w:rsid w:val="7C5248E4"/>
    <w:rsid w:val="7C566698"/>
    <w:rsid w:val="7C5866A3"/>
    <w:rsid w:val="7C7801A1"/>
    <w:rsid w:val="7D7406BB"/>
    <w:rsid w:val="7DE94331"/>
    <w:rsid w:val="7F446A19"/>
    <w:rsid w:val="7F7452B9"/>
    <w:rsid w:val="F5EF7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3"/>
    <w:qFormat/>
    <w:uiPriority w:val="99"/>
    <w:pPr>
      <w:spacing w:before="0" w:beforeAutospacing="0" w:after="0" w:afterAutospacing="0"/>
    </w:pPr>
    <w:rPr>
      <w:rFonts w:hAnsi="Courier New"/>
      <w:sz w:val="20"/>
      <w:szCs w:val="20"/>
    </w:rPr>
  </w:style>
  <w:style w:type="paragraph" w:customStyle="1" w:styleId="3">
    <w:name w:val="msonormal"/>
    <w:basedOn w:val="1"/>
    <w:qFormat/>
    <w:uiPriority w:val="0"/>
    <w:pPr>
      <w:spacing w:before="100" w:beforeAutospacing="1" w:after="100" w:afterAutospacing="1"/>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link w:val="16"/>
    <w:qFormat/>
    <w:uiPriority w:val="99"/>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basedOn w:val="3"/>
    <w:qFormat/>
    <w:uiPriority w:val="0"/>
    <w:rPr>
      <w:rFonts w:hint="default"/>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页眉 字符"/>
    <w:basedOn w:val="10"/>
    <w:link w:val="5"/>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1869</Words>
  <Characters>10658</Characters>
  <Lines>88</Lines>
  <Paragraphs>25</Paragraphs>
  <TotalTime>4</TotalTime>
  <ScaleCrop>false</ScaleCrop>
  <LinksUpToDate>false</LinksUpToDate>
  <CharactersWithSpaces>12502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user</cp:lastModifiedBy>
  <dcterms:modified xsi:type="dcterms:W3CDTF">2025-10-27T10:15:21Z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BB46EABDBB2749749395447164B066B3_12</vt:lpwstr>
  </property>
</Properties>
</file>