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垫江县价格认证中心</w:t>
      </w: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主要职能职责：涉案财物价格鉴证；涉纪财物价格认定；涉税财物价格认定；定调价成本监审。</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具体职责任务</w:t>
      </w:r>
      <w:r>
        <w:rPr>
          <w:rFonts w:hint="default" w:ascii="Times New Roman" w:hAnsi="Times New Roman" w:eastAsia="方正仿宋_GBK"/>
          <w:sz w:val="32"/>
          <w:szCs w:val="32"/>
        </w:rPr>
        <w:t>:</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）负责全县司法机关和行政执法机关执法过程中发生的涉案财物（包括刑事犯罪、行政处罚、行政诉讼、国家赔偿和法律援助等案件的涉案财物）标的物价值进行价格鉴证。（</w:t>
      </w:r>
      <w:r>
        <w:rPr>
          <w:rFonts w:hint="default" w:ascii="Times New Roman" w:hAnsi="Times New Roman" w:eastAsia="方正仿宋_GBK"/>
          <w:sz w:val="32"/>
          <w:szCs w:val="32"/>
        </w:rPr>
        <w:t>2</w:t>
      </w:r>
      <w:r>
        <w:rPr>
          <w:rFonts w:ascii="方正仿宋_GBK" w:hAnsi="方正仿宋_GBK" w:eastAsia="方正仿宋_GBK" w:cs="方正仿宋_GBK"/>
          <w:sz w:val="32"/>
          <w:szCs w:val="32"/>
        </w:rPr>
        <w:t>）负责县纪检监察机关查办案件中涉案财物的价格认定工作。（</w:t>
      </w:r>
      <w:r>
        <w:rPr>
          <w:rFonts w:hint="default" w:ascii="Times New Roman" w:hAnsi="Times New Roman" w:eastAsia="方正仿宋_GBK"/>
          <w:sz w:val="32"/>
          <w:szCs w:val="32"/>
        </w:rPr>
        <w:t>3</w:t>
      </w:r>
      <w:r>
        <w:rPr>
          <w:rFonts w:ascii="方正仿宋_GBK" w:hAnsi="方正仿宋_GBK" w:eastAsia="方正仿宋_GBK" w:cs="方正仿宋_GBK"/>
          <w:sz w:val="32"/>
          <w:szCs w:val="32"/>
        </w:rPr>
        <w:t>）负责全县税务机关在税收征管过程中的商品、货物、其他财产或者财产性权利等涉税财物进行价格认定。（</w:t>
      </w:r>
      <w:r>
        <w:rPr>
          <w:rFonts w:hint="default" w:ascii="Times New Roman" w:hAnsi="Times New Roman" w:eastAsia="方正仿宋_GBK"/>
          <w:sz w:val="32"/>
          <w:szCs w:val="32"/>
        </w:rPr>
        <w:t>4</w:t>
      </w:r>
      <w:r>
        <w:rPr>
          <w:rFonts w:ascii="方正仿宋_GBK" w:hAnsi="方正仿宋_GBK" w:eastAsia="方正仿宋_GBK" w:cs="方正仿宋_GBK"/>
          <w:sz w:val="32"/>
          <w:szCs w:val="32"/>
        </w:rPr>
        <w:t>）负责政府定（调）价前后的成本监审、</w:t>
      </w:r>
      <w:r>
        <w:rPr>
          <w:rFonts w:hint="eastAsia" w:ascii="方正仿宋_GBK" w:hAnsi="方正仿宋_GBK" w:eastAsia="方正仿宋_GBK" w:cs="方正仿宋_GBK"/>
          <w:sz w:val="32"/>
          <w:szCs w:val="32"/>
          <w:lang w:eastAsia="zh-CN"/>
        </w:rPr>
        <w:t>行政事业性收费成本监审</w:t>
      </w:r>
      <w:r>
        <w:rPr>
          <w:rFonts w:ascii="方正仿宋_GBK" w:hAnsi="方正仿宋_GBK" w:eastAsia="方正仿宋_GBK" w:cs="方正仿宋_GBK"/>
          <w:sz w:val="32"/>
          <w:szCs w:val="32"/>
        </w:rPr>
        <w:t>，对定（调）价以及收费事理性进行论证。</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13"/>
        <w:autoSpaceDE w:val="0"/>
        <w:spacing w:before="0" w:beforeAutospacing="0" w:after="0" w:afterAutospacing="0" w:line="594" w:lineRule="exact"/>
        <w:ind w:left="135" w:firstLine="640" w:firstLineChars="200"/>
        <w:rPr>
          <w:rFonts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垫江县价格认证中心内设价格认定科室。</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2023年度收入总计173.77万元，支出总计</w:t>
      </w:r>
      <w:r>
        <w:rPr>
          <w:rFonts w:ascii="方正仿宋_GBK" w:hAnsi="方正仿宋_GBK" w:eastAsia="方正仿宋_GBK" w:cs="方正仿宋_GBK"/>
          <w:sz w:val="32"/>
          <w:szCs w:val="32"/>
        </w:rPr>
        <w:t>173.77</w:t>
      </w:r>
      <w:r>
        <w:rPr>
          <w:rFonts w:ascii="方正仿宋_GBK" w:hAnsi="方正仿宋_GBK" w:eastAsia="方正仿宋_GBK" w:cs="方正仿宋_GBK"/>
          <w:sz w:val="32"/>
          <w:szCs w:val="32"/>
          <w:shd w:val="clear" w:color="auto" w:fill="FFFFFF"/>
        </w:rPr>
        <w:t>万元。收支较上年决算数增加0.95万元，增长0.55%，主要原因是人员工资晋级晋档、公用经费支出增加。</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2023年度收入合计172.71万元，较上年决算数增加1.38万元，增长0.81%，主要原因是人员工资晋级晋档、公用经费支出增加。其中：财政拨款收入</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w:t>
      </w:r>
    </w:p>
    <w:p>
      <w:pPr>
        <w:pStyle w:val="7"/>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万元，较上年决算数增加0.96万元，增长0.56%，主要原因是人员工资晋级晋档、公用经费支出增加。其中：基本支出</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万元，较上年决算数无增减，主要原因是收入支出均为预算内资金，未支出结转结余。</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2023年度财政拨款收、支总计173.77万元。与2022年相比，财政拨款收、支总计各增加0.95万元，增长0.55%。主要原因是人员工资晋级晋档、公用经费支出增加。</w:t>
      </w:r>
    </w:p>
    <w:p>
      <w:pPr>
        <w:pStyle w:val="7"/>
        <w:shd w:val="clear" w:color="auto" w:fill="FFFFFF"/>
        <w:ind w:firstLine="642" w:firstLineChars="200"/>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较上年决算数增加1.38万元，增长0.81%。主要原因是人员工资晋级晋档、公用经费支出增加。较年初预算数增加0.74万元，增长0.43%。主要原因是追加人员晋级晋档工资、公用经费支出增加。此外，年初财政拨款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万元，较上年决算数增加0.96万元，增长0.56%。主要原因是人员工资晋级晋档、公用经费支出增加。较年初预算数增加0.74万元，增长0.43%。主要原因是追加人员晋级晋档工资、公用经费支出增加。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万元，较上年决算数无增减，主要原因是收入支出均为预算内资金，未支出结转结余。</w:t>
      </w:r>
    </w:p>
    <w:p>
      <w:pPr>
        <w:pStyle w:val="7"/>
        <w:snapToGrid w:val="0"/>
        <w:spacing w:before="0" w:beforeAutospacing="0" w:after="0" w:afterAutospacing="0" w:line="600" w:lineRule="exact"/>
        <w:ind w:firstLine="321" w:firstLineChars="1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133.39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77.24</w:t>
      </w:r>
      <w:r>
        <w:rPr>
          <w:rFonts w:ascii="方正仿宋_GBK" w:hAnsi="方正仿宋_GBK" w:eastAsia="方正仿宋_GBK" w:cs="方正仿宋_GBK"/>
          <w:sz w:val="32"/>
          <w:szCs w:val="32"/>
          <w:shd w:val="clear" w:color="auto" w:fill="FFFFFF"/>
        </w:rPr>
        <w:t>%，较年初预算数增加5.01万元，增长3.90%，主要原因是人员晋级晋档工资、公用经费支出增加。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26.12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15.13</w:t>
      </w:r>
      <w:r>
        <w:rPr>
          <w:rFonts w:ascii="方正仿宋_GBK" w:hAnsi="方正仿宋_GBK" w:eastAsia="方正仿宋_GBK" w:cs="方正仿宋_GBK"/>
          <w:sz w:val="32"/>
          <w:szCs w:val="32"/>
          <w:shd w:val="clear" w:color="auto" w:fill="FFFFFF"/>
        </w:rPr>
        <w:t>%，较年初预算数增加0.13万元，增长0.50%，主要原因是人员工资调标，基数增加。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3.54</w:t>
      </w:r>
      <w:r>
        <w:rPr>
          <w:rFonts w:ascii="方正仿宋_GBK" w:hAnsi="方正仿宋_GBK" w:eastAsia="方正仿宋_GBK" w:cs="方正仿宋_GBK"/>
          <w:sz w:val="32"/>
          <w:szCs w:val="32"/>
          <w:shd w:val="clear" w:color="auto" w:fill="FFFFFF"/>
        </w:rPr>
        <w:t>%，较年初预算数增加0.40万元，增长6.99%，主要原因是人员工资调标，基数增加。</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4.10</w:t>
      </w:r>
      <w:r>
        <w:rPr>
          <w:rFonts w:ascii="方正仿宋_GBK" w:hAnsi="方正仿宋_GBK" w:eastAsia="方正仿宋_GBK" w:cs="方正仿宋_GBK"/>
          <w:sz w:val="32"/>
          <w:szCs w:val="32"/>
          <w:shd w:val="clear" w:color="auto" w:fill="FFFFFF"/>
        </w:rPr>
        <w:t>%，较年初预算数减少4.32万元，下降37.93%，主要原因是清算2021年公积金，应收回部分在公积金缴纳中抵扣。</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172.71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万元，较上年决算数减少3.88万元，下降2.58%，主要原因是清算2021年公积金，应收回部分在公积金缴纳中抵扣。人员经费用途主要包括</w:t>
      </w:r>
      <w:r>
        <w:rPr>
          <w:rFonts w:ascii="方正仿宋_GBK" w:hAnsi="方正仿宋_GBK" w:eastAsia="方正仿宋_GBK" w:cs="方正仿宋_GBK"/>
          <w:sz w:val="32"/>
          <w:szCs w:val="32"/>
        </w:rPr>
        <w:t>基本工资、津贴补贴、基础绩效奖、社会保障缴费、住房公积金、医疗费等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26.28</w:t>
      </w:r>
      <w:r>
        <w:rPr>
          <w:rFonts w:ascii="方正仿宋_GBK" w:hAnsi="方正仿宋_GBK" w:eastAsia="方正仿宋_GBK" w:cs="方正仿宋_GBK"/>
          <w:sz w:val="32"/>
          <w:szCs w:val="32"/>
          <w:shd w:val="clear" w:color="auto" w:fill="FFFFFF"/>
        </w:rPr>
        <w:t>万元，较上年决算数增加4.83万元，增长22.52%，主要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合署办公，2023年在本单位支出差旅费、办公费增加。公用经费用途主要包括</w:t>
      </w:r>
      <w:r>
        <w:rPr>
          <w:rFonts w:ascii="方正仿宋_GBK" w:hAnsi="方正仿宋_GBK" w:eastAsia="方正仿宋_GBK" w:cs="方正仿宋_GBK"/>
          <w:sz w:val="32"/>
          <w:szCs w:val="32"/>
        </w:rPr>
        <w:t>办公费、邮电费、福利费、差旅费、培训费、工会经费等</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万元，较上年决算数无增减，主要原因是本年度未发生会议费，本年度培训费支出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万元，较上年决算数无变化，主要原因是本年度未发生培训费。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26.28</w:t>
      </w:r>
      <w:r>
        <w:rPr>
          <w:rFonts w:ascii="方正仿宋_GBK" w:hAnsi="方正仿宋_GBK" w:eastAsia="方正仿宋_GBK" w:cs="方正仿宋_GBK"/>
          <w:sz w:val="32"/>
          <w:szCs w:val="32"/>
          <w:shd w:val="clear" w:color="auto" w:fill="FFFFFF"/>
        </w:rPr>
        <w:t>万元，机关运行经费主要用于</w:t>
      </w:r>
      <w:r>
        <w:rPr>
          <w:rFonts w:ascii="方正仿宋_GBK" w:hAnsi="方正仿宋_GBK" w:eastAsia="方正仿宋_GBK" w:cs="方正仿宋_GBK"/>
          <w:sz w:val="32"/>
          <w:szCs w:val="32"/>
        </w:rPr>
        <w:t>办公费、福利费、差旅费、邮电费、劳务费、其他交通费、其他商品服务支出等费用</w:t>
      </w:r>
      <w:r>
        <w:rPr>
          <w:rFonts w:ascii="方正仿宋_GBK" w:hAnsi="方正仿宋_GBK" w:eastAsia="方正仿宋_GBK" w:cs="方正仿宋_GBK"/>
          <w:sz w:val="32"/>
          <w:szCs w:val="32"/>
          <w:shd w:val="clear" w:color="auto" w:fill="FFFFFF"/>
        </w:rPr>
        <w:t>。机关运行经费较上年支出数增加4.83万元，增长22.52%，主要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合署办公，2023年在本单位支出差旅费、办公费增加。</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xml:space="preserve">  五、预算绩效管理情况说明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根据预算绩效管理要求，我单位为下属单位，2023年未开展项目自评，涉及项目支出资金0万元。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12"/>
        <w:autoSpaceDE w:val="0"/>
        <w:ind w:firstLine="640"/>
        <w:rPr>
          <w:rStyle w:val="11"/>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联系人：马</w:t>
      </w:r>
      <w:r>
        <w:rPr>
          <w:rFonts w:hint="eastAsia" w:ascii="方正仿宋_GBK" w:hAnsi="方正仿宋_GBK" w:eastAsia="方正仿宋_GBK" w:cs="方正仿宋_GBK"/>
          <w:sz w:val="32"/>
          <w:szCs w:val="32"/>
          <w:shd w:val="clear" w:color="auto" w:fill="FFFFFF"/>
          <w:lang w:val="en-US" w:eastAsia="zh-CN"/>
        </w:rPr>
        <w:t>老师</w:t>
      </w:r>
      <w:r>
        <w:rPr>
          <w:rFonts w:hint="eastAsia" w:ascii="方正仿宋_GBK" w:hAnsi="方正仿宋_GBK" w:eastAsia="方正仿宋_GBK" w:cs="方正仿宋_GBK"/>
          <w:sz w:val="32"/>
          <w:szCs w:val="32"/>
          <w:shd w:val="clear" w:color="auto" w:fill="FFFFFF"/>
        </w:rPr>
        <w:t xml:space="preserve">  联系方式：023-74529950</w:t>
      </w:r>
    </w:p>
    <w:p>
      <w:pPr>
        <w:pStyle w:val="13"/>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rPr>
            </w:pPr>
            <w:r>
              <w:rPr>
                <w:rFonts w:cs="宋体"/>
              </w:rPr>
              <w:t>公开单位：垫江县价格认证中心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133.39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26.12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173.77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173.77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cs="宋体"/>
              </w:rPr>
              <w:t>公开单位：垫江县价格认证中心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发展与改革事务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133.39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133.39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 xml:space="preserve">垫江县价格认证中心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发展与改革事务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133.39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133.39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133.39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172.71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1.06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173.77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173.77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173.77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172.71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133.39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133.39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发展与改革事务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133.39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133.39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133.39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133.39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6.80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5.72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7.07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140.71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49.54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0.17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7.07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5.72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146.43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26.28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垫江县价格认证中心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26.28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26.28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02621"/>
    <w:rsid w:val="00477112"/>
    <w:rsid w:val="00550ABE"/>
    <w:rsid w:val="00642029"/>
    <w:rsid w:val="007B419D"/>
    <w:rsid w:val="009B67B8"/>
    <w:rsid w:val="00AE36B6"/>
    <w:rsid w:val="00B03CCD"/>
    <w:rsid w:val="00B71CD3"/>
    <w:rsid w:val="00E93A70"/>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463FEB"/>
    <w:rsid w:val="0B9335CE"/>
    <w:rsid w:val="0BF2311A"/>
    <w:rsid w:val="0C7927C4"/>
    <w:rsid w:val="0C9B098C"/>
    <w:rsid w:val="0CBC2104"/>
    <w:rsid w:val="0D673E11"/>
    <w:rsid w:val="0DDA54E4"/>
    <w:rsid w:val="0E3A5F83"/>
    <w:rsid w:val="0F836721"/>
    <w:rsid w:val="0FA25D96"/>
    <w:rsid w:val="10417AF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FC769A"/>
    <w:rsid w:val="173708E3"/>
    <w:rsid w:val="17C374FC"/>
    <w:rsid w:val="182E4AB6"/>
    <w:rsid w:val="189079DC"/>
    <w:rsid w:val="189B0D0B"/>
    <w:rsid w:val="18B43F7C"/>
    <w:rsid w:val="194A1770"/>
    <w:rsid w:val="19B906A4"/>
    <w:rsid w:val="1A6E592F"/>
    <w:rsid w:val="1B6F15B6"/>
    <w:rsid w:val="1BAA2EDC"/>
    <w:rsid w:val="1CA55E64"/>
    <w:rsid w:val="1D014A01"/>
    <w:rsid w:val="1D022362"/>
    <w:rsid w:val="1D1B04B0"/>
    <w:rsid w:val="1DA52501"/>
    <w:rsid w:val="1DBD6767"/>
    <w:rsid w:val="1DC52125"/>
    <w:rsid w:val="1DD26311"/>
    <w:rsid w:val="1E374ACB"/>
    <w:rsid w:val="1E9D6EF3"/>
    <w:rsid w:val="1ECF0A66"/>
    <w:rsid w:val="1EF67CA4"/>
    <w:rsid w:val="1F020D3A"/>
    <w:rsid w:val="1F2C5189"/>
    <w:rsid w:val="1F4B0B02"/>
    <w:rsid w:val="1FBB35CD"/>
    <w:rsid w:val="1FCD26AF"/>
    <w:rsid w:val="1FE977D5"/>
    <w:rsid w:val="20642787"/>
    <w:rsid w:val="207D2418"/>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DB2488"/>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02020"/>
    <w:rsid w:val="3C566AD6"/>
    <w:rsid w:val="3C594871"/>
    <w:rsid w:val="3C6A5B02"/>
    <w:rsid w:val="3D2757A1"/>
    <w:rsid w:val="3D3D4FC4"/>
    <w:rsid w:val="3DDF3AB1"/>
    <w:rsid w:val="3E1D0952"/>
    <w:rsid w:val="3E42660A"/>
    <w:rsid w:val="3E7555B1"/>
    <w:rsid w:val="3E787ED9"/>
    <w:rsid w:val="3F032E93"/>
    <w:rsid w:val="3F0527E5"/>
    <w:rsid w:val="3F611A2F"/>
    <w:rsid w:val="3F694D83"/>
    <w:rsid w:val="3F885DCC"/>
    <w:rsid w:val="3FB9177B"/>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1649D0"/>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3B335B"/>
    <w:rsid w:val="54861779"/>
    <w:rsid w:val="552256E1"/>
    <w:rsid w:val="554E5773"/>
    <w:rsid w:val="555A3CBC"/>
    <w:rsid w:val="5582012B"/>
    <w:rsid w:val="558E4E05"/>
    <w:rsid w:val="55BE2E85"/>
    <w:rsid w:val="56530F5D"/>
    <w:rsid w:val="567700D3"/>
    <w:rsid w:val="56FF7E9E"/>
    <w:rsid w:val="578867FC"/>
    <w:rsid w:val="58343A36"/>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430118"/>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503621"/>
    <w:rsid w:val="72DB435C"/>
    <w:rsid w:val="72E2613A"/>
    <w:rsid w:val="72F771F4"/>
    <w:rsid w:val="73934AD2"/>
    <w:rsid w:val="73D0172A"/>
    <w:rsid w:val="750837F0"/>
    <w:rsid w:val="754758CF"/>
    <w:rsid w:val="764F62AB"/>
    <w:rsid w:val="765C45EC"/>
    <w:rsid w:val="768A7619"/>
    <w:rsid w:val="772E1EBA"/>
    <w:rsid w:val="781926BC"/>
    <w:rsid w:val="796D60A4"/>
    <w:rsid w:val="79763AD4"/>
    <w:rsid w:val="79A031D5"/>
    <w:rsid w:val="7A1525F7"/>
    <w:rsid w:val="7B420052"/>
    <w:rsid w:val="7BD06A28"/>
    <w:rsid w:val="7C3A7C0B"/>
    <w:rsid w:val="7C5248E4"/>
    <w:rsid w:val="7C566698"/>
    <w:rsid w:val="7C5866A3"/>
    <w:rsid w:val="7D634F7B"/>
    <w:rsid w:val="7D7406BB"/>
    <w:rsid w:val="7DE94331"/>
    <w:rsid w:val="7F446A19"/>
    <w:rsid w:val="7F7452B9"/>
    <w:rsid w:val="D6CD171E"/>
    <w:rsid w:val="F8FE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3"/>
    <w:qFormat/>
    <w:uiPriority w:val="99"/>
    <w:pPr>
      <w:spacing w:before="0" w:beforeAutospacing="0" w:after="0" w:afterAutospacing="0"/>
    </w:pPr>
    <w:rPr>
      <w:rFonts w:hAnsi="Courier New"/>
      <w:sz w:val="20"/>
      <w:szCs w:val="20"/>
    </w:rPr>
  </w:style>
  <w:style w:type="paragraph" w:customStyle="1" w:styleId="3">
    <w:name w:val="msonormal"/>
    <w:basedOn w:val="1"/>
    <w:qFormat/>
    <w:uiPriority w:val="0"/>
    <w:pPr>
      <w:spacing w:before="100" w:beforeAutospacing="1" w:after="100" w:afterAutospacing="1"/>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basedOn w:val="3"/>
    <w:qFormat/>
    <w:uiPriority w:val="0"/>
    <w:rPr>
      <w:rFonts w:hint="default"/>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1871</Words>
  <Characters>10666</Characters>
  <Lines>88</Lines>
  <Paragraphs>25</Paragraphs>
  <TotalTime>11</TotalTime>
  <ScaleCrop>false</ScaleCrop>
  <LinksUpToDate>false</LinksUpToDate>
  <CharactersWithSpaces>12512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2025-10-27T10:17:38Z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