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color w:val="000000" w:themeColor="text1"/>
          <w:sz w:val="36"/>
          <w:szCs w:val="36"/>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垫江县发展和改革委员会（本级）</w:t>
      </w:r>
    </w:p>
    <w:p>
      <w:pPr>
        <w:pStyle w:val="6"/>
        <w:spacing w:before="0" w:beforeAutospacing="0"/>
        <w:jc w:val="center"/>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r>
        <w:rPr>
          <w:rFonts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2023年度决算公开说明</w:t>
      </w:r>
    </w:p>
    <w:p>
      <w:pPr>
        <w:pStyle w:val="6"/>
        <w:shd w:val="clear" w:color="auto" w:fill="FFFFFF"/>
        <w:rPr>
          <w:rFonts w:hint="default" w:ascii="黑体" w:hAnsi="黑体" w:eastAsia="黑体" w:cs="黑体"/>
          <w:color w:val="000000" w:themeColor="text1"/>
          <w:sz w:val="32"/>
          <w:szCs w:val="32"/>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一、单位基本情况</w:t>
      </w:r>
    </w:p>
    <w:p>
      <w:pPr>
        <w:pStyle w:val="6"/>
        <w:shd w:val="clear" w:color="auto" w:fill="FFFFFF"/>
        <w:ind w:firstLine="42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（一）职能职责</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起草国民经济和社会发展、经济体制改革有关政策草案。受县政府委托向县人大提交国民经济和社会发展计划的报告。</w:t>
      </w:r>
      <w:bookmarkStart w:id="0" w:name="_GoBack"/>
      <w:bookmarkEnd w:id="0"/>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、提出加快建设现代化经济体系、推动高质量发展的总体目标、重大任务以及相关政策。组织开展重大战略规划、重大政策、重大工程等评估督导，提出相关调整建议。</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统筹提出国民经济和社会发展主要目标，监测预测预警宏观经济和社会发展态势趋势，提出宏观调控政策建议。综合协调宏观经济政策，牵头研究宏观经济应对措施。研究经济运行中的重大问题并及时提出相关政策建议，协调解决经济运行中的重大问题。研究起草有关价格和收费方面的规范性文件。拟订并组织实施有关价格政策，提出价格改革方案，实施地方定价目录及少数由政府管理的重要商品、服务价格和重要收费标准。参与拟订财政政策和金融政策。</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组织拟订并协调实施综合性经济体制改革方案及有关专项改革方案，会同有关部门做好重要专项改革之间的衔接。</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、研究提出利用外资和境外投资的战略、规划、总量平衡和结构优化的目标和政策。牵头推进落实</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一带一路</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建设。指导和监督国外贷款建设资金的使用。</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负责投资综合管理，拟订全社会固定资产投资总规模、结构调控目标和政策，会同相关部门拟订固定资产投资管理办法，协调推进投资项目审批制度改革。会同财政安排财政性建设资金，按规定权限审批、核准、审核重大项目。规划重大建设项目和生产力布局。拟订并推动落实鼓励民间投资政策措施。衔接平衡需要安排政府投资和涉及重大项目的专项规划。负责汇总编制政府投资规划及资金平衡计划。负责统筹、调度和督促重大项目，研究提出年度重点项目名单及资金平衡计划。指导工程咨询业发展。</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推进落实区域协调战略、新型城镇化战略和重大政策，组织拟订相关区域规划和政策。统筹推进实施全县重大区域发展战略。组织拟订并协调实施以工代赈和易地扶贫搬迁规划等。统筹协调区域合作和对口帮扶工作。组织编制并推动实施新型城镇化规划。负责地区经济协作的统筹协调，指导、协调乡镇处理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8</w:t>
      </w:r>
      <w:r>
        <w:rPr>
          <w:rFonts w:ascii="方正仿宋_GBK" w:hAnsi="方正仿宋_GBK" w:eastAsia="方正仿宋_GBK" w:cs="方正仿宋_GBK"/>
          <w:color w:val="000000" w:themeColor="text1"/>
          <w:sz w:val="32"/>
          <w:szCs w:val="32"/>
          <w14:textFill>
            <w14:solidFill>
              <w14:schemeClr w14:val="tx1"/>
            </w14:solidFill>
          </w14:textFill>
        </w:rPr>
        <w:t>、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9</w:t>
      </w:r>
      <w:r>
        <w:rPr>
          <w:rFonts w:ascii="方正仿宋_GBK" w:hAnsi="方正仿宋_GBK" w:eastAsia="方正仿宋_GBK" w:cs="方正仿宋_GBK"/>
          <w:color w:val="000000" w:themeColor="text1"/>
          <w:sz w:val="32"/>
          <w:szCs w:val="32"/>
          <w14:textFill>
            <w14:solidFill>
              <w14:schemeClr w14:val="tx1"/>
            </w14:solidFill>
          </w14:textFill>
        </w:rPr>
        <w:t>、推动实施创新驱动发展战略。统筹推进全县战略性新兴产业、高技术产业和数字经济发展，会同相关部门拟订推进创新创业的规划和政策，提出创新发展和培育经济发展新动能的政策，推进创新能力建设。会同相关部门规划布局重大科技基础设施。组织拟订并推动实施高技术产业、战略性新兴产业发展规划政策，协调产业升级、重大技术装备推广应用等方面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10</w:t>
      </w:r>
      <w:r>
        <w:rPr>
          <w:rFonts w:ascii="方正仿宋_GBK" w:hAnsi="方正仿宋_GBK" w:eastAsia="方正仿宋_GBK" w:cs="方正仿宋_GBK"/>
          <w:color w:val="000000" w:themeColor="text1"/>
          <w:sz w:val="32"/>
          <w:szCs w:val="32"/>
          <w14:textFill>
            <w14:solidFill>
              <w14:schemeClr w14:val="tx1"/>
            </w14:solidFill>
          </w14:textFill>
        </w:rPr>
        <w:t>、跟踪研判涉及经济安全、生态安全、资源安全、科技安全、社会安全等各类风险隐患，提出相关工作建议。研判国内外市场及外贸形势并提出政策建议。负责重要商品总量平衡和宏观调控。研究制定储备规划、政策措施并推动实施。承担粮食总量平衡和宏观调控工作，提出粮食流通发展的政策建议。负责粮食流通的行业管理和县级储备粮油管理。承担粮食监测、应急调控、军粮供应管理和监督检查等工作。对接重庆市粮食安全行政首长责任制考核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11</w:t>
      </w:r>
      <w:r>
        <w:rPr>
          <w:rFonts w:ascii="方正仿宋_GBK" w:hAnsi="方正仿宋_GBK" w:eastAsia="方正仿宋_GBK" w:cs="方正仿宋_GBK"/>
          <w:color w:val="000000" w:themeColor="text1"/>
          <w:sz w:val="32"/>
          <w:szCs w:val="32"/>
          <w14:textFill>
            <w14:solidFill>
              <w14:schemeClr w14:val="tx1"/>
            </w14:solidFill>
          </w14:textFill>
        </w:rPr>
        <w:t>、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12</w:t>
      </w:r>
      <w:r>
        <w:rPr>
          <w:rFonts w:ascii="方正仿宋_GBK" w:hAnsi="方正仿宋_GBK" w:eastAsia="方正仿宋_GBK" w:cs="方正仿宋_GBK"/>
          <w:color w:val="000000" w:themeColor="text1"/>
          <w:sz w:val="32"/>
          <w:szCs w:val="32"/>
          <w14:textFill>
            <w14:solidFill>
              <w14:schemeClr w14:val="tx1"/>
            </w14:solidFill>
          </w14:textFill>
        </w:rPr>
        <w:t>、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负责拟订地方能源发展战略、发展规划、产业政策、体制改革方案并组织实施。组织推进区域能源战略合作，指导协调农村能源发展。统筹规划能源重大项目布局，推动能源重大项目建设。负责新能源、可再生能源的行业管理。负责煤炭行业管理。负责监测成品油市场供求变化，提出成品油储备、轮换和动用建议并组织实施。负责长输油气管道保护工作。综合研究经济社会与资源、生态环境协调发展的重大战略问题。组织拟订能源资源节约和综合利用的战略、规划、计划、政策，并协调实施。参与编制生态环境保护有关规划。</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13</w:t>
      </w:r>
      <w:r>
        <w:rPr>
          <w:rFonts w:ascii="方正仿宋_GBK" w:hAnsi="方正仿宋_GBK" w:eastAsia="方正仿宋_GBK" w:cs="方正仿宋_GBK"/>
          <w:color w:val="000000" w:themeColor="text1"/>
          <w:sz w:val="32"/>
          <w:szCs w:val="32"/>
          <w14:textFill>
            <w14:solidFill>
              <w14:schemeClr w14:val="tx1"/>
            </w14:solidFill>
          </w14:textFill>
        </w:rPr>
        <w:t>、会同有关部门拟订推进经济建设与国防建设协调发展的战略和规划，协调有关重大问题。组织编制国民经济动员规划，协调和组织实施国民经济动员有关工作。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14</w:t>
      </w:r>
      <w:r>
        <w:rPr>
          <w:rFonts w:ascii="方正仿宋_GBK" w:hAnsi="方正仿宋_GBK" w:eastAsia="方正仿宋_GBK" w:cs="方正仿宋_GBK"/>
          <w:color w:val="000000" w:themeColor="text1"/>
          <w:sz w:val="32"/>
          <w:szCs w:val="32"/>
          <w14:textFill>
            <w14:solidFill>
              <w14:schemeClr w14:val="tx1"/>
            </w14:solidFill>
          </w14:textFill>
        </w:rPr>
        <w:t>、统筹指导协调全县公共资源交易活动。指导协调全县招标投标工作，依法办理县级审批、核准的依法必须招标项目的招标方案审批、核准事项。对县级审批、核准的依法必须招标的工程建设项目招投标活动实施监督、管理和执法，受理投诉，依法查处违法违规行为。指导协调政府采购、国有产权交易、土地使用权和矿业权出让等公共资源交易活动的监督管理工作。负责市综合评标专家库垫江网络终端和所属网络终端的评标专家的管理工作。负责招标代理机构的监督管理。</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15</w:t>
      </w:r>
      <w:r>
        <w:rPr>
          <w:rFonts w:ascii="方正仿宋_GBK" w:hAnsi="方正仿宋_GBK" w:eastAsia="方正仿宋_GBK" w:cs="方正仿宋_GBK"/>
          <w:color w:val="000000" w:themeColor="text1"/>
          <w:sz w:val="32"/>
          <w:szCs w:val="32"/>
          <w14:textFill>
            <w14:solidFill>
              <w14:schemeClr w14:val="tx1"/>
            </w14:solidFill>
          </w14:textFill>
        </w:rPr>
        <w:t>、承担垫江县国防动员委员会、垫江县西部开发工作领导小组、垫江县深入推动长江经济带发展加快建设山清水秀美丽之地领导小组、垫江县公共资源交易监督管理委员会等有关具体工作。</w:t>
      </w:r>
    </w:p>
    <w:p>
      <w:pPr>
        <w:pStyle w:val="2"/>
        <w:widowControl w:val="0"/>
        <w:autoSpaceDE w:val="0"/>
        <w:adjustRightInd w:val="0"/>
        <w:snapToGrid w:val="0"/>
        <w:spacing w:line="594" w:lineRule="exact"/>
        <w:ind w:right="26" w:rightChars="11"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职能转变。贯彻新发展理念，把主要精力转到管宏观、谋全局、抓大事上来，加强跨部门、跨地区、跨行业、跨领域的重大战略规划、重大政策、重大改革、重大项目的综合协调，统筹全面创新改革，提高经济发展质量和效益。进一步减少微观管理事务和具体审批事项，最大限度减少政府对市场资源的直接配置，最大限度减少政府对市场活动的直接干预，提高资源配置效率和公平性，激发各类市场主体活力。</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、完成县委、县政府交办的其他任务。</w:t>
      </w:r>
    </w:p>
    <w:p>
      <w:pPr>
        <w:pStyle w:val="6"/>
        <w:shd w:val="clear" w:color="auto" w:fill="FFFFFF"/>
        <w:ind w:firstLine="420"/>
        <w:rPr>
          <w:rFonts w:hint="default" w:ascii="楷体" w:hAnsi="楷体" w:eastAsia="楷体" w:cs="楷体"/>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（二）机构设置</w:t>
      </w:r>
    </w:p>
    <w:p>
      <w:pPr>
        <w:pStyle w:val="6"/>
        <w:shd w:val="clear" w:color="auto" w:fill="FFFFFF"/>
        <w:ind w:firstLine="320" w:firstLineChars="1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发改委内设机构共设十二个内设科室，分别是办公室、综合科（政策法规科）、投资科、经济社会事业科、项目监督科、公共资源交易监管科（县公共资源交易监督管理委员会办公室）、行政许可服务科、改革科、能源科、价格管理科（价格认定科）、粮油管理科。同时下设</w:t>
      </w:r>
      <w:r>
        <w:rPr>
          <w:rFonts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个委管机构（参公事业单位垫江县价格认证中心、股级事业单位垫江县经济信息中心、副科级事业单位垫江县节能监察中心和垫江县重点项目服务中心和垫江县民防（应急）指挥信息保障中心）。</w:t>
      </w:r>
    </w:p>
    <w:p>
      <w:pPr>
        <w:pStyle w:val="6"/>
        <w:shd w:val="clear" w:color="auto" w:fill="FFFFFF"/>
        <w:ind w:firstLine="321" w:firstLineChars="1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二、部门决算情况说明</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pPr>
        <w:pStyle w:val="6"/>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2023年度收入总计1689.35万元，支出总计</w:t>
      </w:r>
      <w:r>
        <w:rPr>
          <w:rFonts w:ascii="方正仿宋_GBK" w:hAnsi="方正仿宋_GBK" w:eastAsia="方正仿宋_GBK" w:cs="方正仿宋_GBK"/>
          <w:color w:val="000000" w:themeColor="text1"/>
          <w:sz w:val="32"/>
          <w:szCs w:val="32"/>
          <w14:textFill>
            <w14:solidFill>
              <w14:schemeClr w14:val="tx1"/>
            </w14:solidFill>
          </w14:textFill>
        </w:rPr>
        <w:t>1689.35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万元。收支较上年决算数减少1537.71万元，下降47.65%，主要原因是厉行节约、压减支出，项目支出减少。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2023年度收入合计1648.73万元，较上年决算数减少1447.26万元，下降46.75%，主要原因是厉行节约、压减支出，项目支出减少。其中：财政拨款收入</w:t>
      </w:r>
      <w:r>
        <w:rPr>
          <w:rFonts w:ascii="方正仿宋_GBK" w:hAnsi="方正仿宋_GBK" w:eastAsia="方正仿宋_GBK" w:cs="方正仿宋_GBK"/>
          <w:color w:val="000000" w:themeColor="text1"/>
          <w:sz w:val="32"/>
          <w:szCs w:val="32"/>
          <w14:textFill>
            <w14:solidFill>
              <w14:schemeClr w14:val="tx1"/>
            </w14:solidFill>
          </w14:textFill>
        </w:rPr>
        <w:t>1647.24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99.91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ascii="方正仿宋_GBK" w:hAnsi="方正仿宋_GBK" w:eastAsia="方正仿宋_GBK" w:cs="方正仿宋_GBK"/>
          <w:color w:val="000000" w:themeColor="text1"/>
          <w:sz w:val="32"/>
          <w:szCs w:val="32"/>
          <w14:textFill>
            <w14:solidFill>
              <w14:schemeClr w14:val="tx1"/>
            </w14:solidFill>
          </w14:textFill>
        </w:rPr>
        <w:t>1.49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万元，占0.09%。此外，使用非财政拨款结余和专用结余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40.63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2023年度支出合计</w:t>
      </w:r>
      <w:r>
        <w:rPr>
          <w:rFonts w:ascii="方正仿宋_GBK" w:hAnsi="方正仿宋_GBK" w:eastAsia="方正仿宋_GBK" w:cs="方正仿宋_GBK"/>
          <w:color w:val="000000" w:themeColor="text1"/>
          <w:sz w:val="32"/>
          <w:szCs w:val="32"/>
          <w14:textFill>
            <w14:solidFill>
              <w14:schemeClr w14:val="tx1"/>
            </w14:solidFill>
          </w14:textFill>
        </w:rPr>
        <w:t>1681.07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万元，较上年决算数减少1541.02万元，下降47.83%，主要原因是厉行节约、压减支出，项目支出减少。其中：基本支出</w:t>
      </w:r>
      <w:r>
        <w:rPr>
          <w:rFonts w:ascii="方正仿宋_GBK" w:hAnsi="方正仿宋_GBK" w:eastAsia="方正仿宋_GBK" w:cs="方正仿宋_GBK"/>
          <w:color w:val="000000" w:themeColor="text1"/>
          <w:sz w:val="32"/>
          <w:szCs w:val="32"/>
          <w14:textFill>
            <w14:solidFill>
              <w14:schemeClr w14:val="tx1"/>
            </w14:solidFill>
          </w14:textFill>
        </w:rPr>
        <w:t>764.14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万元，占45.46%；项目支出</w:t>
      </w:r>
      <w:r>
        <w:rPr>
          <w:rFonts w:ascii="方正仿宋_GBK" w:hAnsi="方正仿宋_GBK" w:eastAsia="方正仿宋_GBK" w:cs="方正仿宋_GBK"/>
          <w:color w:val="000000" w:themeColor="text1"/>
          <w:sz w:val="32"/>
          <w:szCs w:val="32"/>
          <w14:textFill>
            <w14:solidFill>
              <w14:schemeClr w14:val="tx1"/>
            </w14:solidFill>
          </w14:textFill>
        </w:rPr>
        <w:t>916.93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万元，占54.54%；经营支出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8.28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万元，较上年决算数增加3.30万元，增长66.27%，主要原因是清理往来款项。</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2023年度财政拨款收、支总计1684.87万元。与2022年相比，财政拨款收、支总计各减少1542.19万元，下降47.79%。主要原因是厉行节约、压减支出，项目支出减少。</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1647.24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万元，较上年决算数减少1448.75万元，下降46.79%。主要原因是厉行节约、压减支出，项目支出减少。较年初预算数增加493.60万元，增长42.79%。主要原因是追加项目资金预算。此外，年初财政拨款结转和结余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37.63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1677.26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万元，较上年决算数减少1544.83万元，下降47.94%。主要原因是厉行节约、压减支出，项目支出减少。较年初预算数增加523.62万元，增长45.39%。主要原因是追加项目资金预算。</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7.61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万元，较上年决算数增加2.63万元，增长52.81%，主要原因是清理往来款项。</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（1）一般公共服务支出</w:t>
      </w:r>
      <w:r>
        <w:rPr>
          <w:rFonts w:ascii="方正仿宋_GBK" w:hAnsi="方正仿宋_GBK" w:eastAsia="方正仿宋_GBK" w:cs="方正仿宋_GBK"/>
          <w:color w:val="000000" w:themeColor="text1"/>
          <w:sz w:val="32"/>
          <w:szCs w:val="32"/>
          <w14:textFill>
            <w14:solidFill>
              <w14:schemeClr w14:val="tx1"/>
            </w14:solidFill>
          </w14:textFill>
        </w:rPr>
        <w:t>872.52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52.02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%，较年初预算数增加7.19万元，增长0.83%，主要原因是人员工资晋级晋档、追加项目经费。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（2）教育支出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%，较年初预算数减少1.85万元，下降100.00%，主要原因是本年度无培训教育等支出。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607.54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36.22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%，较年初预算数增加470.11万元，增长342.07%，主要原因是垫江县殡仪馆骨灰堂建设项目支出416.37万元，死亡抚恤13.6万元，新进人员1名。</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（4）卫生健康支出</w:t>
      </w:r>
      <w:r>
        <w:rPr>
          <w:rFonts w:ascii="方正仿宋_GBK" w:hAnsi="方正仿宋_GBK" w:eastAsia="方正仿宋_GBK" w:cs="方正仿宋_GBK"/>
          <w:color w:val="000000" w:themeColor="text1"/>
          <w:sz w:val="32"/>
          <w:szCs w:val="32"/>
          <w14:textFill>
            <w14:solidFill>
              <w14:schemeClr w14:val="tx1"/>
            </w14:solidFill>
          </w14:textFill>
        </w:rPr>
        <w:t>25.64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%，较年初预算数增加3.97万元，增长18.32%，主要原因是新进人员1名。</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住房保障支出32.60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%，较年初预算数减少10.77万元，下降24.83%，主要原因是清算2021年年公积金，个人应退回单位部分在公积金缴纳中直接抵扣。</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粮油物资储备支出118.96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%，较年初预算数增加34.96万元，增长41.62%，主要原因是支付2022年优质粮食工程36万元。</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其他支出20.00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1.19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%，较年初预算数增加20.00万元，增长100.00%，主要原因是支付独立工矿区重点地区转型发展（资源型地区转型发展方向）20万元。</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760.33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646.76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万元，较上年决算数增加34.63万元，增长5.66%，主要原因是新进人员1名、支付死亡抚恤金、人员工资晋级晋档。人员经费用途主要包括</w:t>
      </w:r>
      <w:r>
        <w:rPr>
          <w:rFonts w:ascii="方正仿宋_GBK" w:hAnsi="方正仿宋_GBK" w:eastAsia="方正仿宋_GBK" w:cs="方正仿宋_GBK"/>
          <w:color w:val="000000" w:themeColor="text1"/>
          <w:sz w:val="32"/>
          <w:szCs w:val="32"/>
          <w14:textFill>
            <w14:solidFill>
              <w14:schemeClr w14:val="tx1"/>
            </w14:solidFill>
          </w14:textFill>
        </w:rPr>
        <w:t>基本工资、津贴补贴、奖金、社会保障缴费、住房公积金、医疗费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113.57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万元，较上年决算数减少35.25万元，下降23.69%，主要原因是厉行节约、压减支出。公用经费用途主要包括</w:t>
      </w:r>
      <w:r>
        <w:rPr>
          <w:rFonts w:ascii="方正仿宋_GBK" w:hAnsi="方正仿宋_GBK" w:eastAsia="方正仿宋_GBK" w:cs="方正仿宋_GBK"/>
          <w:color w:val="000000" w:themeColor="text1"/>
          <w:sz w:val="32"/>
          <w:szCs w:val="32"/>
          <w14:textFill>
            <w14:solidFill>
              <w14:schemeClr w14:val="tx1"/>
            </w14:solidFill>
          </w14:textFill>
        </w:rPr>
        <w:t>办公费、印刷费、邮电费、接待费、公车运行费、差旅费、培训费、劳务费、工会经费、福利费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ascii="方正仿宋_GBK" w:hAnsi="方正仿宋_GBK" w:eastAsia="方正仿宋_GBK" w:cs="方正仿宋_GBK"/>
          <w:color w:val="000000" w:themeColor="text1"/>
          <w:sz w:val="32"/>
          <w:szCs w:val="32"/>
          <w14:textFill>
            <w14:solidFill>
              <w14:schemeClr w14:val="tx1"/>
            </w14:solidFill>
          </w14:textFill>
        </w:rPr>
        <w:t>本单位2023年度无国有资本经营预算财政拨款支出。</w:t>
      </w:r>
    </w:p>
    <w:p>
      <w:pPr>
        <w:pStyle w:val="6"/>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三、“三公”经费情况说明</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30.71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万元，较年初预算数减少22.29万元，下降42.06%，主要原因是厉行节约、压减支出。较上年支出数增加4.96万元，增长19.26%，主要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机构改革，建委划入2台公车到我委，公车运行费增加。</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pPr>
        <w:pStyle w:val="6"/>
        <w:snapToGrid w:val="0"/>
        <w:spacing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w:t>
      </w:r>
      <w:r>
        <w:rPr>
          <w:rFonts w:ascii="方正仿宋_GBK" w:hAnsi="方正仿宋_GBK" w:eastAsia="方正仿宋_GBK" w:cs="方正仿宋_GBK"/>
          <w:color w:val="000000" w:themeColor="text1"/>
          <w:sz w:val="32"/>
          <w:szCs w:val="32"/>
          <w14:textFill>
            <w14:solidFill>
              <w14:schemeClr w14:val="tx1"/>
            </w14:solidFill>
          </w14:textFill>
        </w:rPr>
        <w:t>15.94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市上申报项目、县内项目规划调研、重点项目进度检查调度督办、在建项目监管验收、能源安全检查、粮油储备监管及重要商品价格成本监测、国防动员训练等工作所需车辆的燃料费、维修费、过桥过路费、保险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。费用支出较年初预算数减少9.06万元，下降36.24%，主要原因是厉行节约、压减支出，较上年支出数增加6.05万元，增长61.17%，主要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机构改革，建委划入2台公车到我委，公车运行费增加。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14.77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到市上联系工作、招商引资，接待国家市级粮食、能源大检查。接受相关部门检查指导工作和其他区县发改委到我县交流学习接待支出，成渝地区双城经济圈合作会议接待支出。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费用支出较年初预算数减少13.23万元，下降47.25%，主要原因是厉行节约、压减支出。较上年支出数减少1.09万元，下降6.87%，主要原因是厉行节约、压减支出。</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167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1930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人。2023年本部门人均接待费</w:t>
      </w:r>
      <w:r>
        <w:rPr>
          <w:rFonts w:ascii="方正仿宋_GBK" w:hAnsi="方正仿宋_GBK" w:eastAsia="方正仿宋_GBK" w:cs="方正仿宋_GBK"/>
          <w:color w:val="000000" w:themeColor="text1"/>
          <w:sz w:val="32"/>
          <w:szCs w:val="32"/>
          <w14:textFill>
            <w14:solidFill>
              <w14:schemeClr w14:val="tx1"/>
            </w14:solidFill>
          </w14:textFill>
        </w:rPr>
        <w:t>76.52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5.31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hd w:val="clear" w:color="auto" w:fill="FFFFFF"/>
        <w:rPr>
          <w:rStyle w:val="10"/>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本年度会议费支出</w:t>
      </w:r>
      <w:r>
        <w:rPr>
          <w:rFonts w:ascii="方正仿宋_GBK" w:hAnsi="方正仿宋_GBK" w:eastAsia="方正仿宋_GBK" w:cs="方正仿宋_GBK"/>
          <w:color w:val="000000" w:themeColor="text1"/>
          <w:sz w:val="32"/>
          <w:szCs w:val="32"/>
          <w14:textFill>
            <w14:solidFill>
              <w14:schemeClr w14:val="tx1"/>
            </w14:solidFill>
          </w14:textFill>
        </w:rPr>
        <w:t>10.99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万元，较上年决算数增加2.54万元，增长30.06%，主要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机构改革，国防动员工作划入我委，训练会议费等增加。本年度培训费支出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万元，较上年决算数减少0.59万元，下降100.00%，主要原因是本年度无</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培训支出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2023年度本部门机关运行经费支出</w:t>
      </w:r>
      <w:r>
        <w:rPr>
          <w:rFonts w:ascii="方正仿宋_GBK" w:hAnsi="方正仿宋_GBK" w:eastAsia="方正仿宋_GBK" w:cs="方正仿宋_GBK"/>
          <w:color w:val="000000" w:themeColor="text1"/>
          <w:sz w:val="32"/>
          <w:szCs w:val="32"/>
          <w14:textFill>
            <w14:solidFill>
              <w14:schemeClr w14:val="tx1"/>
            </w14:solidFill>
          </w14:textFill>
        </w:rPr>
        <w:t>113.57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方正仿宋_GBK" w:hAnsi="方正仿宋_GBK" w:eastAsia="方正仿宋_GBK" w:cs="方正仿宋_GBK"/>
          <w:color w:val="000000" w:themeColor="text1"/>
          <w:sz w:val="32"/>
          <w:szCs w:val="32"/>
          <w14:textFill>
            <w14:solidFill>
              <w14:schemeClr w14:val="tx1"/>
            </w14:solidFill>
          </w14:textFill>
        </w:rPr>
        <w:t>办公费、差旅费、劳务费、邮电费、会议费、培训费、咨询费、公务车运行维护费、工会经费等费用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。机关运行经费较上年支出数减少35.25万元，下降23.69%，主要原因是厉行节约、压减支出。</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截至2023年12月31日，本部门共有车辆</w:t>
      </w:r>
      <w:r>
        <w:rPr>
          <w:rFonts w:ascii="方正仿宋_GBK" w:hAnsi="方正仿宋_GBK" w:eastAsia="方正仿宋_GBK" w:cs="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2023年度本部门政府采购支出总额</w:t>
      </w:r>
      <w:r>
        <w:rPr>
          <w:rFonts w:ascii="方正仿宋_GBK" w:hAnsi="方正仿宋_GBK" w:eastAsia="方正仿宋_GBK" w:cs="方正仿宋_GBK"/>
          <w:color w:val="000000" w:themeColor="text1"/>
          <w:sz w:val="32"/>
          <w:szCs w:val="32"/>
          <w14:textFill>
            <w14:solidFill>
              <w14:schemeClr w14:val="tx1"/>
            </w14:solidFill>
          </w14:textFill>
        </w:rPr>
        <w:t>48107.38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方正仿宋_GBK" w:hAnsi="方正仿宋_GBK" w:eastAsia="方正仿宋_GBK" w:cs="方正仿宋_GBK"/>
          <w:color w:val="000000" w:themeColor="text1"/>
          <w:sz w:val="32"/>
          <w:szCs w:val="32"/>
          <w14:textFill>
            <w14:solidFill>
              <w14:schemeClr w14:val="tx1"/>
            </w14:solidFill>
          </w14:textFill>
        </w:rPr>
        <w:t>8.48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方正仿宋_GBK" w:hAnsi="方正仿宋_GBK" w:eastAsia="方正仿宋_GBK" w:cs="方正仿宋_GBK"/>
          <w:color w:val="000000" w:themeColor="text1"/>
          <w:sz w:val="32"/>
          <w:szCs w:val="32"/>
          <w14:textFill>
            <w14:solidFill>
              <w14:schemeClr w14:val="tx1"/>
            </w14:solidFill>
          </w14:textFill>
        </w:rPr>
        <w:t>48098.90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方正仿宋_GBK" w:hAnsi="方正仿宋_GBK" w:eastAsia="方正仿宋_GBK" w:cs="方正仿宋_GBK"/>
          <w:color w:val="000000" w:themeColor="text1"/>
          <w:sz w:val="32"/>
          <w:szCs w:val="32"/>
          <w14:textFill>
            <w14:solidFill>
              <w14:schemeClr w14:val="tx1"/>
            </w14:solidFill>
          </w14:textFill>
        </w:rPr>
        <w:t>48107.38万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元，占政府采购支出总额的100.00%，其中：授予小微企业合同金额48107.38万元，占政府采购支出总额的100.00 %。主要用于采购编制方案、</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“十四五”</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规划、殡仪馆项目、垫江县独立工矿区春花大道南延伸段道路新建工程、创建社会信用体系示范城市及信用平台运维第三方综合服务等项目。</w:t>
      </w:r>
    </w:p>
    <w:p>
      <w:pPr>
        <w:pStyle w:val="6"/>
        <w:numPr>
          <w:ilvl w:val="0"/>
          <w:numId w:val="1"/>
        </w:numPr>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pPr>
        <w:pStyle w:val="12"/>
        <w:numPr>
          <w:ilvl w:val="0"/>
          <w:numId w:val="2"/>
        </w:numPr>
        <w:autoSpaceDE w:val="0"/>
        <w:spacing w:before="0" w:beforeAutospacing="0" w:line="600" w:lineRule="exact"/>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单位自评情况</w:t>
      </w:r>
    </w:p>
    <w:p>
      <w:pPr>
        <w:pStyle w:val="12"/>
        <w:autoSpaceDE w:val="0"/>
        <w:spacing w:before="0" w:beforeAutospacing="0" w:line="600" w:lineRule="exact"/>
        <w:ind w:firstLine="640" w:firstLineChars="200"/>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根据预算绩效管理要求，我单位对</w:t>
      </w: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个项目开展了绩效自评，其中，以填报目标自评表形式开展自评</w:t>
      </w: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项，涉及资金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2290.63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288925</wp:posOffset>
            </wp:positionV>
            <wp:extent cx="9961880" cy="11873865"/>
            <wp:effectExtent l="0" t="0" r="1270" b="13335"/>
            <wp:wrapSquare wrapText="bothSides"/>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7"/>
                    <a:stretch>
                      <a:fillRect/>
                    </a:stretch>
                  </pic:blipFill>
                  <pic:spPr>
                    <a:xfrm>
                      <a:off x="0" y="0"/>
                      <a:ext cx="9961880" cy="11873865"/>
                    </a:xfrm>
                    <a:prstGeom prst="rect">
                      <a:avLst/>
                    </a:prstGeom>
                    <a:noFill/>
                    <a:ln>
                      <a:noFill/>
                    </a:ln>
                  </pic:spPr>
                </pic:pic>
              </a:graphicData>
            </a:graphic>
          </wp:anchor>
        </w:drawing>
      </w: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p>
    <w:p>
      <w:pPr>
        <w:pStyle w:val="14"/>
        <w:autoSpaceDE w:val="0"/>
        <w:ind w:firstLine="64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我单位对2023年项目前期工作经费开展了绩效评价，涉及财政拨款项目资金244.07万元，评价得分90分，评价等次为优，</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从评价情况来看，根据年初设定的绩效目标，项目总体完成情况资金发挥效率较高，均达到了预算申报时的绩效目标，相应的数量指标、质量指标、时效指标均达到预期，成本指标未超过指标值。对各类项目的资金使用严格按照财政局、审计局相关文件执行，委全体工作人员严守财经制度，进一步强化内部监督，保证了项目资金使用的合理、合法、高效的运作</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（二）单位绩效评价情况</w:t>
      </w:r>
    </w:p>
    <w:p>
      <w:pPr>
        <w:pStyle w:val="11"/>
        <w:autoSpaceDE w:val="0"/>
        <w:ind w:firstLine="0" w:firstLineChars="0"/>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我单位未组织开展绩效评价。</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（三）财政绩效评价情况</w:t>
      </w:r>
    </w:p>
    <w:p>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县财政局未委托第三方对我单位开展绩效评价。</w:t>
      </w:r>
    </w:p>
    <w:p>
      <w:pPr>
        <w:pStyle w:val="6"/>
        <w:shd w:val="clear" w:color="auto" w:fill="FFFFFF"/>
        <w:rPr>
          <w:rStyle w:val="10"/>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0"/>
          <w:rFonts w:ascii="黑体" w:hAnsi="黑体" w:eastAsia="黑体" w:cs="黑体"/>
          <w:color w:val="000000" w:themeColor="text1"/>
          <w:sz w:val="32"/>
          <w:szCs w:val="32"/>
          <w:shd w:val="clear" w:color="auto" w:fill="FFFFFF"/>
          <w14:textFill>
            <w14:solidFill>
              <w14:schemeClr w14:val="tx1"/>
            </w14:solidFill>
          </w14:textFill>
        </w:rPr>
        <w:t>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lang w:bidi="ar"/>
          <w14:textFill>
            <w14:solidFill>
              <w14:schemeClr w14:val="tx1"/>
            </w14:solidFill>
          </w14:textFill>
        </w:rPr>
        <w:t> </w:t>
      </w:r>
      <w:r>
        <w:rPr>
          <w:rFonts w:ascii="楷体" w:hAnsi="楷体" w:eastAsia="楷体" w:cs="楷体"/>
          <w:b/>
          <w:bCs/>
          <w:color w:val="000000" w:themeColor="text1"/>
          <w:sz w:val="32"/>
          <w:szCs w:val="32"/>
          <w:shd w:val="clear" w:color="auto" w:fill="FFFFFF"/>
          <w:lang w:bidi="ar"/>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0"/>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pPr>
        <w:pStyle w:val="12"/>
        <w:autoSpaceDE w:val="0"/>
        <w:spacing w:before="0" w:beforeAutospacing="0" w:after="0" w:afterAutospacing="0" w:line="594" w:lineRule="exact"/>
        <w:ind w:firstLine="960" w:firstLineChars="3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：马老师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023-74529950</w:t>
      </w: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sectPr>
          <w:headerReference r:id="rId3" w:type="default"/>
          <w:footerReference r:id="rId4" w:type="default"/>
          <w:pgSz w:w="16838" w:h="23811"/>
          <w:pgMar w:top="454" w:right="567" w:bottom="1037" w:left="567" w:header="0" w:footer="283" w:gutter="0"/>
          <w:pgNumType w:fmt="numberInDash"/>
          <w:cols w:space="0" w:num="1"/>
          <w:docGrid w:type="lines" w:linePitch="327" w:charSpace="0"/>
        </w:sect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公开单位：垫江县发展和改革委员会（本级）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1,647.24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876.33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607.54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25.64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32.60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1,648.73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1,681.07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40.63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8.28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1,689.35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1,689.35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rPr>
                <w:rFonts w:hint="default" w:cs="宋体"/>
                <w:b/>
                <w:color w:val="000000"/>
                <w:sz w:val="40"/>
                <w:szCs w:val="40"/>
              </w:rPr>
            </w:pPr>
            <w:r>
              <w:rPr>
                <w:rFonts w:cs="宋体"/>
                <w:sz w:val="21"/>
                <w:szCs w:val="21"/>
                <w:lang w:bidi="ar"/>
              </w:rPr>
              <w:br w:type="page"/>
            </w:r>
            <w:r>
              <w:rPr>
                <w:rFonts w:cs="宋体"/>
                <w:sz w:val="21"/>
                <w:szCs w:val="21"/>
                <w:lang w:bidi="ar"/>
              </w:rPr>
              <w:t xml:space="preserve">                                                                                        </w:t>
            </w: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公开单位：垫江县发展和改革委员会（本级）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1,648.73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1,647.24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849.98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发展与改革事务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848.82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511.84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510.35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295.96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物价管理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其他发展与改革事务支出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601.54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601.54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146.75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146.75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65.85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65.85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粮油物资储备支出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粮油储备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其他粮油储备支出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垫江县发展和改革委员会（本级）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1,681.07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764.14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916.93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876.33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528.40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发展与改革事务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875.17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528.40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346.77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528.40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528.40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物价管理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其他发展与改革事务支出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61.58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65.85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粮油物资储备支出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粮油储备</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其他粮油储备支出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1,647.24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872.52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607.54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607.54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1,647.24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1,677.26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1,677.26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37.63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37.63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1,684.87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1,684.87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1,684.87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27"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27"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1,677.26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760.33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916.93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872.52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524.59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347.93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发展与改革事务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871.36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524.59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346.77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524.59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524.59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305.75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物价管理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其他发展与改革事务支出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607.54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177.50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430.04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152.75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61.58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61.58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65.85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65.85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416.37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416.37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416.37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416.37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粮油物资储备支出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118.96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粮油物资事务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粮油储备</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其他粮油储备支出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ind w:firstLine="630" w:firstLineChars="300"/>
              <w:rPr>
                <w:rFonts w:hint="default" w:cs="宋体"/>
                <w:b/>
                <w:color w:val="000000"/>
                <w:sz w:val="40"/>
                <w:szCs w:val="40"/>
              </w:rPr>
            </w:pPr>
            <w:r>
              <w:rPr>
                <w:rFonts w:cs="宋体"/>
                <w:sz w:val="21"/>
                <w:szCs w:val="21"/>
              </w:rPr>
              <w:br w:type="page"/>
            </w:r>
            <w:r>
              <w:rPr>
                <w:rFonts w:cs="宋体"/>
                <w:sz w:val="21"/>
                <w:szCs w:val="21"/>
              </w:rPr>
              <w:t xml:space="preserve">                                                        </w:t>
            </w: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27"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554.77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113.57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121.77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82.07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195.26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25.31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4.71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91.99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18.96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646.76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113.57 </w:t>
            </w:r>
          </w:p>
        </w:tc>
      </w:tr>
    </w:tbl>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27"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垫江县发展和改革委员会（本级）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113.57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30.71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113.57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15.94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15.94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15.94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15.94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14.77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14.77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14.77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167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8.48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1,930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48,098.90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10.99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footerReference r:id="rId5" w:type="default"/>
      <w:pgSz w:w="23811" w:h="16838" w:orient="landscape"/>
      <w:pgMar w:top="567" w:right="454" w:bottom="567" w:left="1037" w:header="0" w:footer="283"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DVRU2AAAAAoBAAAPAAAAAAAAAAEAIAAAADgAAABkcnMvZG93bnJl&#10;di54bWxQSwECFAAUAAAACACHTuJAH4AXFyACAAAmBAAADgAAAAAAAAABACAAAAA9AQAAZHJzL2Uy&#10;b0RvYy54bWxQSwUGAAAAAAYABgBZAQAAzw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woVmtHwIAACYEAAAOAAAAAAAAAAEAIAAAAD0BAABkcnMvZTJv&#10;RG9jLnhtbFBLBQYAAAAABgAGAFkBAADO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078CD4D1"/>
    <w:multiLevelType w:val="singleLevel"/>
    <w:tmpl w:val="078CD4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4"/>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37175"/>
    <w:rsid w:val="00194BA2"/>
    <w:rsid w:val="004741C9"/>
    <w:rsid w:val="00550ABE"/>
    <w:rsid w:val="007B1AA9"/>
    <w:rsid w:val="007B419D"/>
    <w:rsid w:val="009B67B8"/>
    <w:rsid w:val="00A26E8C"/>
    <w:rsid w:val="00A746EA"/>
    <w:rsid w:val="00AF7C79"/>
    <w:rsid w:val="00B03CCD"/>
    <w:rsid w:val="00C77CC1"/>
    <w:rsid w:val="00DD36B7"/>
    <w:rsid w:val="00F73F90"/>
    <w:rsid w:val="01474EBF"/>
    <w:rsid w:val="01F3521E"/>
    <w:rsid w:val="031824BE"/>
    <w:rsid w:val="03B87EA0"/>
    <w:rsid w:val="03E3214F"/>
    <w:rsid w:val="0415588A"/>
    <w:rsid w:val="044C50BA"/>
    <w:rsid w:val="0539341C"/>
    <w:rsid w:val="05BC6D49"/>
    <w:rsid w:val="06194FF1"/>
    <w:rsid w:val="06A2550B"/>
    <w:rsid w:val="06CE036E"/>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DEE7563"/>
    <w:rsid w:val="0E3A5F83"/>
    <w:rsid w:val="0F836721"/>
    <w:rsid w:val="0FA25D96"/>
    <w:rsid w:val="0FAF20D4"/>
    <w:rsid w:val="0FDB1933"/>
    <w:rsid w:val="107B59E5"/>
    <w:rsid w:val="10EC0126"/>
    <w:rsid w:val="10F70B9A"/>
    <w:rsid w:val="111445C7"/>
    <w:rsid w:val="114278C6"/>
    <w:rsid w:val="1158083A"/>
    <w:rsid w:val="11643A4B"/>
    <w:rsid w:val="11ED0F98"/>
    <w:rsid w:val="11F03528"/>
    <w:rsid w:val="12C921C4"/>
    <w:rsid w:val="13871C70"/>
    <w:rsid w:val="13A47E36"/>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B4359"/>
    <w:rsid w:val="21556F04"/>
    <w:rsid w:val="22403BD3"/>
    <w:rsid w:val="24445082"/>
    <w:rsid w:val="24B92327"/>
    <w:rsid w:val="24C14514"/>
    <w:rsid w:val="2533755C"/>
    <w:rsid w:val="25791755"/>
    <w:rsid w:val="26396DF4"/>
    <w:rsid w:val="27167136"/>
    <w:rsid w:val="27B23302"/>
    <w:rsid w:val="29310A5F"/>
    <w:rsid w:val="29C37A35"/>
    <w:rsid w:val="2A076083"/>
    <w:rsid w:val="2A73162E"/>
    <w:rsid w:val="2B167953"/>
    <w:rsid w:val="2B200583"/>
    <w:rsid w:val="2B6F4BF9"/>
    <w:rsid w:val="2B8209DE"/>
    <w:rsid w:val="2C636760"/>
    <w:rsid w:val="2C6762A3"/>
    <w:rsid w:val="2C880D81"/>
    <w:rsid w:val="2EC71E7B"/>
    <w:rsid w:val="2FCA4B37"/>
    <w:rsid w:val="2FE029D7"/>
    <w:rsid w:val="2FF06E00"/>
    <w:rsid w:val="30586FEC"/>
    <w:rsid w:val="315F0B22"/>
    <w:rsid w:val="31D84415"/>
    <w:rsid w:val="32285F6F"/>
    <w:rsid w:val="32770556"/>
    <w:rsid w:val="329C0913"/>
    <w:rsid w:val="32AA0460"/>
    <w:rsid w:val="3337290D"/>
    <w:rsid w:val="33E31118"/>
    <w:rsid w:val="33EF7674"/>
    <w:rsid w:val="342D7BC6"/>
    <w:rsid w:val="345972DE"/>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A715DF"/>
    <w:rsid w:val="41E0734B"/>
    <w:rsid w:val="420A5377"/>
    <w:rsid w:val="426C1EA8"/>
    <w:rsid w:val="42736402"/>
    <w:rsid w:val="42E86A87"/>
    <w:rsid w:val="43307B09"/>
    <w:rsid w:val="439A3EB9"/>
    <w:rsid w:val="43BB152F"/>
    <w:rsid w:val="44C37687"/>
    <w:rsid w:val="45CB699A"/>
    <w:rsid w:val="465B470D"/>
    <w:rsid w:val="469D6AD4"/>
    <w:rsid w:val="46C46C97"/>
    <w:rsid w:val="471E6C84"/>
    <w:rsid w:val="4748792B"/>
    <w:rsid w:val="475D719D"/>
    <w:rsid w:val="47674801"/>
    <w:rsid w:val="48225EF7"/>
    <w:rsid w:val="488F422B"/>
    <w:rsid w:val="48E36915"/>
    <w:rsid w:val="48EB6572"/>
    <w:rsid w:val="495C4A24"/>
    <w:rsid w:val="497135DF"/>
    <w:rsid w:val="49925D4D"/>
    <w:rsid w:val="4A263DF2"/>
    <w:rsid w:val="4A6F6675"/>
    <w:rsid w:val="4B135857"/>
    <w:rsid w:val="4B7951CB"/>
    <w:rsid w:val="4B7C315C"/>
    <w:rsid w:val="4BC835BD"/>
    <w:rsid w:val="4C3D31D7"/>
    <w:rsid w:val="4C8D50CF"/>
    <w:rsid w:val="4DAC4ACA"/>
    <w:rsid w:val="4DBE01D2"/>
    <w:rsid w:val="4E7D2411"/>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8F7D86"/>
    <w:rsid w:val="56FF7E9E"/>
    <w:rsid w:val="573156CB"/>
    <w:rsid w:val="578867FC"/>
    <w:rsid w:val="5842572D"/>
    <w:rsid w:val="5A3B59D6"/>
    <w:rsid w:val="5AD134D8"/>
    <w:rsid w:val="5C263CE4"/>
    <w:rsid w:val="5C5D2777"/>
    <w:rsid w:val="5CF66BF3"/>
    <w:rsid w:val="5D290C69"/>
    <w:rsid w:val="5D89053F"/>
    <w:rsid w:val="5EED1037"/>
    <w:rsid w:val="5F2D4A41"/>
    <w:rsid w:val="60C74F6C"/>
    <w:rsid w:val="61025A59"/>
    <w:rsid w:val="613D5BBC"/>
    <w:rsid w:val="61536C39"/>
    <w:rsid w:val="62944DD7"/>
    <w:rsid w:val="6319381F"/>
    <w:rsid w:val="63737FC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51715B"/>
    <w:rsid w:val="71C34D91"/>
    <w:rsid w:val="72DB435C"/>
    <w:rsid w:val="72E2613A"/>
    <w:rsid w:val="72F771F4"/>
    <w:rsid w:val="73934AD2"/>
    <w:rsid w:val="750837F0"/>
    <w:rsid w:val="754758CF"/>
    <w:rsid w:val="764F62AB"/>
    <w:rsid w:val="765C45EC"/>
    <w:rsid w:val="76802C23"/>
    <w:rsid w:val="768A7619"/>
    <w:rsid w:val="772E1EBA"/>
    <w:rsid w:val="781926BC"/>
    <w:rsid w:val="789F1CBD"/>
    <w:rsid w:val="796D60A4"/>
    <w:rsid w:val="79861CB7"/>
    <w:rsid w:val="79A031D5"/>
    <w:rsid w:val="7A1525F7"/>
    <w:rsid w:val="7B420052"/>
    <w:rsid w:val="7BBFC1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hAnsi="Courier New"/>
      <w:sz w:val="20"/>
      <w:szCs w:val="20"/>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2797</Words>
  <Characters>15945</Characters>
  <Lines>132</Lines>
  <Paragraphs>37</Paragraphs>
  <TotalTime>3</TotalTime>
  <ScaleCrop>false</ScaleCrop>
  <LinksUpToDate>false</LinksUpToDate>
  <CharactersWithSpaces>18705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2025-10-27T10:24:01Z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