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jc w:val="center"/>
        <w:textAlignment w:val="top"/>
        <w:rPr>
          <w:rStyle w:val="17"/>
          <w:rFonts w:hint="eastAsia" w:ascii="方正小标宋_GBK" w:hAnsi="方正小标宋_GBK" w:eastAsia="方正小标宋_GBK" w:cs="方正小标宋_GBK"/>
          <w:b w:val="0"/>
          <w:sz w:val="44"/>
          <w:szCs w:val="44"/>
          <w:shd w:val="clear" w:color="auto" w:fill="FFFFFF"/>
        </w:rPr>
      </w:pPr>
      <w:bookmarkStart w:id="0" w:name="_GoBack"/>
      <w:r>
        <w:rPr>
          <w:rStyle w:val="17"/>
          <w:rFonts w:hint="eastAsia" w:ascii="方正小标宋_GBK" w:hAnsi="方正小标宋_GBK" w:eastAsia="方正小标宋_GBK" w:cs="方正小标宋_GBK"/>
          <w:b w:val="0"/>
          <w:sz w:val="44"/>
          <w:szCs w:val="44"/>
          <w:shd w:val="clear" w:color="auto" w:fill="FFFFFF"/>
        </w:rPr>
        <w:t>垫江县民防（应急）指挥信息保障中心</w:t>
      </w:r>
    </w:p>
    <w:p>
      <w:pPr>
        <w:pStyle w:val="7"/>
        <w:shd w:val="clear" w:color="auto" w:fill="FFFFFF"/>
        <w:jc w:val="center"/>
        <w:textAlignment w:val="top"/>
        <w:rPr>
          <w:rStyle w:val="17"/>
          <w:rFonts w:hint="eastAsia" w:ascii="方正小标宋_GBK" w:hAnsi="方正小标宋_GBK" w:eastAsia="方正小标宋_GBK" w:cs="方正小标宋_GBK"/>
          <w:b w:val="0"/>
          <w:sz w:val="44"/>
          <w:szCs w:val="44"/>
          <w:shd w:val="clear" w:color="auto" w:fill="FFFFFF"/>
        </w:rPr>
      </w:pPr>
      <w:r>
        <w:rPr>
          <w:rStyle w:val="17"/>
          <w:rFonts w:hint="eastAsia" w:ascii="方正小标宋_GBK" w:hAnsi="方正小标宋_GBK" w:eastAsia="方正小标宋_GBK" w:cs="方正小标宋_GBK"/>
          <w:b w:val="0"/>
          <w:sz w:val="44"/>
          <w:szCs w:val="44"/>
          <w:shd w:val="clear" w:color="auto" w:fill="FFFFFF"/>
        </w:rPr>
        <w:t>2023年度决算情况说明</w:t>
      </w:r>
    </w:p>
    <w:bookmarkEnd w:id="0"/>
    <w:p>
      <w:pPr>
        <w:pStyle w:val="7"/>
        <w:shd w:val="clear" w:color="auto" w:fill="FFFFFF"/>
        <w:textAlignment w:val="top"/>
        <w:rPr>
          <w:rFonts w:hint="default"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pPr>
    </w:p>
    <w:p>
      <w:pPr>
        <w:pStyle w:val="8"/>
        <w:shd w:val="clear" w:color="auto" w:fill="FFFFFF"/>
        <w:rPr>
          <w:rFonts w:hint="default" w:ascii="黑体" w:hAnsi="黑体" w:eastAsia="黑体" w:cs="黑体"/>
          <w:color w:val="000000" w:themeColor="text1"/>
          <w:sz w:val="32"/>
          <w:szCs w:val="32"/>
          <w14:textFill>
            <w14:solidFill>
              <w14:schemeClr w14:val="tx1"/>
            </w14:solidFill>
          </w14:textFill>
        </w:rPr>
      </w:pPr>
      <w:r>
        <w:rPr>
          <w:rStyle w:val="12"/>
          <w:rFonts w:ascii="黑体" w:hAnsi="黑体" w:eastAsia="黑体" w:cs="黑体"/>
          <w:color w:val="000000" w:themeColor="text1"/>
          <w:sz w:val="32"/>
          <w:szCs w:val="32"/>
          <w:shd w:val="clear" w:color="auto" w:fill="FFFFFF"/>
          <w14:textFill>
            <w14:solidFill>
              <w14:schemeClr w14:val="tx1"/>
            </w14:solidFill>
          </w14:textFill>
        </w:rPr>
        <w:t>一、单位基本情况</w:t>
      </w:r>
    </w:p>
    <w:p>
      <w:pPr>
        <w:pStyle w:val="8"/>
        <w:shd w:val="clear" w:color="auto" w:fill="FFFFFF"/>
        <w:ind w:firstLine="42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楷体" w:hAnsi="楷体" w:eastAsia="楷体" w:cs="楷体"/>
          <w:color w:val="000000" w:themeColor="text1"/>
          <w:sz w:val="32"/>
          <w:szCs w:val="32"/>
          <w:shd w:val="clear" w:color="auto" w:fill="FFFFFF"/>
          <w14:textFill>
            <w14:solidFill>
              <w14:schemeClr w14:val="tx1"/>
            </w14:solidFill>
          </w14:textFill>
        </w:rPr>
        <w:t>（一）职能职责</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执行县委、县政府及县人防指挥部组织指挥防空袭斗争信息保障任务。</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为防灾救灾和突发公共事件应急处置指挥提供通信保障。</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负责民防（应急）信息化建设，承担指挥中心、机动指挥车辆的日常维护和管理，保证设施设备及信息系统运行良好。</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承担民防（应急）指挥信息系统值班与战备执勤，及时收集、处理、传递各类情报和指挥信息。</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负责防空警报系统维护管理，组织和保障城市防空警报试鸣，按照上级命令发放灾情警报和防空警报信号。</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负责组织实施指挥信息保障人员业务技能培训和民防应急指挥通信训（演）练。</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7.</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负责为县委、县政府的视频会议及其他重要会议提供保障。</w:t>
      </w:r>
    </w:p>
    <w:p>
      <w:pPr>
        <w:pStyle w:val="8"/>
        <w:shd w:val="clear" w:color="auto" w:fill="FFFFFF"/>
        <w:ind w:firstLine="420"/>
        <w:rPr>
          <w:rFonts w:hint="default" w:ascii="楷体" w:hAnsi="楷体" w:eastAsia="楷体" w:cs="楷体"/>
          <w:color w:val="000000" w:themeColor="text1"/>
          <w:sz w:val="32"/>
          <w:szCs w:val="32"/>
          <w14:textFill>
            <w14:solidFill>
              <w14:schemeClr w14:val="tx1"/>
            </w14:solidFill>
          </w14:textFill>
        </w:rPr>
      </w:pPr>
      <w:r>
        <w:rPr>
          <w:rStyle w:val="12"/>
          <w:rFonts w:ascii="楷体" w:hAnsi="楷体" w:eastAsia="楷体" w:cs="楷体"/>
          <w:color w:val="000000" w:themeColor="text1"/>
          <w:sz w:val="32"/>
          <w:szCs w:val="32"/>
          <w:shd w:val="clear" w:color="auto" w:fill="FFFFFF"/>
          <w14:textFill>
            <w14:solidFill>
              <w14:schemeClr w14:val="tx1"/>
            </w14:solidFill>
          </w14:textFill>
        </w:rPr>
        <w:t>（二）机构设置</w:t>
      </w:r>
    </w:p>
    <w:p>
      <w:pPr>
        <w:pStyle w:val="14"/>
        <w:shd w:val="clear" w:color="auto" w:fill="FFFFFF"/>
        <w:autoSpaceDE w:val="0"/>
        <w:spacing w:line="594"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本单位无内设机构。</w:t>
      </w:r>
    </w:p>
    <w:p>
      <w:pPr>
        <w:pStyle w:val="8"/>
        <w:shd w:val="clear" w:color="auto" w:fill="FFFFFF"/>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黑体" w:hAnsi="黑体" w:eastAsia="黑体" w:cs="黑体"/>
          <w:color w:val="000000" w:themeColor="text1"/>
          <w:sz w:val="32"/>
          <w:szCs w:val="32"/>
          <w:shd w:val="clear" w:color="auto" w:fill="FFFFFF"/>
          <w14:textFill>
            <w14:solidFill>
              <w14:schemeClr w14:val="tx1"/>
            </w14:solidFill>
          </w14:textFill>
        </w:rPr>
        <w:t>二、部门决算情况说明</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（一）收入支出决算总体情况说明。</w:t>
      </w:r>
    </w:p>
    <w:p>
      <w:pPr>
        <w:pStyle w:val="8"/>
        <w:shd w:val="clear" w:color="auto" w:fill="FFFFFF"/>
        <w:ind w:firstLine="643"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1.总体情况。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2023年度收入总计90.13万元，支出总计</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万元。收支较上年决算数减少7.84万元，下降8.0%，主要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机构改革人员变动，本年度收入支出较上年减少。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2023年度收入合计90.13万元，较上年决算数减少7.84万元，下降8.0%，主要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机构改革，2023年10月整体划转到发改委下属单位，人员工资变动。其中：财政拨款收入</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万元，占0.0%；经营收入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万元，占0.0%；其他收入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万元，占0.0%。此外，使用非财政拨款结余和专用结余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2023年度支出合计</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万元，较上年决算数减少7.84万元，下降8.0%，主要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机构改革，2023年10月整体划转到发改委下属单位，人员工资变动。其中：基本支出</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万元，占100.0%；项目支出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万元，占0.0%；经营支出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万元，占0.0%。此外，结余分配</w:t>
      </w:r>
      <w:r>
        <w:rPr>
          <w:rFonts w:ascii="方正仿宋_GBK" w:hAnsi="方正仿宋_GBK" w:eastAsia="方正仿宋_GBK" w:cs="方正仿宋_GBK"/>
          <w:color w:val="000000" w:themeColor="text1"/>
          <w:sz w:val="32"/>
          <w:szCs w:val="32"/>
          <w14:textFill>
            <w14:solidFill>
              <w14:schemeClr w14:val="tx1"/>
            </w14:solidFill>
          </w14:textFill>
        </w:rPr>
        <w:t>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2023年度年末结转和结余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万元，较上年决算数无增减，主要原因是无结转结余。</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2023年度财政拨款收、支总计90.13万元。与2022年相比，财政拨款收、支总计各减少7.84万元，下降8.0%。主要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机构改革，2023年10月整体划转到发改委下属单位，人员工资变动。</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（三）一般公共预算财政拨款收入支出决算情况说明</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万元，较上年决算数减少7.84万元，下降8.00%。主要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机构改革，2023年10月整体划转到发改委下属单位，人员工资变动。较年初预算数增加16.76万元，增长22.84%。主要原因是年中追加超额绩效工资16.76万元。此外，年初财政拨款结转和结余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万元，较上年决算数减少7.84万元，下降8.0%。主要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机构改革，2023年10月整体划转到发改委下属单位，人员工资变动。较年初预算数增加16.76万元，增长22.84%。主要原因是年中追加超额绩效工资16.76万元。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2023年度年末一般公共预算财政拨款结转和结余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万元，较上年决算数无增减，主要原因是无结转结余。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highlight w:val="cyan"/>
          <w:shd w:val="clear" w:color="auto" w:fill="FFFFFF"/>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本部门2023年度一般公共预算财政拨款支出主要用于以下几个方面：</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（1）教育支出</w:t>
      </w:r>
      <w:r>
        <w:rPr>
          <w:rFonts w:ascii="方正仿宋_GBK" w:hAnsi="方正仿宋_GBK" w:eastAsia="方正仿宋_GBK" w:cs="方正仿宋_GBK"/>
          <w:color w:val="000000" w:themeColor="text1"/>
          <w:sz w:val="32"/>
          <w:szCs w:val="32"/>
          <w14:textFill>
            <w14:solidFill>
              <w14:schemeClr w14:val="tx1"/>
            </w14:solidFill>
          </w14:textFill>
        </w:rPr>
        <w:t>0.21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0.23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%，较年初预算数无增减，主要原因是人员继续教育经费及培训费。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7.27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8.06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%，较年初预算数增加0.91万元，增长14.31%，主要原因是缴纳职工养老年金等。</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（3）卫生健康支出</w:t>
      </w:r>
      <w:r>
        <w:rPr>
          <w:rFonts w:ascii="方正仿宋_GBK" w:hAnsi="方正仿宋_GBK" w:eastAsia="方正仿宋_GBK" w:cs="方正仿宋_GBK"/>
          <w:color w:val="000000" w:themeColor="text1"/>
          <w:sz w:val="32"/>
          <w:szCs w:val="32"/>
          <w14:textFill>
            <w14:solidFill>
              <w14:schemeClr w14:val="tx1"/>
            </w14:solidFill>
          </w14:textFill>
        </w:rPr>
        <w:t>2.65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2.94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%，较年初预算数无增减，主要原因是缴纳职工医疗保险及垫底资金。</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（4）城乡社区支出</w:t>
      </w:r>
      <w:r>
        <w:rPr>
          <w:rFonts w:ascii="方正仿宋_GBK" w:hAnsi="方正仿宋_GBK" w:eastAsia="方正仿宋_GBK" w:cs="方正仿宋_GBK"/>
          <w:color w:val="000000" w:themeColor="text1"/>
          <w:sz w:val="32"/>
          <w:szCs w:val="32"/>
          <w14:textFill>
            <w14:solidFill>
              <w14:schemeClr w14:val="tx1"/>
            </w14:solidFill>
          </w14:textFill>
        </w:rPr>
        <w:t>76.40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84.77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%，较年初预算数增加15.43万元，增长25.31%，主要原因是追加预算发放职工超额绩效奖。</w:t>
      </w:r>
    </w:p>
    <w:p>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（5）</w:t>
      </w:r>
      <w:r>
        <w:rPr>
          <w:rFonts w:ascii="方正仿宋_GBK" w:hAnsi="方正仿宋_GBK" w:eastAsia="方正仿宋_GBK" w:cs="方正仿宋_GBK"/>
          <w:color w:val="000000" w:themeColor="text1"/>
          <w:sz w:val="32"/>
          <w:szCs w:val="32"/>
          <w14:textFill>
            <w14:solidFill>
              <w14:schemeClr w14:val="tx1"/>
            </w14:solidFill>
          </w14:textFill>
        </w:rPr>
        <w:t>住房保障支出3.60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3.99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%，较年初预算数增加0.42万元，增长13.21%，主要原因是人员调动，工资变化，缴纳公积金基数变化。</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（四）一般公共预算财政拨款基本支出决算情况说明</w:t>
      </w:r>
    </w:p>
    <w:p>
      <w:pPr>
        <w:pStyle w:val="14"/>
        <w:shd w:val="clear" w:color="auto" w:fill="FFFFFF"/>
        <w:autoSpaceDE w:val="0"/>
        <w:spacing w:line="594"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2023年度一般公共财政拨款基本支出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90.13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14:textFill>
            <w14:solidFill>
              <w14:schemeClr w14:val="tx1"/>
            </w14:solidFill>
          </w14:textFill>
        </w:rPr>
        <w:t>74.21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万元，较上年决算数增加15.99万元，增长27.46%，主要原因是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人员工资调整及社保基数增加等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基本工资、绩效工资、津贴补贴、社会保障缴费等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15.92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万元，较上年决算数减少2.67万元，下降14.36%，主要原因是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公用经费用于调剂弥补人员经费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办公费、差旅费、邮电费、福利费、工作餐费等。</w:t>
      </w:r>
    </w:p>
    <w:p>
      <w:pPr>
        <w:pStyle w:val="14"/>
        <w:shd w:val="clear" w:color="auto" w:fill="FFFFFF"/>
        <w:autoSpaceDE w:val="0"/>
        <w:spacing w:line="594" w:lineRule="exact"/>
        <w:ind w:firstLine="643" w:firstLineChars="200"/>
        <w:jc w:val="both"/>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（五）政府性基金预算收支决算情况说明</w:t>
      </w:r>
    </w:p>
    <w:p>
      <w:pPr>
        <w:pStyle w:val="14"/>
        <w:shd w:val="clear" w:color="auto" w:fill="FFFFFF"/>
        <w:autoSpaceDE w:val="0"/>
        <w:spacing w:line="594"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（六）国有资本经营预算财政拨款支出决算情况说明</w:t>
      </w:r>
    </w:p>
    <w:p>
      <w:pPr>
        <w:pStyle w:val="14"/>
        <w:shd w:val="clear" w:color="auto" w:fill="FFFFFF"/>
        <w:autoSpaceDE w:val="0"/>
        <w:spacing w:line="594"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2023年度无国有资本经营预算财政拨款支出。</w:t>
      </w:r>
    </w:p>
    <w:p>
      <w:pPr>
        <w:pStyle w:val="8"/>
        <w:shd w:val="clear" w:color="auto" w:fill="FFFFFF"/>
        <w:rPr>
          <w:rStyle w:val="12"/>
          <w:rFonts w:hint="default" w:ascii="黑体" w:hAnsi="黑体" w:eastAsia="黑体" w:cs="黑体"/>
          <w:color w:val="000000" w:themeColor="text1"/>
          <w:sz w:val="32"/>
          <w:szCs w:val="32"/>
          <w:shd w:val="clear" w:color="auto" w:fill="FFFFFF"/>
          <w14:textFill>
            <w14:solidFill>
              <w14:schemeClr w14:val="tx1"/>
            </w14:solidFill>
          </w14:textFill>
        </w:rPr>
      </w:pPr>
      <w:r>
        <w:rPr>
          <w:rStyle w:val="12"/>
          <w:rFonts w:ascii="黑体" w:hAnsi="黑体" w:eastAsia="黑体" w:cs="黑体"/>
          <w:color w:val="000000" w:themeColor="text1"/>
          <w:sz w:val="32"/>
          <w:szCs w:val="32"/>
          <w:shd w:val="clear" w:color="auto" w:fill="FFFFFF"/>
          <w14:textFill>
            <w14:solidFill>
              <w14:schemeClr w14:val="tx1"/>
            </w14:solidFill>
          </w14:textFill>
        </w:rPr>
        <w:t>三、“三公”经费情况说明</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 xml:space="preserve"> （一）“三公”经费支出总体情况说明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2023年度“三公”经费支出共计</w:t>
      </w:r>
      <w:r>
        <w:rPr>
          <w:rFonts w:ascii="方正仿宋_GBK" w:hAnsi="方正仿宋_GBK" w:eastAsia="方正仿宋_GBK" w:cs="方正仿宋_GBK"/>
          <w:color w:val="000000" w:themeColor="text1"/>
          <w:sz w:val="32"/>
          <w:szCs w:val="32"/>
          <w14:textFill>
            <w14:solidFill>
              <w14:schemeClr w14:val="tx1"/>
            </w14:solidFill>
          </w14:textFill>
        </w:rPr>
        <w:t>7.63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万元，较年初预算数减少1.37万元，下降15.22%，主要原因是过紧日子，压减公车运行经费。较上年支出数减少1.37万元，下降15.22%，主要原因是过紧日子，压减公车运行经费。</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（二）“三公”经费分项支出情况</w:t>
      </w:r>
    </w:p>
    <w:p>
      <w:pPr>
        <w:pStyle w:val="8"/>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8"/>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公务车运行维护费</w:t>
      </w:r>
      <w:r>
        <w:rPr>
          <w:rFonts w:ascii="方正仿宋_GBK" w:hAnsi="方正仿宋_GBK" w:eastAsia="方正仿宋_GBK" w:cs="方正仿宋_GBK"/>
          <w:color w:val="000000" w:themeColor="text1"/>
          <w:sz w:val="32"/>
          <w:szCs w:val="32"/>
          <w14:textFill>
            <w14:solidFill>
              <w14:schemeClr w14:val="tx1"/>
            </w14:solidFill>
          </w14:textFill>
        </w:rPr>
        <w:t>6.63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公务用车燃料费、维修费、保险费、过路过桥费、停车费及相关费用等。费用支出较年初预算数减少1.37万元，下降17.13%，主要原因是过紧日子，压减公车运行经费。较上年支出数减少1.37万元，下降17.13%，主要原因是过紧日子，压减公车运行经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公务接待费</w:t>
      </w:r>
      <w:r>
        <w:rPr>
          <w:rFonts w:ascii="方正仿宋_GBK" w:hAnsi="方正仿宋_GBK" w:eastAsia="方正仿宋_GBK" w:cs="方正仿宋_GBK"/>
          <w:color w:val="000000" w:themeColor="text1"/>
          <w:sz w:val="32"/>
          <w:szCs w:val="32"/>
          <w14:textFill>
            <w14:solidFill>
              <w14:schemeClr w14:val="tx1"/>
            </w14:solidFill>
          </w14:textFill>
        </w:rPr>
        <w:t>1.00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万元，主要用于接待全国各地企业考察我县民防建设项目。费用支出较年初预算数无增减。较上年支出数无增减，主要原因是均用于接待接待全国各地企业考察我县民防建设项目。</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2023年度本部门因公出国（境）共计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个团组，</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人；公务用车购置</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辆，公务车保有量为</w:t>
      </w:r>
      <w:r>
        <w:rPr>
          <w:rFonts w:ascii="方正仿宋_GBK" w:hAnsi="方正仿宋_GBK" w:eastAsia="方正仿宋_GBK" w:cs="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ascii="方正仿宋_GBK" w:hAnsi="方正仿宋_GBK" w:eastAsia="方正仿宋_GBK" w:cs="方正仿宋_GBK"/>
          <w:color w:val="000000" w:themeColor="text1"/>
          <w:sz w:val="32"/>
          <w:szCs w:val="32"/>
          <w14:textFill>
            <w14:solidFill>
              <w14:schemeClr w14:val="tx1"/>
            </w14:solidFill>
          </w14:textFill>
        </w:rPr>
        <w:t>19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88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人，其中：国内外事接待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人；国（境）外公务接待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人。2023年本部门人均接待费</w:t>
      </w:r>
      <w:r>
        <w:rPr>
          <w:rFonts w:ascii="方正仿宋_GBK" w:hAnsi="方正仿宋_GBK" w:eastAsia="方正仿宋_GBK" w:cs="方正仿宋_GBK"/>
          <w:color w:val="000000" w:themeColor="text1"/>
          <w:sz w:val="32"/>
          <w:szCs w:val="32"/>
          <w14:textFill>
            <w14:solidFill>
              <w14:schemeClr w14:val="tx1"/>
            </w14:solidFill>
          </w14:textFill>
        </w:rPr>
        <w:t>113.64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元，车均购置费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万元，车均维护费</w:t>
      </w:r>
      <w:r>
        <w:rPr>
          <w:rFonts w:ascii="方正仿宋_GBK" w:hAnsi="方正仿宋_GBK" w:eastAsia="方正仿宋_GBK" w:cs="方正仿宋_GBK"/>
          <w:color w:val="000000" w:themeColor="text1"/>
          <w:sz w:val="32"/>
          <w:szCs w:val="32"/>
          <w14:textFill>
            <w14:solidFill>
              <w14:schemeClr w14:val="tx1"/>
            </w14:solidFill>
          </w14:textFill>
        </w:rPr>
        <w:t>3.32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8"/>
        <w:shd w:val="clear" w:color="auto" w:fill="FFFFFF"/>
        <w:rPr>
          <w:rStyle w:val="12"/>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2"/>
          <w:rFonts w:ascii="黑体" w:hAnsi="黑体" w:eastAsia="黑体" w:cs="黑体"/>
          <w:color w:val="000000" w:themeColor="text1"/>
          <w:sz w:val="32"/>
          <w:szCs w:val="32"/>
          <w:shd w:val="clear" w:color="auto" w:fill="FFFFFF"/>
          <w14:textFill>
            <w14:solidFill>
              <w14:schemeClr w14:val="tx1"/>
            </w14:solidFill>
          </w14:textFill>
        </w:rPr>
        <w:t>四、其他需要说明的事项</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（一）财政拨款会议费和培训费情况说明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本年度会议费支出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万元，较上年决算数无增减，主要原因是本年度未发生会议费。本年度培训费支出</w:t>
      </w:r>
      <w:r>
        <w:rPr>
          <w:rFonts w:ascii="方正仿宋_GBK" w:hAnsi="方正仿宋_GBK" w:eastAsia="方正仿宋_GBK" w:cs="方正仿宋_GBK"/>
          <w:color w:val="000000" w:themeColor="text1"/>
          <w:sz w:val="32"/>
          <w:szCs w:val="32"/>
          <w14:textFill>
            <w14:solidFill>
              <w14:schemeClr w14:val="tx1"/>
            </w14:solidFill>
          </w14:textFill>
        </w:rPr>
        <w:t>0.21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万元，较上年决算数增加0.03万元，增长16.67%，主要原因是人员继续教育经费及培训费增加。</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（二）机关运行经费情况说明</w:t>
      </w:r>
    </w:p>
    <w:p>
      <w:pPr>
        <w:pStyle w:val="8"/>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截至2023年12月31日，本部门共有车辆</w:t>
      </w:r>
      <w:r>
        <w:rPr>
          <w:rFonts w:ascii="方正仿宋_GBK" w:hAnsi="方正仿宋_GBK" w:eastAsia="方正仿宋_GBK" w:cs="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ascii="方正仿宋_GBK" w:hAnsi="方正仿宋_GBK" w:eastAsia="方正仿宋_GBK" w:cs="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pPr>
        <w:pStyle w:val="13"/>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（四）政府采购支出情况说明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8"/>
        <w:numPr>
          <w:ilvl w:val="0"/>
          <w:numId w:val="1"/>
        </w:numPr>
        <w:shd w:val="clear" w:color="auto" w:fill="FFFFFF"/>
        <w:rPr>
          <w:rStyle w:val="12"/>
          <w:rFonts w:hint="default" w:ascii="黑体" w:hAnsi="黑体" w:eastAsia="黑体" w:cs="黑体"/>
          <w:color w:val="000000" w:themeColor="text1"/>
          <w:sz w:val="32"/>
          <w:szCs w:val="32"/>
          <w:shd w:val="clear" w:color="auto" w:fill="FFFFFF"/>
          <w14:textFill>
            <w14:solidFill>
              <w14:schemeClr w14:val="tx1"/>
            </w14:solidFill>
          </w14:textFill>
        </w:rPr>
      </w:pPr>
      <w:r>
        <w:rPr>
          <w:rStyle w:val="12"/>
          <w:rFonts w:ascii="黑体" w:hAnsi="黑体" w:eastAsia="黑体" w:cs="黑体"/>
          <w:color w:val="000000" w:themeColor="text1"/>
          <w:sz w:val="32"/>
          <w:szCs w:val="32"/>
          <w:shd w:val="clear" w:color="auto" w:fill="FFFFFF"/>
          <w14:textFill>
            <w14:solidFill>
              <w14:schemeClr w14:val="tx1"/>
            </w14:solidFill>
          </w14:textFill>
        </w:rPr>
        <w:t>预算绩效管理情况说明</w:t>
      </w:r>
    </w:p>
    <w:p>
      <w:pPr>
        <w:pStyle w:val="13"/>
        <w:autoSpaceDE w:val="0"/>
        <w:ind w:firstLine="643"/>
        <w:rPr>
          <w:rFonts w:ascii="楷体" w:hAnsi="楷体" w:eastAsia="楷体" w:cs="楷体"/>
          <w:b/>
          <w:bCs/>
          <w:sz w:val="32"/>
          <w:szCs w:val="32"/>
          <w:shd w:val="clear" w:color="auto" w:fill="FFFFFF"/>
          <w:lang w:bidi="ar"/>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hint="eastAsia" w:ascii="楷体" w:hAnsi="楷体" w:eastAsia="楷体" w:cs="楷体"/>
          <w:b/>
          <w:bCs/>
          <w:sz w:val="32"/>
          <w:szCs w:val="32"/>
          <w:shd w:val="clear" w:color="auto" w:fill="FFFFFF"/>
          <w:lang w:bidi="ar"/>
        </w:rPr>
        <w:t>（一）单位自评情况</w:t>
      </w:r>
    </w:p>
    <w:p>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根据预算绩效管理要求，我单位为下属单位，2023年未开展项目自评，涉及项目支出资金0万元。</w:t>
      </w:r>
    </w:p>
    <w:p>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3"/>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我单位未组织开展绩效评价。</w:t>
      </w:r>
    </w:p>
    <w:p>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县财政局未委托第三方对我单位开展绩效评价。</w:t>
      </w:r>
    </w:p>
    <w:p>
      <w:pPr>
        <w:pStyle w:val="8"/>
        <w:shd w:val="clear" w:color="auto" w:fill="FFFFFF"/>
        <w:rPr>
          <w:rStyle w:val="12"/>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2"/>
          <w:rFonts w:ascii="黑体" w:hAnsi="黑体" w:eastAsia="黑体" w:cs="黑体"/>
          <w:color w:val="000000" w:themeColor="text1"/>
          <w:sz w:val="32"/>
          <w:szCs w:val="32"/>
          <w:shd w:val="clear" w:color="auto" w:fill="FFFFFF"/>
          <w14:textFill>
            <w14:solidFill>
              <w14:schemeClr w14:val="tx1"/>
            </w14:solidFill>
          </w14:textFill>
        </w:rPr>
        <w:t>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bCs/>
          <w:color w:val="000000" w:themeColor="text1"/>
          <w:sz w:val="32"/>
          <w:szCs w:val="32"/>
          <w:shd w:val="clear" w:color="auto" w:fill="FFFFFF"/>
          <w:lang w:bidi="ar"/>
          <w14:textFill>
            <w14:solidFill>
              <w14:schemeClr w14:val="tx1"/>
            </w14:solidFill>
          </w14:textFill>
        </w:rPr>
        <w:t> </w:t>
      </w:r>
      <w:r>
        <w:rPr>
          <w:rFonts w:ascii="楷体" w:hAnsi="楷体" w:eastAsia="楷体" w:cs="楷体"/>
          <w:b/>
          <w:bCs/>
          <w:color w:val="000000" w:themeColor="text1"/>
          <w:sz w:val="32"/>
          <w:szCs w:val="32"/>
          <w:shd w:val="clear" w:color="auto" w:fill="FFFFFF"/>
          <w:lang w:bidi="ar"/>
          <w14:textFill>
            <w14:solidFill>
              <w14:schemeClr w14:val="tx1"/>
            </w14:solidFill>
          </w14:textFill>
        </w:rPr>
        <w:t>（一）财政拨款收入：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（二）事业收入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（三）经营收入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（四）其他收入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楷体" w:hAnsi="楷体" w:eastAsia="楷体" w:cs="楷体"/>
          <w:color w:val="000000" w:themeColor="text1"/>
          <w:sz w:val="32"/>
          <w:szCs w:val="32"/>
          <w:shd w:val="clear" w:color="auto" w:fill="FFFFFF"/>
          <w14:textFill>
            <w14:solidFill>
              <w14:schemeClr w14:val="tx1"/>
            </w14:solidFill>
          </w14:textFill>
        </w:rPr>
        <w:t>（五）使用非财政拨款结余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（六）年初结转和结余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（七）结余分配</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（八）年末结转和结余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（九）基本支出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（十）项目支出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（十一）经营支出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（十二）“三公”经费</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（十三）机关运行经费</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（十四）工资福利支出（支出经济分类科目类级）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（十五）商品和服务支出（支出经济分类科目类级）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楷体" w:hAnsi="楷体" w:eastAsia="楷体" w:cs="楷体"/>
          <w:color w:val="000000" w:themeColor="text1"/>
          <w:sz w:val="32"/>
          <w:szCs w:val="32"/>
          <w:shd w:val="clear" w:color="auto" w:fill="FFFFFF"/>
          <w14:textFill>
            <w14:solidFill>
              <w14:schemeClr w14:val="tx1"/>
            </w14:solidFill>
          </w14:textFill>
        </w:rPr>
        <w:t> （十六）对个人和家庭的补助（支出经济分类科目类级）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2"/>
          <w:rFonts w:ascii="楷体" w:hAnsi="楷体" w:eastAsia="楷体" w:cs="楷体"/>
          <w:color w:val="000000" w:themeColor="text1"/>
          <w:sz w:val="32"/>
          <w:szCs w:val="32"/>
          <w:shd w:val="clear" w:color="auto" w:fill="FFFFFF"/>
          <w14:textFill>
            <w14:solidFill>
              <w14:schemeClr w14:val="tx1"/>
            </w14:solidFill>
          </w14:textFill>
        </w:rPr>
        <w:t>（十七）其他资本性支出（支出经济分类科目类级）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rPr>
          <w:rStyle w:val="12"/>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2"/>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Style w:val="12"/>
          <w:rFonts w:ascii="黑体" w:hAnsi="黑体" w:eastAsia="黑体" w:cs="黑体"/>
          <w:color w:val="000000" w:themeColor="text1"/>
          <w:sz w:val="32"/>
          <w:szCs w:val="32"/>
          <w:shd w:val="clear" w:color="auto" w:fill="FFFFFF"/>
          <w14:textFill>
            <w14:solidFill>
              <w14:schemeClr w14:val="tx1"/>
            </w14:solidFill>
          </w14:textFill>
        </w:rPr>
        <w:t>七、决算公开联系方式及信息反馈渠道</w:t>
      </w:r>
    </w:p>
    <w:p>
      <w:pPr>
        <w:pStyle w:val="14"/>
        <w:shd w:val="clear" w:color="auto" w:fill="FFFFFF"/>
        <w:autoSpaceDE w:val="0"/>
        <w:spacing w:line="594" w:lineRule="exact"/>
        <w:ind w:firstLine="640" w:firstLineChars="200"/>
        <w:jc w:val="both"/>
        <w:rPr>
          <w:rFonts w:cs="宋体"/>
          <w:color w:val="000000" w:themeColor="text1"/>
          <w:sz w:val="21"/>
          <w:szCs w:val="21"/>
          <w14:textFill>
            <w14:solidFill>
              <w14:schemeClr w14:val="tx1"/>
            </w14:solidFill>
          </w14:textFill>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：马老师</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olor w:val="000000" w:themeColor="text1"/>
          <w:sz w:val="32"/>
          <w:szCs w:val="32"/>
          <w:shd w:val="clear" w:color="auto" w:fill="FFFFFF"/>
          <w14:textFill>
            <w14:solidFill>
              <w14:schemeClr w14:val="tx1"/>
            </w14:solidFill>
          </w14:textFill>
        </w:rPr>
        <w:t>023-74</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529950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2"/>
        <w:rPr>
          <w:rFonts w:hint="default" w:eastAsia="宋体" w:cs="宋体"/>
          <w:color w:val="000000" w:themeColor="text1"/>
          <w:sz w:val="21"/>
          <w:szCs w:val="21"/>
          <w14:textFill>
            <w14:solidFill>
              <w14:schemeClr w14:val="tx1"/>
            </w14:solidFill>
          </w14:textFill>
        </w:rPr>
        <w:sectPr>
          <w:headerReference r:id="rId3" w:type="default"/>
          <w:footerReference r:id="rId4" w:type="default"/>
          <w:pgSz w:w="16838" w:h="23811"/>
          <w:pgMar w:top="454" w:right="567" w:bottom="1037" w:left="567" w:header="0" w:footer="283" w:gutter="0"/>
          <w:pgNumType w:fmt="numberInDash"/>
          <w:cols w:space="720" w:num="1"/>
          <w:docGrid w:type="lines" w:linePitch="312" w:charSpace="0"/>
        </w:sectPr>
      </w:pPr>
    </w:p>
    <w:p>
      <w:pPr>
        <w:pStyle w:val="2"/>
        <w:rPr>
          <w:rFonts w:hint="default" w:eastAsia="宋体" w:cs="宋体"/>
          <w:color w:val="000000" w:themeColor="text1"/>
          <w:sz w:val="21"/>
          <w:szCs w:val="21"/>
          <w14:textFill>
            <w14:solidFill>
              <w14:schemeClr w14:val="tx1"/>
            </w14:solidFill>
          </w14:textFill>
        </w:rPr>
      </w:pPr>
    </w:p>
    <w:p>
      <w:pPr>
        <w:pStyle w:val="2"/>
        <w:rPr>
          <w:rFonts w:hint="default" w:eastAsia="宋体" w:cs="宋体"/>
          <w:color w:val="000000" w:themeColor="text1"/>
          <w:sz w:val="21"/>
          <w:szCs w:val="21"/>
          <w14:textFill>
            <w14:solidFill>
              <w14:schemeClr w14:val="tx1"/>
            </w14:solidFill>
          </w14:textFill>
        </w:rPr>
      </w:pPr>
    </w:p>
    <w:p>
      <w:pPr>
        <w:pStyle w:val="2"/>
        <w:rPr>
          <w:rFonts w:hint="default" w:eastAsia="宋体" w:cs="宋体"/>
          <w:color w:val="000000" w:themeColor="text1"/>
          <w:sz w:val="21"/>
          <w:szCs w:val="21"/>
          <w14:textFill>
            <w14:solidFill>
              <w14:schemeClr w14:val="tx1"/>
            </w14:solidFill>
          </w14:textFill>
        </w:rPr>
      </w:pPr>
    </w:p>
    <w:p>
      <w:pPr>
        <w:pStyle w:val="2"/>
        <w:rPr>
          <w:rFonts w:hint="default" w:eastAsia="宋体" w:cs="宋体"/>
          <w:color w:val="000000" w:themeColor="text1"/>
          <w:sz w:val="21"/>
          <w:szCs w:val="21"/>
          <w14:textFill>
            <w14:solidFill>
              <w14:schemeClr w14:val="tx1"/>
            </w14:solidFill>
          </w14:textFill>
        </w:rPr>
      </w:pPr>
    </w:p>
    <w:tbl>
      <w:tblPr>
        <w:tblStyle w:val="9"/>
        <w:tblW w:w="22292" w:type="dxa"/>
        <w:tblInd w:w="0" w:type="dxa"/>
        <w:tblLayout w:type="fixed"/>
        <w:tblCellMar>
          <w:top w:w="0" w:type="dxa"/>
          <w:left w:w="0" w:type="dxa"/>
          <w:bottom w:w="0" w:type="dxa"/>
          <w:right w:w="0" w:type="dxa"/>
        </w:tblCellMar>
      </w:tblPr>
      <w:tblGrid>
        <w:gridCol w:w="6581"/>
        <w:gridCol w:w="4358"/>
        <w:gridCol w:w="7536"/>
        <w:gridCol w:w="3817"/>
      </w:tblGrid>
      <w:tr>
        <w:tblPrEx>
          <w:tblLayout w:type="fixed"/>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收入支出决算总表</w:t>
            </w:r>
          </w:p>
        </w:tc>
      </w:tr>
      <w:tr>
        <w:tblPrEx>
          <w:tblLayout w:type="fixed"/>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公开01表</w:t>
            </w:r>
          </w:p>
        </w:tc>
      </w:tr>
      <w:tr>
        <w:tblPrEx>
          <w:tblLayout w:type="fixed"/>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themeColor="text1"/>
                <w14:textFill>
                  <w14:solidFill>
                    <w14:schemeClr w14:val="tx1"/>
                  </w14:solidFill>
                </w14:textFill>
              </w:rPr>
            </w:pPr>
            <w:r>
              <w:rPr>
                <w:rFonts w:cs="宋体"/>
                <w:color w:val="000000" w:themeColor="text1"/>
                <w14:textFill>
                  <w14:solidFill>
                    <w14:schemeClr w14:val="tx1"/>
                  </w14:solidFill>
                </w14:textFill>
              </w:rPr>
              <w:t>公开单位：垫江县民防（应急）指挥信息保障中心</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2"/>
                <w:szCs w:val="22"/>
                <w14:textFill>
                  <w14:solidFill>
                    <w14:schemeClr w14:val="tx1"/>
                  </w14:solidFill>
                </w14:textFill>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Layout w:type="fixed"/>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支出</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7.27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r>
    </w:tbl>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备注：1.本表反映单位本年度的总收支和年末结转结余情况。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p>
    <w:tbl>
      <w:tblPr>
        <w:tblStyle w:val="9"/>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Layout w:type="fixed"/>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收入决算表</w:t>
            </w:r>
          </w:p>
        </w:tc>
      </w:tr>
      <w:tr>
        <w:tblPrEx>
          <w:tblLayout w:type="fixed"/>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r>
              <w:rPr>
                <w:rFonts w:cs="宋体"/>
                <w:color w:val="000000" w:themeColor="text1"/>
                <w14:textFill>
                  <w14:solidFill>
                    <w14:schemeClr w14:val="tx1"/>
                  </w14:solidFill>
                </w14:textFill>
              </w:rPr>
              <w:t>公开单位：垫江县民防（应急）指挥信息保障中心</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公开02表</w:t>
            </w:r>
          </w:p>
        </w:tc>
      </w:tr>
      <w:tr>
        <w:tblPrEx>
          <w:tblLayout w:type="fixed"/>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Layout w:type="fixed"/>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其他收入</w:t>
            </w:r>
          </w:p>
        </w:tc>
      </w:tr>
      <w:tr>
        <w:tblPrEx>
          <w:tblLayout w:type="fixed"/>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90.13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90.13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其他城乡社区管理事务支出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ind w:left="630" w:hanging="630" w:hangingChars="300"/>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备注：1.本表反映单位本年度取得的各项收入情况。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br w:type="page"/>
      </w:r>
    </w:p>
    <w:p>
      <w:pPr>
        <w:ind w:left="630" w:hanging="630" w:hangingChars="300"/>
        <w:rPr>
          <w:rFonts w:hint="default" w:cs="宋体"/>
          <w:color w:val="000000" w:themeColor="text1"/>
          <w:sz w:val="21"/>
          <w:szCs w:val="21"/>
          <w:lang w:bidi="ar"/>
          <w14:textFill>
            <w14:solidFill>
              <w14:schemeClr w14:val="tx1"/>
            </w14:solidFill>
          </w14:textFill>
        </w:rPr>
      </w:pPr>
    </w:p>
    <w:tbl>
      <w:tblPr>
        <w:tblStyle w:val="9"/>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Layout w:type="fixed"/>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支出决算表</w:t>
            </w:r>
          </w:p>
        </w:tc>
      </w:tr>
      <w:tr>
        <w:tblPrEx>
          <w:tblLayout w:type="fixed"/>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 xml:space="preserve">垫江县民防（应急）指挥信息保障中心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公开03表</w:t>
            </w:r>
          </w:p>
        </w:tc>
      </w:tr>
      <w:tr>
        <w:tblPrEx>
          <w:tblLayout w:type="fixed"/>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Layout w:type="fixed"/>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对附属单位补助支出</w:t>
            </w:r>
          </w:p>
        </w:tc>
      </w:tr>
      <w:tr>
        <w:tblPrEx>
          <w:tblLayout w:type="fixed"/>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90.13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90.13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其他城乡社区管理事务支出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备注：1.本表反映单位本年度各项支出情况。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br w:type="page"/>
      </w:r>
    </w:p>
    <w:p>
      <w:pPr>
        <w:rPr>
          <w:rFonts w:hint="default" w:cs="宋体"/>
          <w:color w:val="000000" w:themeColor="text1"/>
          <w:sz w:val="21"/>
          <w:szCs w:val="21"/>
          <w:lang w:bidi="ar"/>
          <w14:textFill>
            <w14:solidFill>
              <w14:schemeClr w14:val="tx1"/>
            </w14:solidFill>
          </w14:textFill>
        </w:rPr>
      </w:pPr>
    </w:p>
    <w:tbl>
      <w:tblPr>
        <w:tblStyle w:val="9"/>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Layout w:type="fixed"/>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财政拨款收入支出决算总表</w:t>
            </w:r>
          </w:p>
        </w:tc>
      </w:tr>
      <w:tr>
        <w:tblPrEx>
          <w:tblLayout w:type="fixed"/>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垫江县民防（应急）指挥信息保障中心</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公开04表</w:t>
            </w:r>
          </w:p>
        </w:tc>
      </w:tr>
      <w:tr>
        <w:tblPrEx>
          <w:tblLayout w:type="fixed"/>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Layout w:type="fixed"/>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支     出</w:t>
            </w:r>
          </w:p>
        </w:tc>
      </w:tr>
      <w:tr>
        <w:tblPrEx>
          <w:tblLayout w:type="fixed"/>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r>
      <w:tr>
        <w:tblPrEx>
          <w:tblLayout w:type="fixed"/>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国有资本经营预算财政拨款</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7.27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7.27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90.13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备注：1.本表反映单位本年度一般公共预算财政拨款、政府性基金预算财政拨款及国有资本经营预算财政拨款的总收支和年末结转结余情况。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9"/>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Layout w:type="fixed"/>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一般公共预算财政拨款支出决算表</w:t>
            </w:r>
          </w:p>
        </w:tc>
      </w:tr>
      <w:tr>
        <w:tblPrEx>
          <w:tblLayout w:type="fixed"/>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垫江县民防（应急）指挥信息保障中心</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公开05表</w:t>
            </w:r>
          </w:p>
        </w:tc>
      </w:tr>
      <w:tr>
        <w:tblPrEx>
          <w:tblLayout w:type="fixed"/>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Layout w:type="fixed"/>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w:t>
            </w:r>
          </w:p>
        </w:tc>
      </w:tr>
      <w:tr>
        <w:tblPrEx>
          <w:tblLayout w:type="fixed"/>
          <w:tblCellMar>
            <w:top w:w="0" w:type="dxa"/>
            <w:left w:w="0" w:type="dxa"/>
            <w:bottom w:w="0" w:type="dxa"/>
            <w:right w:w="0" w:type="dxa"/>
          </w:tblCellMar>
        </w:tblPrEx>
        <w:trPr>
          <w:trHeight w:val="327"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r>
      <w:tr>
        <w:tblPrEx>
          <w:tblLayout w:type="fixed"/>
          <w:tblCellMar>
            <w:top w:w="0" w:type="dxa"/>
            <w:left w:w="0" w:type="dxa"/>
            <w:bottom w:w="0" w:type="dxa"/>
            <w:right w:w="0" w:type="dxa"/>
          </w:tblCellMar>
        </w:tblPrEx>
        <w:trPr>
          <w:trHeight w:val="327"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90.13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90.13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0.21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7.27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其他城乡社区管理事务支出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备注：1.本表反映单位本年度一般公共预算财政拨款支出情况。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ind w:firstLine="630" w:firstLineChars="300"/>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9"/>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Layout w:type="fixed"/>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一般公共预算财政拨款基本支出决算表</w:t>
            </w:r>
          </w:p>
        </w:tc>
      </w:tr>
      <w:tr>
        <w:tblPrEx>
          <w:tblLayout w:type="fixed"/>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垫江县民防（应急）指挥信息保障中心</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公开06表</w:t>
            </w:r>
          </w:p>
        </w:tc>
      </w:tr>
      <w:tr>
        <w:tblPrEx>
          <w:tblLayout w:type="fixed"/>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Layout w:type="fixed"/>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公用经费</w:t>
            </w:r>
          </w:p>
        </w:tc>
      </w:tr>
      <w:tr>
        <w:tblPrEx>
          <w:tblLayout w:type="fixed"/>
          <w:tblCellMar>
            <w:top w:w="0" w:type="dxa"/>
            <w:left w:w="0" w:type="dxa"/>
            <w:bottom w:w="0" w:type="dxa"/>
            <w:right w:w="0" w:type="dxa"/>
          </w:tblCellMar>
        </w:tblPrEx>
        <w:trPr>
          <w:trHeight w:val="327"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金额</w:t>
            </w:r>
          </w:p>
        </w:tc>
      </w:tr>
      <w:tr>
        <w:tblPrEx>
          <w:tblLayout w:type="fixed"/>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74.21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15.92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13.90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0.80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0.50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45.05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5.16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2.10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0.08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2.95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0.68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0.49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0.41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6.63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2.40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74.21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15.92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备注：1.本表反映单位本年度一般公共预算财政拨款基本支出明细情况。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p>
    <w:tbl>
      <w:tblPr>
        <w:tblStyle w:val="9"/>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Layout w:type="fixed"/>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垫江县民防（应急）指挥信息保障中心</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公开07表</w:t>
            </w:r>
          </w:p>
        </w:tc>
      </w:tr>
      <w:tr>
        <w:tblPrEx>
          <w:tblLayout w:type="fixed"/>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Layout w:type="fixed"/>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年末结转和结余</w:t>
            </w:r>
          </w:p>
        </w:tc>
      </w:tr>
      <w:tr>
        <w:tblPrEx>
          <w:tblLayout w:type="fixed"/>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备注：本表反映单位本年度政府性基金预算财政拨款收入支出及结转和结余情况。本单位无政府性基金收支，故本表无数据。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9"/>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Layout w:type="fixed"/>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垫江县民防（应急）指挥信息保障中心</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公开08表</w:t>
            </w:r>
          </w:p>
        </w:tc>
      </w:tr>
      <w:tr>
        <w:tblPrEx>
          <w:tblLayout w:type="fixed"/>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Layout w:type="fixed"/>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w:t>
            </w:r>
          </w:p>
        </w:tc>
      </w:tr>
      <w:tr>
        <w:tblPrEx>
          <w:tblLayout w:type="fixed"/>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r>
      <w:tr>
        <w:tblPrEx>
          <w:tblLayout w:type="fixed"/>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327"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Layout w:type="fixed"/>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themeColor="text1"/>
                <w:sz w:val="22"/>
                <w:szCs w:val="22"/>
                <w14:textFill>
                  <w14:solidFill>
                    <w14:schemeClr w14:val="tx1"/>
                  </w14:solidFill>
                </w14:textFill>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t>备注：本表反映单位本年度国有资本经营预算财政拨款支出情况。本单位无国有资本经营收支，故本表无数据。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9"/>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Layout w:type="fixed"/>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机构运行信息表</w:t>
            </w:r>
          </w:p>
        </w:tc>
      </w:tr>
      <w:tr>
        <w:tblPrEx>
          <w:tblLayout w:type="fixed"/>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themeColor="text1"/>
                <w:sz w:val="20"/>
                <w:szCs w:val="20"/>
                <w14:textFill>
                  <w14:solidFill>
                    <w14:schemeClr w14:val="tx1"/>
                  </w14:solidFill>
                </w14:textFill>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公开09表</w:t>
            </w:r>
          </w:p>
        </w:tc>
      </w:tr>
      <w:tr>
        <w:tblPrEx>
          <w:tblLayout w:type="fixed"/>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themeColor="text1"/>
                <w:sz w:val="22"/>
                <w:szCs w:val="22"/>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垫江县民防（应急）指挥信息保障中心</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themeColor="text1"/>
                <w:sz w:val="22"/>
                <w:szCs w:val="22"/>
                <w14:textFill>
                  <w14:solidFill>
                    <w14:schemeClr w14:val="tx1"/>
                  </w14:solidFill>
                </w14:textFill>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2"/>
                <w:szCs w:val="22"/>
                <w14:textFill>
                  <w14:solidFill>
                    <w14:schemeClr w14:val="tx1"/>
                  </w14:solidFill>
                </w14:textFill>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Layout w:type="fixed"/>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6.63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6.63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6.63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6.63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1.00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1.00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88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0.21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pStyle w:val="13"/>
        <w:autoSpaceDE w:val="0"/>
        <w:ind w:firstLine="0" w:firstLineChars="0"/>
        <w:rPr>
          <w:rFonts w:cs="宋体"/>
          <w:color w:val="000000" w:themeColor="text1"/>
          <w:sz w:val="21"/>
          <w:szCs w:val="21"/>
          <w14:textFill>
            <w14:solidFill>
              <w14:schemeClr w14:val="tx1"/>
            </w14:solidFill>
          </w14:textFill>
        </w:rPr>
      </w:pPr>
    </w:p>
    <w:sectPr>
      <w:pgSz w:w="23811" w:h="16838" w:orient="landscape"/>
      <w:pgMar w:top="567" w:right="454" w:bottom="567" w:left="1037" w:header="0" w:footer="283" w:gutter="0"/>
      <w:pgNumType w:fmt="numberInDash"/>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5 -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cumentProtection w:enforcement="0"/>
  <w:defaultTabStop w:val="420"/>
  <w:drawingGridVerticalSpacing w:val="164"/>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00B5B"/>
    <w:rsid w:val="00334363"/>
    <w:rsid w:val="00550ABE"/>
    <w:rsid w:val="006037C7"/>
    <w:rsid w:val="007B419D"/>
    <w:rsid w:val="007F68E4"/>
    <w:rsid w:val="009B67B8"/>
    <w:rsid w:val="00B03CCD"/>
    <w:rsid w:val="00F73F90"/>
    <w:rsid w:val="01474EBF"/>
    <w:rsid w:val="01F3521E"/>
    <w:rsid w:val="02292EFC"/>
    <w:rsid w:val="03B87EA0"/>
    <w:rsid w:val="03E3214F"/>
    <w:rsid w:val="044C50BA"/>
    <w:rsid w:val="05BC6D49"/>
    <w:rsid w:val="06194FF1"/>
    <w:rsid w:val="06A2550B"/>
    <w:rsid w:val="06F80EE2"/>
    <w:rsid w:val="07001CCA"/>
    <w:rsid w:val="073D226C"/>
    <w:rsid w:val="075678DB"/>
    <w:rsid w:val="079D7CC7"/>
    <w:rsid w:val="07EC7865"/>
    <w:rsid w:val="08051BCA"/>
    <w:rsid w:val="086C12F4"/>
    <w:rsid w:val="08705944"/>
    <w:rsid w:val="088234F2"/>
    <w:rsid w:val="08BA052C"/>
    <w:rsid w:val="08DB07BA"/>
    <w:rsid w:val="0969353F"/>
    <w:rsid w:val="098305D0"/>
    <w:rsid w:val="0A3317EA"/>
    <w:rsid w:val="0A5C4B69"/>
    <w:rsid w:val="0A86124A"/>
    <w:rsid w:val="0AB54CC0"/>
    <w:rsid w:val="0B4E398B"/>
    <w:rsid w:val="0B9335CE"/>
    <w:rsid w:val="0BF2311A"/>
    <w:rsid w:val="0C6E02D6"/>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4C038F"/>
    <w:rsid w:val="13871C70"/>
    <w:rsid w:val="13A71CB4"/>
    <w:rsid w:val="13AF1D43"/>
    <w:rsid w:val="13CE1647"/>
    <w:rsid w:val="13FD55AB"/>
    <w:rsid w:val="14200702"/>
    <w:rsid w:val="142F11CC"/>
    <w:rsid w:val="145208BC"/>
    <w:rsid w:val="163A6CEE"/>
    <w:rsid w:val="173708E3"/>
    <w:rsid w:val="17C374FC"/>
    <w:rsid w:val="182E4AB6"/>
    <w:rsid w:val="189079DC"/>
    <w:rsid w:val="189B0D0B"/>
    <w:rsid w:val="18B43F7C"/>
    <w:rsid w:val="194A1770"/>
    <w:rsid w:val="19B906A4"/>
    <w:rsid w:val="1B6F15B6"/>
    <w:rsid w:val="1B8E4A8C"/>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632E41"/>
    <w:rsid w:val="24B92327"/>
    <w:rsid w:val="24C14514"/>
    <w:rsid w:val="2533755C"/>
    <w:rsid w:val="254C548D"/>
    <w:rsid w:val="25791755"/>
    <w:rsid w:val="26396DF4"/>
    <w:rsid w:val="264025FF"/>
    <w:rsid w:val="26F234FB"/>
    <w:rsid w:val="27167136"/>
    <w:rsid w:val="27B23302"/>
    <w:rsid w:val="29310A5F"/>
    <w:rsid w:val="29C37A35"/>
    <w:rsid w:val="2A076083"/>
    <w:rsid w:val="2A73162E"/>
    <w:rsid w:val="2B167953"/>
    <w:rsid w:val="2B200583"/>
    <w:rsid w:val="2B8209DE"/>
    <w:rsid w:val="2BD62868"/>
    <w:rsid w:val="2C636760"/>
    <w:rsid w:val="2C6762A3"/>
    <w:rsid w:val="2FCA4B37"/>
    <w:rsid w:val="2FE029D7"/>
    <w:rsid w:val="2FF06E00"/>
    <w:rsid w:val="3049686B"/>
    <w:rsid w:val="30586FEC"/>
    <w:rsid w:val="315F0B22"/>
    <w:rsid w:val="31A95D02"/>
    <w:rsid w:val="31D84415"/>
    <w:rsid w:val="32285F6F"/>
    <w:rsid w:val="32770556"/>
    <w:rsid w:val="329C0913"/>
    <w:rsid w:val="32AA0460"/>
    <w:rsid w:val="3337290D"/>
    <w:rsid w:val="33E31118"/>
    <w:rsid w:val="33EF7674"/>
    <w:rsid w:val="342D7BC6"/>
    <w:rsid w:val="352930DB"/>
    <w:rsid w:val="35573069"/>
    <w:rsid w:val="355F6038"/>
    <w:rsid w:val="358C217E"/>
    <w:rsid w:val="35BF69E4"/>
    <w:rsid w:val="36C9128A"/>
    <w:rsid w:val="37841E99"/>
    <w:rsid w:val="37BF1123"/>
    <w:rsid w:val="383C3F15"/>
    <w:rsid w:val="38BE4696"/>
    <w:rsid w:val="39075C2D"/>
    <w:rsid w:val="3939115E"/>
    <w:rsid w:val="39B82A39"/>
    <w:rsid w:val="39C42CA8"/>
    <w:rsid w:val="39DC4FD6"/>
    <w:rsid w:val="39F03D7A"/>
    <w:rsid w:val="39F33306"/>
    <w:rsid w:val="3A2C1C67"/>
    <w:rsid w:val="3A3756ED"/>
    <w:rsid w:val="3ADD7F09"/>
    <w:rsid w:val="3B1705E5"/>
    <w:rsid w:val="3B18334B"/>
    <w:rsid w:val="3B36794F"/>
    <w:rsid w:val="3B6F6EE0"/>
    <w:rsid w:val="3C566AD6"/>
    <w:rsid w:val="3C594871"/>
    <w:rsid w:val="3C6A5B02"/>
    <w:rsid w:val="3D2757A1"/>
    <w:rsid w:val="3D3D4FC4"/>
    <w:rsid w:val="3DDF3AB1"/>
    <w:rsid w:val="3E1D0952"/>
    <w:rsid w:val="3E3C2572"/>
    <w:rsid w:val="3E42660A"/>
    <w:rsid w:val="3E50124B"/>
    <w:rsid w:val="3E7555B1"/>
    <w:rsid w:val="3E787ED9"/>
    <w:rsid w:val="3F032E93"/>
    <w:rsid w:val="3F0527E5"/>
    <w:rsid w:val="3F694D83"/>
    <w:rsid w:val="3F8422A8"/>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7D863FD"/>
    <w:rsid w:val="48225EF7"/>
    <w:rsid w:val="488F422B"/>
    <w:rsid w:val="48E36915"/>
    <w:rsid w:val="48EB6572"/>
    <w:rsid w:val="495C4A24"/>
    <w:rsid w:val="497135DF"/>
    <w:rsid w:val="49BC7725"/>
    <w:rsid w:val="49CC2181"/>
    <w:rsid w:val="4A263DF2"/>
    <w:rsid w:val="4A6F6675"/>
    <w:rsid w:val="4B135857"/>
    <w:rsid w:val="4B2974A1"/>
    <w:rsid w:val="4B7951CB"/>
    <w:rsid w:val="4B7C315C"/>
    <w:rsid w:val="4CFF4881"/>
    <w:rsid w:val="4D7D0243"/>
    <w:rsid w:val="4DAC4ACA"/>
    <w:rsid w:val="4DBE01D2"/>
    <w:rsid w:val="4E7D5950"/>
    <w:rsid w:val="4F0C6BA3"/>
    <w:rsid w:val="4F186D58"/>
    <w:rsid w:val="4F9E793A"/>
    <w:rsid w:val="50F06B6E"/>
    <w:rsid w:val="51C13F45"/>
    <w:rsid w:val="51D21804"/>
    <w:rsid w:val="52234D33"/>
    <w:rsid w:val="522F6E0C"/>
    <w:rsid w:val="52463BA1"/>
    <w:rsid w:val="52AC7508"/>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0D2D49"/>
    <w:rsid w:val="5A3B59D6"/>
    <w:rsid w:val="5AD134D8"/>
    <w:rsid w:val="5BA96C1D"/>
    <w:rsid w:val="5C251D16"/>
    <w:rsid w:val="5C263CE4"/>
    <w:rsid w:val="5C5D2777"/>
    <w:rsid w:val="5C9F2122"/>
    <w:rsid w:val="5CF66BF3"/>
    <w:rsid w:val="5D290C69"/>
    <w:rsid w:val="5D2D50B1"/>
    <w:rsid w:val="5F2D4A41"/>
    <w:rsid w:val="60C74F6C"/>
    <w:rsid w:val="61025A59"/>
    <w:rsid w:val="613D5BBC"/>
    <w:rsid w:val="61536C39"/>
    <w:rsid w:val="61856397"/>
    <w:rsid w:val="62692A14"/>
    <w:rsid w:val="62944DD7"/>
    <w:rsid w:val="6319381F"/>
    <w:rsid w:val="63C25DC5"/>
    <w:rsid w:val="63C62057"/>
    <w:rsid w:val="64571EF5"/>
    <w:rsid w:val="64FB113D"/>
    <w:rsid w:val="656152C6"/>
    <w:rsid w:val="6587477F"/>
    <w:rsid w:val="658C3A08"/>
    <w:rsid w:val="65C031CA"/>
    <w:rsid w:val="65CE6852"/>
    <w:rsid w:val="66267C04"/>
    <w:rsid w:val="663F505A"/>
    <w:rsid w:val="66664D44"/>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70B26"/>
    <w:rsid w:val="70D94BD3"/>
    <w:rsid w:val="71C34D91"/>
    <w:rsid w:val="72DB435C"/>
    <w:rsid w:val="72E2613A"/>
    <w:rsid w:val="72F771F4"/>
    <w:rsid w:val="73934AD2"/>
    <w:rsid w:val="750837F0"/>
    <w:rsid w:val="754758CF"/>
    <w:rsid w:val="764F62AB"/>
    <w:rsid w:val="765C45EC"/>
    <w:rsid w:val="768A7619"/>
    <w:rsid w:val="772E1EBA"/>
    <w:rsid w:val="781926BC"/>
    <w:rsid w:val="78C013EC"/>
    <w:rsid w:val="796D60A4"/>
    <w:rsid w:val="79A031D5"/>
    <w:rsid w:val="7A1525F7"/>
    <w:rsid w:val="7B420052"/>
    <w:rsid w:val="7BD06A28"/>
    <w:rsid w:val="7C3A7C0B"/>
    <w:rsid w:val="7C5248E4"/>
    <w:rsid w:val="7C566698"/>
    <w:rsid w:val="7C5866A3"/>
    <w:rsid w:val="7D7406BB"/>
    <w:rsid w:val="7DE94331"/>
    <w:rsid w:val="7E4C3BE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eastAsia="仿宋"/>
      <w:sz w:val="24"/>
      <w:szCs w:val="24"/>
    </w:rPr>
  </w:style>
  <w:style w:type="paragraph" w:styleId="3">
    <w:name w:val="Body Text"/>
    <w:basedOn w:val="1"/>
    <w:next w:val="4"/>
    <w:qFormat/>
    <w:uiPriority w:val="0"/>
    <w:rPr>
      <w:sz w:val="28"/>
      <w:szCs w:val="28"/>
    </w:rPr>
  </w:style>
  <w:style w:type="paragraph" w:customStyle="1" w:styleId="4">
    <w:name w:val="目录 53"/>
    <w:basedOn w:val="1"/>
    <w:next w:val="1"/>
    <w:qFormat/>
    <w:uiPriority w:val="0"/>
    <w:pPr>
      <w:wordWrap w:val="0"/>
      <w:ind w:left="1275"/>
      <w:jc w:val="both"/>
    </w:pPr>
    <w:rPr>
      <w:rFonts w:hint="default" w:ascii="Times New Roman" w:hAnsi="Times New Roman"/>
      <w:sz w:val="21"/>
      <w:szCs w:val="21"/>
    </w:rPr>
  </w:style>
  <w:style w:type="paragraph" w:styleId="5">
    <w:name w:val="footer"/>
    <w:basedOn w:val="1"/>
    <w:link w:val="19"/>
    <w:qFormat/>
    <w:uiPriority w:val="99"/>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27"/>
    <w:basedOn w:val="11"/>
    <w:qFormat/>
    <w:uiPriority w:val="0"/>
    <w:rPr>
      <w:rFonts w:hint="default" w:ascii="Times New Roman" w:hAnsi="Times New Roman" w:cs="Times New Roman"/>
      <w:b/>
    </w:rPr>
  </w:style>
  <w:style w:type="paragraph" w:customStyle="1" w:styleId="18">
    <w:name w:val="普通(网站) Char Char"/>
    <w:basedOn w:val="1"/>
    <w:qFormat/>
    <w:uiPriority w:val="0"/>
    <w:pPr>
      <w:spacing w:beforeAutospacing="1" w:afterAutospacing="1"/>
    </w:pPr>
  </w:style>
  <w:style w:type="character" w:customStyle="1" w:styleId="19">
    <w:name w:val="页脚 字符"/>
    <w:basedOn w:val="11"/>
    <w:link w:val="5"/>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8350</Words>
  <Characters>9922</Characters>
  <Lines>90</Lines>
  <Paragraphs>25</Paragraphs>
  <TotalTime>3</TotalTime>
  <ScaleCrop>false</ScaleCrop>
  <LinksUpToDate>false</LinksUpToDate>
  <CharactersWithSpaces>10968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2025-12-17T08:12:48Z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ies>
</file>