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8DB" w:rsidRDefault="00C108DB" w:rsidP="00C108DB">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垫江县重点项目服务中心</w:t>
      </w:r>
    </w:p>
    <w:p w:rsidR="00206CBD" w:rsidRDefault="00C108DB" w:rsidP="00C108DB">
      <w:pPr>
        <w:pStyle w:val="a8"/>
        <w:spacing w:before="0" w:beforeAutospacing="0"/>
        <w:jc w:val="center"/>
        <w:rPr>
          <w:rFonts w:ascii="方正小标宋_GBK" w:eastAsia="方正小标宋_GBK" w:hAnsi="方正小标宋_GBK" w:cs="方正小标宋_GBK" w:hint="default"/>
          <w:color w:val="000000" w:themeColor="text1"/>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206CBD" w:rsidRDefault="00C108DB">
      <w:pPr>
        <w:pStyle w:val="a8"/>
        <w:shd w:val="clear" w:color="auto" w:fill="FFFFFF"/>
        <w:ind w:firstLineChars="200" w:firstLine="643"/>
        <w:rPr>
          <w:rFonts w:ascii="黑体" w:eastAsia="黑体" w:hAnsi="黑体" w:cs="黑体" w:hint="default"/>
          <w:color w:val="000000" w:themeColor="text1"/>
          <w:sz w:val="32"/>
          <w:szCs w:val="32"/>
        </w:rPr>
      </w:pPr>
      <w:r>
        <w:rPr>
          <w:rStyle w:val="aa"/>
          <w:rFonts w:ascii="黑体" w:eastAsia="黑体" w:hAnsi="黑体" w:cs="黑体"/>
          <w:color w:val="000000" w:themeColor="text1"/>
          <w:sz w:val="32"/>
          <w:szCs w:val="32"/>
          <w:shd w:val="clear" w:color="auto" w:fill="FFFFFF"/>
        </w:rPr>
        <w:t>一、单位基本情况</w:t>
      </w:r>
    </w:p>
    <w:p w:rsidR="00206CBD" w:rsidRDefault="00C108DB">
      <w:pPr>
        <w:pStyle w:val="a8"/>
        <w:shd w:val="clear" w:color="auto" w:fill="FFFFFF"/>
        <w:ind w:firstLine="420"/>
        <w:rPr>
          <w:rFonts w:ascii="方正仿宋_GBK" w:eastAsia="方正仿宋_GBK" w:hAnsi="方正仿宋_GBK" w:cs="方正仿宋_GBK" w:hint="default"/>
          <w:color w:val="000000" w:themeColor="text1"/>
          <w:sz w:val="32"/>
          <w:szCs w:val="32"/>
        </w:rPr>
      </w:pPr>
      <w:r>
        <w:rPr>
          <w:rStyle w:val="aa"/>
          <w:rFonts w:ascii="楷体" w:eastAsia="楷体" w:hAnsi="楷体" w:cs="楷体"/>
          <w:color w:val="000000" w:themeColor="text1"/>
          <w:sz w:val="32"/>
          <w:szCs w:val="32"/>
          <w:shd w:val="clear" w:color="auto" w:fill="FFFFFF"/>
        </w:rPr>
        <w:t>（一）职能职责</w:t>
      </w:r>
    </w:p>
    <w:p w:rsidR="00206CBD" w:rsidRDefault="00C108DB">
      <w:pPr>
        <w:pStyle w:val="a3"/>
        <w:autoSpaceDE w:val="0"/>
        <w:adjustRightInd w:val="0"/>
        <w:snapToGrid w:val="0"/>
        <w:spacing w:line="594" w:lineRule="exact"/>
        <w:ind w:rightChars="11" w:right="26" w:firstLineChars="200" w:firstLine="640"/>
        <w:rPr>
          <w:rFonts w:ascii="Times New Roman" w:eastAsia="方正仿宋_GBK" w:hAnsi="Times New Roman" w:hint="default"/>
          <w:color w:val="000000" w:themeColor="text1"/>
          <w:sz w:val="32"/>
          <w:szCs w:val="32"/>
        </w:rPr>
      </w:pPr>
      <w:r>
        <w:rPr>
          <w:rFonts w:ascii="方正仿宋_GBK" w:eastAsia="方正仿宋_GBK" w:hAnsi="方正仿宋_GBK" w:cs="方正仿宋_GBK"/>
          <w:color w:val="000000" w:themeColor="text1"/>
          <w:sz w:val="32"/>
          <w:szCs w:val="32"/>
        </w:rPr>
        <w:t>根据垫江发展的方向和需要，提前谋划全县重点项目工作，按照基本建设流程，做实项目前期工作；承接和争取项目资金，统筹和整合资金形成全县项目加快推进的资金池；建立健全全县项目工作推进的流程链，规范有序加快推进项目工作。具体职责任务：（</w:t>
      </w:r>
      <w:r>
        <w:rPr>
          <w:rFonts w:ascii="Times New Roman" w:eastAsia="方正仿宋_GBK" w:hAnsi="Times New Roman" w:hint="default"/>
          <w:color w:val="000000" w:themeColor="text1"/>
          <w:sz w:val="32"/>
          <w:szCs w:val="32"/>
        </w:rPr>
        <w:t>1</w:t>
      </w:r>
      <w:r>
        <w:rPr>
          <w:rFonts w:ascii="方正仿宋_GBK" w:eastAsia="方正仿宋_GBK" w:hAnsi="方正仿宋_GBK" w:cs="方正仿宋_GBK"/>
          <w:color w:val="000000" w:themeColor="text1"/>
          <w:sz w:val="32"/>
          <w:szCs w:val="32"/>
        </w:rPr>
        <w:t>）负责全县重大项目规划、政府投资项目规划、年度计划和产业类发展项目规划的服务工作；（</w:t>
      </w:r>
      <w:r>
        <w:rPr>
          <w:rFonts w:ascii="Times New Roman" w:eastAsia="方正仿宋_GBK" w:hAnsi="Times New Roman" w:hint="default"/>
          <w:color w:val="000000" w:themeColor="text1"/>
          <w:sz w:val="32"/>
          <w:szCs w:val="32"/>
        </w:rPr>
        <w:t>2</w:t>
      </w:r>
      <w:r>
        <w:rPr>
          <w:rFonts w:ascii="方正仿宋_GBK" w:eastAsia="方正仿宋_GBK" w:hAnsi="方正仿宋_GBK" w:cs="方正仿宋_GBK"/>
          <w:color w:val="000000" w:themeColor="text1"/>
          <w:sz w:val="32"/>
          <w:szCs w:val="32"/>
        </w:rPr>
        <w:t>）负责统筹重点项目资金管理；（</w:t>
      </w:r>
      <w:r>
        <w:rPr>
          <w:rFonts w:ascii="Times New Roman" w:eastAsia="方正仿宋_GBK" w:hAnsi="Times New Roman" w:hint="default"/>
          <w:color w:val="000000" w:themeColor="text1"/>
          <w:sz w:val="32"/>
          <w:szCs w:val="32"/>
        </w:rPr>
        <w:t>3</w:t>
      </w:r>
      <w:r>
        <w:rPr>
          <w:rFonts w:ascii="方正仿宋_GBK" w:eastAsia="方正仿宋_GBK" w:hAnsi="方正仿宋_GBK" w:cs="方正仿宋_GBK"/>
          <w:color w:val="000000" w:themeColor="text1"/>
          <w:sz w:val="32"/>
          <w:szCs w:val="32"/>
        </w:rPr>
        <w:t>）负责统筹开展重点项目前期工作，形成全县成熟的项目库；（</w:t>
      </w:r>
      <w:r>
        <w:rPr>
          <w:rFonts w:ascii="Times New Roman" w:eastAsia="方正仿宋_GBK" w:hAnsi="Times New Roman" w:hint="default"/>
          <w:color w:val="000000" w:themeColor="text1"/>
          <w:sz w:val="32"/>
          <w:szCs w:val="32"/>
        </w:rPr>
        <w:t>4</w:t>
      </w:r>
      <w:r>
        <w:rPr>
          <w:rFonts w:ascii="方正仿宋_GBK" w:eastAsia="方正仿宋_GBK" w:hAnsi="方正仿宋_GBK" w:cs="方正仿宋_GBK"/>
          <w:color w:val="000000" w:themeColor="text1"/>
          <w:sz w:val="32"/>
          <w:szCs w:val="32"/>
        </w:rPr>
        <w:t>）负责重点项目后期的跟踪和服务工作；（</w:t>
      </w:r>
      <w:r>
        <w:rPr>
          <w:rFonts w:ascii="Times New Roman" w:eastAsia="方正仿宋_GBK" w:hAnsi="Times New Roman" w:hint="default"/>
          <w:color w:val="000000" w:themeColor="text1"/>
          <w:sz w:val="32"/>
          <w:szCs w:val="32"/>
        </w:rPr>
        <w:t>5</w:t>
      </w:r>
      <w:r>
        <w:rPr>
          <w:rFonts w:ascii="方正仿宋_GBK" w:eastAsia="方正仿宋_GBK" w:hAnsi="方正仿宋_GBK" w:cs="方正仿宋_GBK"/>
          <w:color w:val="000000" w:themeColor="text1"/>
          <w:sz w:val="32"/>
          <w:szCs w:val="32"/>
        </w:rPr>
        <w:t>）负责建设项目管理服务平台，推动项目建设；（</w:t>
      </w:r>
      <w:r>
        <w:rPr>
          <w:rFonts w:ascii="Times New Roman" w:eastAsia="方正仿宋_GBK" w:hAnsi="Times New Roman" w:hint="default"/>
          <w:color w:val="000000" w:themeColor="text1"/>
          <w:sz w:val="32"/>
          <w:szCs w:val="32"/>
        </w:rPr>
        <w:t>6</w:t>
      </w:r>
      <w:r>
        <w:rPr>
          <w:rFonts w:ascii="方正仿宋_GBK" w:eastAsia="方正仿宋_GBK" w:hAnsi="方正仿宋_GBK" w:cs="方正仿宋_GBK"/>
          <w:color w:val="000000" w:themeColor="text1"/>
          <w:sz w:val="32"/>
          <w:szCs w:val="32"/>
        </w:rPr>
        <w:t>）负责重点项目建设评价。</w:t>
      </w:r>
    </w:p>
    <w:p w:rsidR="00206CBD" w:rsidRDefault="00C108DB">
      <w:pPr>
        <w:pStyle w:val="a8"/>
        <w:shd w:val="clear" w:color="auto" w:fill="FFFFFF"/>
        <w:ind w:firstLine="420"/>
        <w:rPr>
          <w:rFonts w:ascii="楷体" w:eastAsia="楷体" w:hAnsi="楷体" w:cs="楷体" w:hint="default"/>
          <w:color w:val="000000" w:themeColor="text1"/>
          <w:sz w:val="32"/>
          <w:szCs w:val="32"/>
        </w:rPr>
      </w:pPr>
      <w:r>
        <w:rPr>
          <w:rStyle w:val="aa"/>
          <w:rFonts w:ascii="楷体" w:eastAsia="楷体" w:hAnsi="楷体" w:cs="楷体"/>
          <w:color w:val="000000" w:themeColor="text1"/>
          <w:sz w:val="32"/>
          <w:szCs w:val="32"/>
          <w:shd w:val="clear" w:color="auto" w:fill="FFFFFF"/>
        </w:rPr>
        <w:t>（二）机构设置</w:t>
      </w:r>
    </w:p>
    <w:p w:rsidR="00206CBD" w:rsidRDefault="00C108DB">
      <w:pPr>
        <w:pStyle w:val="Char"/>
        <w:autoSpaceDE w:val="0"/>
        <w:spacing w:before="0" w:beforeAutospacing="0" w:after="0" w:afterAutospacing="0" w:line="594" w:lineRule="exact"/>
        <w:ind w:firstLineChars="200" w:firstLine="640"/>
        <w:rPr>
          <w:rFonts w:ascii="Times New Roman" w:eastAsia="方正仿宋_GBK" w:hAnsi="Times New Roman"/>
          <w:color w:val="000000" w:themeColor="text1"/>
          <w:sz w:val="32"/>
          <w:szCs w:val="32"/>
        </w:rPr>
      </w:pPr>
      <w:r>
        <w:rPr>
          <w:rFonts w:ascii="方正仿宋_GBK" w:eastAsia="方正仿宋_GBK" w:hAnsi="方正仿宋_GBK" w:cs="方正仿宋_GBK"/>
          <w:color w:val="000000" w:themeColor="text1"/>
          <w:sz w:val="32"/>
          <w:szCs w:val="32"/>
        </w:rPr>
        <w:t>本单位属副科级单位，设主任</w:t>
      </w:r>
      <w:r>
        <w:rPr>
          <w:rFonts w:ascii="Times New Roman" w:eastAsia="方正仿宋_GBK" w:hAnsi="Times New Roman"/>
          <w:color w:val="000000" w:themeColor="text1"/>
          <w:sz w:val="32"/>
          <w:szCs w:val="32"/>
        </w:rPr>
        <w:t>1</w:t>
      </w:r>
      <w:r>
        <w:rPr>
          <w:rFonts w:ascii="方正仿宋_GBK" w:eastAsia="方正仿宋_GBK" w:hAnsi="方正仿宋_GBK" w:cs="方正仿宋_GBK"/>
          <w:color w:val="000000" w:themeColor="text1"/>
          <w:sz w:val="32"/>
          <w:szCs w:val="32"/>
        </w:rPr>
        <w:t>名，副主任</w:t>
      </w:r>
      <w:r>
        <w:rPr>
          <w:rFonts w:ascii="Times New Roman" w:eastAsia="方正仿宋_GBK" w:hAnsi="Times New Roman"/>
          <w:color w:val="000000" w:themeColor="text1"/>
          <w:sz w:val="32"/>
          <w:szCs w:val="32"/>
        </w:rPr>
        <w:t>2</w:t>
      </w:r>
      <w:r>
        <w:rPr>
          <w:rFonts w:ascii="方正仿宋_GBK" w:eastAsia="方正仿宋_GBK" w:hAnsi="方正仿宋_GBK" w:cs="方正仿宋_GBK"/>
          <w:color w:val="000000" w:themeColor="text1"/>
          <w:sz w:val="32"/>
          <w:szCs w:val="32"/>
        </w:rPr>
        <w:t>名</w:t>
      </w:r>
      <w:r>
        <w:rPr>
          <w:rFonts w:ascii="Times New Roman" w:eastAsia="方正仿宋_GBK" w:hAnsi="Times New Roman"/>
          <w:color w:val="000000" w:themeColor="text1"/>
          <w:sz w:val="32"/>
          <w:szCs w:val="32"/>
        </w:rPr>
        <w:t>,</w:t>
      </w:r>
      <w:r>
        <w:rPr>
          <w:rFonts w:ascii="方正仿宋_GBK" w:eastAsia="方正仿宋_GBK" w:hAnsi="方正仿宋_GBK" w:cs="方正仿宋_GBK"/>
          <w:color w:val="000000" w:themeColor="text1"/>
          <w:sz w:val="32"/>
          <w:szCs w:val="32"/>
        </w:rPr>
        <w:t>内设建设服务科及规划服务科</w:t>
      </w:r>
      <w:r>
        <w:rPr>
          <w:rFonts w:ascii="Times New Roman" w:eastAsia="方正仿宋_GBK" w:hAnsi="Times New Roman"/>
          <w:color w:val="000000" w:themeColor="text1"/>
          <w:sz w:val="32"/>
          <w:szCs w:val="32"/>
        </w:rPr>
        <w:t>2</w:t>
      </w:r>
      <w:r>
        <w:rPr>
          <w:rFonts w:ascii="方正仿宋_GBK" w:eastAsia="方正仿宋_GBK" w:hAnsi="方正仿宋_GBK" w:cs="方正仿宋_GBK"/>
          <w:color w:val="000000" w:themeColor="text1"/>
          <w:sz w:val="32"/>
          <w:szCs w:val="32"/>
        </w:rPr>
        <w:t>科室。</w:t>
      </w:r>
    </w:p>
    <w:p w:rsidR="00206CBD" w:rsidRDefault="00C108DB">
      <w:pPr>
        <w:pStyle w:val="a8"/>
        <w:shd w:val="clear" w:color="auto" w:fill="FFFFFF"/>
        <w:ind w:firstLineChars="200" w:firstLine="643"/>
        <w:rPr>
          <w:rFonts w:ascii="方正仿宋_GBK" w:eastAsia="方正仿宋_GBK" w:hAnsi="方正仿宋_GBK" w:cs="方正仿宋_GBK" w:hint="default"/>
          <w:color w:val="000000" w:themeColor="text1"/>
          <w:sz w:val="32"/>
          <w:szCs w:val="32"/>
        </w:rPr>
      </w:pPr>
      <w:r>
        <w:rPr>
          <w:rStyle w:val="aa"/>
          <w:rFonts w:ascii="黑体" w:eastAsia="黑体" w:hAnsi="黑体" w:cs="黑体"/>
          <w:sz w:val="32"/>
          <w:szCs w:val="32"/>
          <w:shd w:val="clear" w:color="auto" w:fill="FFFFFF"/>
        </w:rPr>
        <w:t>二、单位决算收支情况说明</w:t>
      </w:r>
    </w:p>
    <w:p w:rsidR="00206CBD" w:rsidRDefault="00C108DB">
      <w:pPr>
        <w:pStyle w:val="1"/>
        <w:autoSpaceDE w:val="0"/>
        <w:ind w:firstLine="643"/>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（一）收入支出决算总体情况说明。</w:t>
      </w:r>
    </w:p>
    <w:p w:rsidR="00206CBD" w:rsidRDefault="00C108DB">
      <w:pPr>
        <w:pStyle w:val="a8"/>
        <w:shd w:val="clear" w:color="auto" w:fill="FFFFFF"/>
        <w:ind w:firstLineChars="200" w:firstLine="643"/>
        <w:rPr>
          <w:rFonts w:ascii="方正仿宋_GBK" w:eastAsia="方正仿宋_GBK" w:hAnsi="方正仿宋_GBK" w:cs="方正仿宋_GBK" w:hint="default"/>
          <w:color w:val="000000" w:themeColor="text1"/>
          <w:sz w:val="32"/>
          <w:szCs w:val="32"/>
        </w:rPr>
      </w:pPr>
      <w:r>
        <w:rPr>
          <w:rStyle w:val="aa"/>
          <w:rFonts w:ascii="方正仿宋_GBK" w:eastAsia="方正仿宋_GBK" w:hAnsi="方正仿宋_GBK" w:cs="方正仿宋_GBK"/>
          <w:color w:val="000000" w:themeColor="text1"/>
          <w:sz w:val="32"/>
          <w:szCs w:val="32"/>
          <w:shd w:val="clear" w:color="auto" w:fill="FFFFFF"/>
        </w:rPr>
        <w:lastRenderedPageBreak/>
        <w:t>1.总体情况。</w:t>
      </w:r>
      <w:r>
        <w:rPr>
          <w:rFonts w:ascii="方正仿宋_GBK" w:eastAsia="方正仿宋_GBK" w:hAnsi="方正仿宋_GBK" w:cs="方正仿宋_GBK"/>
          <w:color w:val="000000" w:themeColor="text1"/>
          <w:sz w:val="32"/>
          <w:szCs w:val="32"/>
          <w:shd w:val="clear" w:color="auto" w:fill="FFFFFF"/>
        </w:rPr>
        <w:t>2024年度收入总计192.51万元，支出总计</w:t>
      </w:r>
      <w:r>
        <w:rPr>
          <w:rFonts w:ascii="方正仿宋_GBK" w:eastAsia="方正仿宋_GBK" w:hAnsi="方正仿宋_GBK" w:cs="方正仿宋_GBK"/>
          <w:color w:val="000000" w:themeColor="text1"/>
          <w:sz w:val="32"/>
          <w:szCs w:val="32"/>
        </w:rPr>
        <w:t>192.51</w:t>
      </w:r>
      <w:r>
        <w:rPr>
          <w:rFonts w:ascii="方正仿宋_GBK" w:eastAsia="方正仿宋_GBK" w:hAnsi="方正仿宋_GBK" w:cs="方正仿宋_GBK"/>
          <w:color w:val="000000" w:themeColor="text1"/>
          <w:sz w:val="32"/>
          <w:szCs w:val="32"/>
          <w:shd w:val="clear" w:color="auto" w:fill="FFFFFF"/>
        </w:rPr>
        <w:t>万元。收、支与2023年度相比，减少17.99万元，下降8.55%，主要原因是本年度调出1人。</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shd w:val="clear" w:color="auto" w:fill="FFFFFF"/>
        </w:rPr>
      </w:pPr>
      <w:r>
        <w:rPr>
          <w:rStyle w:val="aa"/>
          <w:rFonts w:ascii="方正仿宋_GBK" w:eastAsia="方正仿宋_GBK" w:hAnsi="方正仿宋_GBK" w:cs="方正仿宋_GBK"/>
          <w:color w:val="000000" w:themeColor="text1"/>
          <w:sz w:val="32"/>
          <w:szCs w:val="32"/>
          <w:shd w:val="clear" w:color="auto" w:fill="FFFFFF"/>
        </w:rPr>
        <w:t>2.收入情况。</w:t>
      </w:r>
      <w:r>
        <w:rPr>
          <w:rFonts w:ascii="方正仿宋_GBK" w:eastAsia="方正仿宋_GBK" w:hAnsi="方正仿宋_GBK" w:cs="方正仿宋_GBK"/>
          <w:color w:val="000000" w:themeColor="text1"/>
          <w:sz w:val="32"/>
          <w:szCs w:val="32"/>
          <w:shd w:val="clear" w:color="auto" w:fill="FFFFFF"/>
        </w:rPr>
        <w:t>2024年度收入合计187.72万元，与2023年度相比，减少17.94万元，下降8.72%，主要原因是本年度调出1人。其中：财政拨款收入</w:t>
      </w:r>
      <w:r>
        <w:rPr>
          <w:rFonts w:ascii="方正仿宋_GBK" w:eastAsia="方正仿宋_GBK" w:hAnsi="方正仿宋_GBK" w:cs="方正仿宋_GBK"/>
          <w:color w:val="000000" w:themeColor="text1"/>
          <w:sz w:val="32"/>
          <w:szCs w:val="32"/>
        </w:rPr>
        <w:t>187.72</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rPr>
        <w:t>100.00</w:t>
      </w:r>
      <w:r>
        <w:rPr>
          <w:rFonts w:ascii="方正仿宋_GBK" w:eastAsia="方正仿宋_GBK" w:hAnsi="方正仿宋_GBK" w:cs="方正仿宋_GBK"/>
          <w:color w:val="000000" w:themeColor="text1"/>
          <w:sz w:val="32"/>
          <w:szCs w:val="32"/>
          <w:shd w:val="clear" w:color="auto" w:fill="FFFFFF"/>
        </w:rPr>
        <w:t>%；事业收入</w:t>
      </w:r>
      <w:r>
        <w:rPr>
          <w:rFonts w:ascii="方正仿宋_GBK" w:eastAsia="方正仿宋_GBK" w:hAnsi="方正仿宋_GBK" w:cs="方正仿宋_GBK"/>
          <w:color w:val="000000" w:themeColor="text1"/>
          <w:sz w:val="32"/>
          <w:szCs w:val="32"/>
        </w:rPr>
        <w:t>0.00</w:t>
      </w:r>
      <w:r>
        <w:rPr>
          <w:rFonts w:ascii="方正仿宋_GBK" w:eastAsia="方正仿宋_GBK" w:hAnsi="方正仿宋_GBK" w:cs="方正仿宋_GBK"/>
          <w:color w:val="000000" w:themeColor="text1"/>
          <w:sz w:val="32"/>
          <w:szCs w:val="32"/>
          <w:shd w:val="clear" w:color="auto" w:fill="FFFFFF"/>
        </w:rPr>
        <w:t>万元，占0.00%；经营收入</w:t>
      </w:r>
      <w:r>
        <w:rPr>
          <w:rFonts w:ascii="方正仿宋_GBK" w:eastAsia="方正仿宋_GBK" w:hAnsi="方正仿宋_GBK" w:cs="方正仿宋_GBK"/>
          <w:color w:val="000000" w:themeColor="text1"/>
          <w:sz w:val="32"/>
          <w:szCs w:val="32"/>
        </w:rPr>
        <w:t>0.00</w:t>
      </w:r>
      <w:r>
        <w:rPr>
          <w:rFonts w:ascii="方正仿宋_GBK" w:eastAsia="方正仿宋_GBK" w:hAnsi="方正仿宋_GBK" w:cs="方正仿宋_GBK"/>
          <w:color w:val="000000" w:themeColor="text1"/>
          <w:sz w:val="32"/>
          <w:szCs w:val="32"/>
          <w:shd w:val="clear" w:color="auto" w:fill="FFFFFF"/>
        </w:rPr>
        <w:t>万元，占0.00%；其他收入</w:t>
      </w:r>
      <w:r>
        <w:rPr>
          <w:rFonts w:ascii="方正仿宋_GBK" w:eastAsia="方正仿宋_GBK" w:hAnsi="方正仿宋_GBK" w:cs="方正仿宋_GBK"/>
          <w:color w:val="000000" w:themeColor="text1"/>
          <w:sz w:val="32"/>
          <w:szCs w:val="32"/>
        </w:rPr>
        <w:t>0.00</w:t>
      </w:r>
      <w:r>
        <w:rPr>
          <w:rFonts w:ascii="方正仿宋_GBK" w:eastAsia="方正仿宋_GBK" w:hAnsi="方正仿宋_GBK" w:cs="方正仿宋_GBK"/>
          <w:color w:val="000000" w:themeColor="text1"/>
          <w:sz w:val="32"/>
          <w:szCs w:val="32"/>
          <w:shd w:val="clear" w:color="auto" w:fill="FFFFFF"/>
        </w:rPr>
        <w:t>万元，占0.00%。此外，使用非财政拨款结余和专用结余</w:t>
      </w:r>
      <w:r>
        <w:rPr>
          <w:rFonts w:ascii="方正仿宋_GBK" w:eastAsia="方正仿宋_GBK" w:hAnsi="方正仿宋_GBK" w:cs="方正仿宋_GBK"/>
          <w:color w:val="000000" w:themeColor="text1"/>
          <w:sz w:val="32"/>
          <w:szCs w:val="32"/>
        </w:rPr>
        <w:t>0.00</w:t>
      </w:r>
      <w:r>
        <w:rPr>
          <w:rFonts w:ascii="方正仿宋_GBK" w:eastAsia="方正仿宋_GBK" w:hAnsi="方正仿宋_GBK" w:cs="方正仿宋_GBK"/>
          <w:color w:val="000000" w:themeColor="text1"/>
          <w:sz w:val="32"/>
          <w:szCs w:val="32"/>
          <w:shd w:val="clear" w:color="auto" w:fill="FFFFFF"/>
        </w:rPr>
        <w:t>万元，年初结转和结余</w:t>
      </w:r>
      <w:r>
        <w:rPr>
          <w:rFonts w:ascii="方正仿宋_GBK" w:eastAsia="方正仿宋_GBK" w:hAnsi="方正仿宋_GBK" w:cs="方正仿宋_GBK"/>
          <w:color w:val="000000" w:themeColor="text1"/>
          <w:sz w:val="32"/>
          <w:szCs w:val="32"/>
        </w:rPr>
        <w:t>4.79</w:t>
      </w:r>
      <w:r>
        <w:rPr>
          <w:rFonts w:ascii="方正仿宋_GBK" w:eastAsia="方正仿宋_GBK" w:hAnsi="方正仿宋_GBK" w:cs="方正仿宋_GBK"/>
          <w:color w:val="000000" w:themeColor="text1"/>
          <w:sz w:val="32"/>
          <w:szCs w:val="32"/>
          <w:shd w:val="clear" w:color="auto" w:fill="FFFFFF"/>
        </w:rPr>
        <w:t>万元。</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shd w:val="clear" w:color="auto" w:fill="FFFFFF"/>
        </w:rPr>
      </w:pPr>
      <w:r>
        <w:rPr>
          <w:rStyle w:val="aa"/>
          <w:rFonts w:ascii="方正仿宋_GBK" w:eastAsia="方正仿宋_GBK" w:hAnsi="方正仿宋_GBK" w:cs="方正仿宋_GBK"/>
          <w:color w:val="000000" w:themeColor="text1"/>
          <w:sz w:val="32"/>
          <w:szCs w:val="32"/>
          <w:shd w:val="clear" w:color="auto" w:fill="FFFFFF"/>
        </w:rPr>
        <w:t>3.支出情况。</w:t>
      </w:r>
      <w:r>
        <w:rPr>
          <w:rFonts w:ascii="方正仿宋_GBK" w:eastAsia="方正仿宋_GBK" w:hAnsi="方正仿宋_GBK" w:cs="方正仿宋_GBK"/>
          <w:color w:val="000000" w:themeColor="text1"/>
          <w:sz w:val="32"/>
          <w:szCs w:val="32"/>
          <w:shd w:val="clear" w:color="auto" w:fill="FFFFFF"/>
        </w:rPr>
        <w:t>2024年度支出合计</w:t>
      </w:r>
      <w:r>
        <w:rPr>
          <w:rFonts w:ascii="方正仿宋_GBK" w:eastAsia="方正仿宋_GBK" w:hAnsi="方正仿宋_GBK" w:cs="方正仿宋_GBK"/>
          <w:color w:val="000000" w:themeColor="text1"/>
          <w:sz w:val="32"/>
          <w:szCs w:val="32"/>
        </w:rPr>
        <w:t>188.58</w:t>
      </w:r>
      <w:r>
        <w:rPr>
          <w:rFonts w:ascii="方正仿宋_GBK" w:eastAsia="方正仿宋_GBK" w:hAnsi="方正仿宋_GBK" w:cs="方正仿宋_GBK"/>
          <w:color w:val="000000" w:themeColor="text1"/>
          <w:sz w:val="32"/>
          <w:szCs w:val="32"/>
          <w:shd w:val="clear" w:color="auto" w:fill="FFFFFF"/>
        </w:rPr>
        <w:t>万元，与2023年度相比，减少17.08万元，下降8.30%，主要原因是本年度调出1人。其中：基本支出</w:t>
      </w:r>
      <w:r>
        <w:rPr>
          <w:rFonts w:ascii="方正仿宋_GBK" w:eastAsia="方正仿宋_GBK" w:hAnsi="方正仿宋_GBK" w:cs="方正仿宋_GBK"/>
          <w:color w:val="000000" w:themeColor="text1"/>
          <w:sz w:val="32"/>
          <w:szCs w:val="32"/>
        </w:rPr>
        <w:t>188.58</w:t>
      </w:r>
      <w:r>
        <w:rPr>
          <w:rFonts w:ascii="方正仿宋_GBK" w:eastAsia="方正仿宋_GBK" w:hAnsi="方正仿宋_GBK" w:cs="方正仿宋_GBK"/>
          <w:color w:val="000000" w:themeColor="text1"/>
          <w:sz w:val="32"/>
          <w:szCs w:val="32"/>
          <w:shd w:val="clear" w:color="auto" w:fill="FFFFFF"/>
        </w:rPr>
        <w:t>万元，占100.00%；项目支出</w:t>
      </w:r>
      <w:r>
        <w:rPr>
          <w:rFonts w:ascii="方正仿宋_GBK" w:eastAsia="方正仿宋_GBK" w:hAnsi="方正仿宋_GBK" w:cs="方正仿宋_GBK"/>
          <w:color w:val="000000" w:themeColor="text1"/>
          <w:sz w:val="32"/>
          <w:szCs w:val="32"/>
        </w:rPr>
        <w:t>0.00</w:t>
      </w:r>
      <w:r>
        <w:rPr>
          <w:rFonts w:ascii="方正仿宋_GBK" w:eastAsia="方正仿宋_GBK" w:hAnsi="方正仿宋_GBK" w:cs="方正仿宋_GBK"/>
          <w:color w:val="000000" w:themeColor="text1"/>
          <w:sz w:val="32"/>
          <w:szCs w:val="32"/>
          <w:shd w:val="clear" w:color="auto" w:fill="FFFFFF"/>
        </w:rPr>
        <w:t>万元，占0.00%；经营支出</w:t>
      </w:r>
      <w:r>
        <w:rPr>
          <w:rFonts w:ascii="方正仿宋_GBK" w:eastAsia="方正仿宋_GBK" w:hAnsi="方正仿宋_GBK" w:cs="方正仿宋_GBK"/>
          <w:color w:val="000000" w:themeColor="text1"/>
          <w:sz w:val="32"/>
          <w:szCs w:val="32"/>
        </w:rPr>
        <w:t>0.00</w:t>
      </w:r>
      <w:r>
        <w:rPr>
          <w:rFonts w:ascii="方正仿宋_GBK" w:eastAsia="方正仿宋_GBK" w:hAnsi="方正仿宋_GBK" w:cs="方正仿宋_GBK"/>
          <w:color w:val="000000" w:themeColor="text1"/>
          <w:sz w:val="32"/>
          <w:szCs w:val="32"/>
          <w:shd w:val="clear" w:color="auto" w:fill="FFFFFF"/>
        </w:rPr>
        <w:t>万元，占0.00%。此外，结余分配</w:t>
      </w:r>
      <w:r>
        <w:rPr>
          <w:rFonts w:ascii="方正仿宋_GBK" w:eastAsia="方正仿宋_GBK" w:hAnsi="方正仿宋_GBK" w:cs="方正仿宋_GBK"/>
          <w:color w:val="000000" w:themeColor="text1"/>
          <w:sz w:val="32"/>
          <w:szCs w:val="32"/>
        </w:rPr>
        <w:t>0.00</w:t>
      </w:r>
      <w:r>
        <w:rPr>
          <w:rFonts w:ascii="方正仿宋_GBK" w:eastAsia="方正仿宋_GBK" w:hAnsi="方正仿宋_GBK" w:cs="方正仿宋_GBK"/>
          <w:color w:val="000000" w:themeColor="text1"/>
          <w:sz w:val="32"/>
          <w:szCs w:val="32"/>
          <w:shd w:val="clear" w:color="auto" w:fill="FFFFFF"/>
        </w:rPr>
        <w:t>万元。</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a"/>
          <w:rFonts w:ascii="方正仿宋_GBK" w:eastAsia="方正仿宋_GBK" w:hAnsi="方正仿宋_GBK" w:cs="方正仿宋_GBK"/>
          <w:color w:val="000000" w:themeColor="text1"/>
          <w:sz w:val="32"/>
          <w:szCs w:val="32"/>
          <w:shd w:val="clear" w:color="auto" w:fill="FFFFFF"/>
        </w:rPr>
        <w:t>4.结转结余情况。</w:t>
      </w:r>
      <w:r>
        <w:rPr>
          <w:rFonts w:ascii="方正仿宋_GBK" w:eastAsia="方正仿宋_GBK" w:hAnsi="方正仿宋_GBK" w:cs="方正仿宋_GBK"/>
          <w:color w:val="000000" w:themeColor="text1"/>
          <w:sz w:val="32"/>
          <w:szCs w:val="32"/>
          <w:shd w:val="clear" w:color="auto" w:fill="FFFFFF"/>
        </w:rPr>
        <w:t>2024年度年末结转和结余</w:t>
      </w:r>
      <w:r>
        <w:rPr>
          <w:rFonts w:ascii="方正仿宋_GBK" w:eastAsia="方正仿宋_GBK" w:hAnsi="方正仿宋_GBK" w:cs="方正仿宋_GBK"/>
          <w:color w:val="000000" w:themeColor="text1"/>
          <w:sz w:val="32"/>
          <w:szCs w:val="32"/>
        </w:rPr>
        <w:t>3.94</w:t>
      </w:r>
      <w:r>
        <w:rPr>
          <w:rFonts w:ascii="方正仿宋_GBK" w:eastAsia="方正仿宋_GBK" w:hAnsi="方正仿宋_GBK" w:cs="方正仿宋_GBK"/>
          <w:color w:val="000000" w:themeColor="text1"/>
          <w:sz w:val="32"/>
          <w:szCs w:val="32"/>
          <w:shd w:val="clear" w:color="auto" w:fill="FFFFFF"/>
        </w:rPr>
        <w:t>万元，与2023年度相比，减少0.90万元，下降18.60%，主要原因是已支出结转结余0.9万元。</w:t>
      </w:r>
    </w:p>
    <w:p w:rsidR="00206CBD" w:rsidRDefault="00C108DB">
      <w:pPr>
        <w:pStyle w:val="1"/>
        <w:autoSpaceDE w:val="0"/>
        <w:ind w:firstLine="643"/>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（二）财政拨款收入支出决算总体情况说明</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2024年度财政拨款收、支总计192.51万元。与2022年相比，财政拨款收、支总计各减少17.99万元，下降8.55%。主要原因是本年度调出1人。</w:t>
      </w:r>
    </w:p>
    <w:p w:rsidR="00206CBD" w:rsidRDefault="00C108DB">
      <w:pPr>
        <w:pStyle w:val="1"/>
        <w:autoSpaceDE w:val="0"/>
        <w:ind w:firstLine="643"/>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（三）一般公共预算财政拨款收入支出决算情况说明</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a"/>
          <w:rFonts w:ascii="方正仿宋_GBK" w:eastAsia="方正仿宋_GBK" w:hAnsi="方正仿宋_GBK" w:cs="方正仿宋_GBK"/>
          <w:color w:val="000000" w:themeColor="text1"/>
          <w:sz w:val="32"/>
          <w:szCs w:val="32"/>
          <w:shd w:val="clear" w:color="auto" w:fill="FFFFFF"/>
        </w:rPr>
        <w:lastRenderedPageBreak/>
        <w:t>1.收入情况。</w:t>
      </w:r>
      <w:r>
        <w:rPr>
          <w:rFonts w:ascii="方正仿宋_GBK" w:eastAsia="方正仿宋_GBK" w:hAnsi="方正仿宋_GBK" w:cs="方正仿宋_GBK"/>
          <w:color w:val="000000" w:themeColor="text1"/>
          <w:sz w:val="32"/>
          <w:szCs w:val="32"/>
          <w:shd w:val="clear" w:color="auto" w:fill="FFFFFF"/>
        </w:rPr>
        <w:t>2024年度一般公共预算财政拨款收入</w:t>
      </w:r>
      <w:r>
        <w:rPr>
          <w:rFonts w:ascii="方正仿宋_GBK" w:eastAsia="方正仿宋_GBK" w:hAnsi="方正仿宋_GBK" w:cs="方正仿宋_GBK"/>
          <w:color w:val="000000" w:themeColor="text1"/>
          <w:sz w:val="32"/>
          <w:szCs w:val="32"/>
        </w:rPr>
        <w:t>187.72</w:t>
      </w:r>
      <w:r>
        <w:rPr>
          <w:rFonts w:ascii="方正仿宋_GBK" w:eastAsia="方正仿宋_GBK" w:hAnsi="方正仿宋_GBK" w:cs="方正仿宋_GBK"/>
          <w:color w:val="000000" w:themeColor="text1"/>
          <w:sz w:val="32"/>
          <w:szCs w:val="32"/>
          <w:shd w:val="clear" w:color="auto" w:fill="FFFFFF"/>
        </w:rPr>
        <w:t>万元，与2023年度相比，减少17.94万元，下降8.72%。主要原因是本年度调出1人。较年初预算数增加33.04万元，增长21.36%。主要原因是预算调剂追加超额绩效考核部分和补缴2022-2023年养老保险职业年金部分。此外，年初财政拨款结转和结余</w:t>
      </w:r>
      <w:r>
        <w:rPr>
          <w:rFonts w:ascii="方正仿宋_GBK" w:eastAsia="方正仿宋_GBK" w:hAnsi="方正仿宋_GBK" w:cs="方正仿宋_GBK"/>
          <w:color w:val="000000" w:themeColor="text1"/>
          <w:sz w:val="32"/>
          <w:szCs w:val="32"/>
        </w:rPr>
        <w:t>4.79</w:t>
      </w:r>
      <w:r>
        <w:rPr>
          <w:rFonts w:ascii="方正仿宋_GBK" w:eastAsia="方正仿宋_GBK" w:hAnsi="方正仿宋_GBK" w:cs="方正仿宋_GBK"/>
          <w:color w:val="000000" w:themeColor="text1"/>
          <w:sz w:val="32"/>
          <w:szCs w:val="32"/>
          <w:shd w:val="clear" w:color="auto" w:fill="FFFFFF"/>
        </w:rPr>
        <w:t>万元。</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a"/>
          <w:rFonts w:ascii="方正仿宋_GBK" w:eastAsia="方正仿宋_GBK" w:hAnsi="方正仿宋_GBK" w:cs="方正仿宋_GBK"/>
          <w:color w:val="000000" w:themeColor="text1"/>
          <w:sz w:val="32"/>
          <w:szCs w:val="32"/>
          <w:shd w:val="clear" w:color="auto" w:fill="FFFFFF"/>
        </w:rPr>
        <w:t>2.支出情况。</w:t>
      </w:r>
      <w:r>
        <w:rPr>
          <w:rFonts w:ascii="方正仿宋_GBK" w:eastAsia="方正仿宋_GBK" w:hAnsi="方正仿宋_GBK" w:cs="方正仿宋_GBK"/>
          <w:color w:val="000000" w:themeColor="text1"/>
          <w:sz w:val="32"/>
          <w:szCs w:val="32"/>
          <w:shd w:val="clear" w:color="auto" w:fill="FFFFFF"/>
        </w:rPr>
        <w:t>2024年度一般公共预算财政拨款支出</w:t>
      </w:r>
      <w:r>
        <w:rPr>
          <w:rFonts w:ascii="方正仿宋_GBK" w:eastAsia="方正仿宋_GBK" w:hAnsi="方正仿宋_GBK" w:cs="方正仿宋_GBK"/>
          <w:color w:val="000000" w:themeColor="text1"/>
          <w:sz w:val="32"/>
          <w:szCs w:val="32"/>
        </w:rPr>
        <w:t>188.58</w:t>
      </w:r>
      <w:r>
        <w:rPr>
          <w:rFonts w:ascii="方正仿宋_GBK" w:eastAsia="方正仿宋_GBK" w:hAnsi="方正仿宋_GBK" w:cs="方正仿宋_GBK"/>
          <w:color w:val="000000" w:themeColor="text1"/>
          <w:sz w:val="32"/>
          <w:szCs w:val="32"/>
          <w:shd w:val="clear" w:color="auto" w:fill="FFFFFF"/>
        </w:rPr>
        <w:t>万元，与2023年度相比，减少17.08万元，下降8.30%。主要原因是本年度调出1人。较年初预算数增加33.90万元，增长21.92%。主要原因是预算调剂追加超额绩效考核部分和补缴2022-2023年养老保险职业年金部分。</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a"/>
          <w:rFonts w:ascii="方正仿宋_GBK" w:eastAsia="方正仿宋_GBK" w:hAnsi="方正仿宋_GBK" w:cs="方正仿宋_GBK"/>
          <w:color w:val="000000" w:themeColor="text1"/>
          <w:sz w:val="32"/>
          <w:szCs w:val="32"/>
          <w:shd w:val="clear" w:color="auto" w:fill="FFFFFF"/>
        </w:rPr>
        <w:t>3.结转结余情况。</w:t>
      </w:r>
      <w:r>
        <w:rPr>
          <w:rFonts w:ascii="方正仿宋_GBK" w:eastAsia="方正仿宋_GBK" w:hAnsi="方正仿宋_GBK" w:cs="方正仿宋_GBK"/>
          <w:color w:val="000000" w:themeColor="text1"/>
          <w:sz w:val="32"/>
          <w:szCs w:val="32"/>
          <w:shd w:val="clear" w:color="auto" w:fill="FFFFFF"/>
        </w:rPr>
        <w:t>2024年度年末一般公共预算财政拨款结转和结余</w:t>
      </w:r>
      <w:r>
        <w:rPr>
          <w:rFonts w:ascii="方正仿宋_GBK" w:eastAsia="方正仿宋_GBK" w:hAnsi="方正仿宋_GBK" w:cs="方正仿宋_GBK"/>
          <w:color w:val="000000" w:themeColor="text1"/>
          <w:sz w:val="32"/>
          <w:szCs w:val="32"/>
        </w:rPr>
        <w:t>3.94</w:t>
      </w:r>
      <w:r>
        <w:rPr>
          <w:rFonts w:ascii="方正仿宋_GBK" w:eastAsia="方正仿宋_GBK" w:hAnsi="方正仿宋_GBK" w:cs="方正仿宋_GBK"/>
          <w:color w:val="000000" w:themeColor="text1"/>
          <w:sz w:val="32"/>
          <w:szCs w:val="32"/>
          <w:shd w:val="clear" w:color="auto" w:fill="FFFFFF"/>
        </w:rPr>
        <w:t>万元，与2023年度相比，减少0.90万元，下降18.60%，主要原因是已支出结转结余0.9万元。</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highlight w:val="cyan"/>
          <w:shd w:val="clear" w:color="auto" w:fill="FFFFFF"/>
        </w:rPr>
      </w:pPr>
      <w:r>
        <w:rPr>
          <w:rStyle w:val="aa"/>
          <w:rFonts w:ascii="方正仿宋_GBK" w:eastAsia="方正仿宋_GBK" w:hAnsi="方正仿宋_GBK" w:cs="方正仿宋_GBK"/>
          <w:color w:val="000000" w:themeColor="text1"/>
          <w:sz w:val="32"/>
          <w:szCs w:val="32"/>
          <w:shd w:val="clear" w:color="auto" w:fill="FFFFFF"/>
        </w:rPr>
        <w:t xml:space="preserve"> 4.比较情况。</w:t>
      </w:r>
      <w:r>
        <w:rPr>
          <w:rFonts w:ascii="方正仿宋_GBK" w:eastAsia="方正仿宋_GBK" w:hAnsi="方正仿宋_GBK" w:cs="方正仿宋_GBK"/>
          <w:color w:val="000000" w:themeColor="text1"/>
          <w:sz w:val="32"/>
          <w:szCs w:val="32"/>
          <w:shd w:val="clear" w:color="auto" w:fill="FFFFFF"/>
        </w:rPr>
        <w:t>本单位2024年度一般公共预算财政拨款支出主要用于以下几个方面：</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（1）一般公共服务支出</w:t>
      </w:r>
      <w:r>
        <w:rPr>
          <w:rFonts w:ascii="方正仿宋_GBK" w:eastAsia="方正仿宋_GBK" w:hAnsi="方正仿宋_GBK" w:cs="方正仿宋_GBK"/>
          <w:color w:val="000000" w:themeColor="text1"/>
          <w:sz w:val="32"/>
          <w:szCs w:val="32"/>
        </w:rPr>
        <w:t>132.86</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rPr>
        <w:t>70.45</w:t>
      </w:r>
      <w:r>
        <w:rPr>
          <w:rFonts w:ascii="方正仿宋_GBK" w:eastAsia="方正仿宋_GBK" w:hAnsi="方正仿宋_GBK" w:cs="方正仿宋_GBK"/>
          <w:color w:val="000000" w:themeColor="text1"/>
          <w:sz w:val="32"/>
          <w:szCs w:val="32"/>
          <w:shd w:val="clear" w:color="auto" w:fill="FFFFFF"/>
        </w:rPr>
        <w:t>%，较年初预算数增加6.74万元，增长5.34%，主要原因是追加发放人员绩效工资。</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（2）教育支出</w:t>
      </w:r>
      <w:r>
        <w:rPr>
          <w:rFonts w:ascii="方正仿宋_GBK" w:eastAsia="方正仿宋_GBK" w:hAnsi="方正仿宋_GBK" w:cs="方正仿宋_GBK"/>
          <w:color w:val="000000" w:themeColor="text1"/>
          <w:sz w:val="32"/>
          <w:szCs w:val="32"/>
        </w:rPr>
        <w:t>0.01</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rPr>
        <w:t>0.01</w:t>
      </w:r>
      <w:r>
        <w:rPr>
          <w:rFonts w:ascii="方正仿宋_GBK" w:eastAsia="方正仿宋_GBK" w:hAnsi="方正仿宋_GBK" w:cs="方正仿宋_GBK"/>
          <w:color w:val="000000" w:themeColor="text1"/>
          <w:sz w:val="32"/>
          <w:szCs w:val="32"/>
          <w:shd w:val="clear" w:color="auto" w:fill="FFFFFF"/>
        </w:rPr>
        <w:t>%，较年初预算数减少0.47万元，下降97.92%，主要原因是本年度部分培训费在机关支出。</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lastRenderedPageBreak/>
        <w:t>（3）社会保障与就业支出</w:t>
      </w:r>
      <w:r>
        <w:rPr>
          <w:rFonts w:ascii="方正仿宋_GBK" w:eastAsia="方正仿宋_GBK" w:hAnsi="方正仿宋_GBK" w:cs="方正仿宋_GBK"/>
          <w:color w:val="000000" w:themeColor="text1"/>
          <w:sz w:val="32"/>
          <w:szCs w:val="32"/>
        </w:rPr>
        <w:t>37.78</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rPr>
        <w:t>20.04</w:t>
      </w:r>
      <w:r>
        <w:rPr>
          <w:rFonts w:ascii="方正仿宋_GBK" w:eastAsia="方正仿宋_GBK" w:hAnsi="方正仿宋_GBK" w:cs="方正仿宋_GBK"/>
          <w:color w:val="000000" w:themeColor="text1"/>
          <w:sz w:val="32"/>
          <w:szCs w:val="32"/>
          <w:shd w:val="clear" w:color="auto" w:fill="FFFFFF"/>
        </w:rPr>
        <w:t>%，较年初预算数增加23.13万元，增长157.88%，主要原因是补缴2022-2023年养老保险和职业年金部分。</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color w:val="000000" w:themeColor="text1"/>
          <w:sz w:val="32"/>
          <w:szCs w:val="32"/>
          <w:shd w:val="clear" w:color="auto" w:fill="FFFFFF"/>
        </w:rPr>
        <w:t>（4）卫生健康支出</w:t>
      </w:r>
      <w:r>
        <w:rPr>
          <w:rFonts w:ascii="方正仿宋_GBK" w:eastAsia="方正仿宋_GBK" w:hAnsi="方正仿宋_GBK" w:cs="方正仿宋_GBK"/>
          <w:color w:val="000000" w:themeColor="text1"/>
          <w:sz w:val="32"/>
          <w:szCs w:val="32"/>
        </w:rPr>
        <w:t>6.01</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rPr>
        <w:t>3.19</w:t>
      </w:r>
      <w:r>
        <w:rPr>
          <w:rFonts w:ascii="方正仿宋_GBK" w:eastAsia="方正仿宋_GBK" w:hAnsi="方正仿宋_GBK" w:cs="方正仿宋_GBK"/>
          <w:color w:val="000000" w:themeColor="text1"/>
          <w:sz w:val="32"/>
          <w:szCs w:val="32"/>
          <w:shd w:val="clear" w:color="auto" w:fill="FFFFFF"/>
        </w:rPr>
        <w:t>%，较年初预算数减少0.09万元，下降1.48%，主要原因是本年度调出1人。</w:t>
      </w:r>
    </w:p>
    <w:p w:rsidR="00206CBD" w:rsidRDefault="00C108DB">
      <w:pPr>
        <w:ind w:firstLineChars="200" w:firstLine="640"/>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color w:val="000000" w:themeColor="text1"/>
          <w:sz w:val="32"/>
          <w:szCs w:val="32"/>
          <w:shd w:val="clear" w:color="auto" w:fill="FFFFFF"/>
        </w:rPr>
        <w:t>（5）</w:t>
      </w:r>
      <w:r>
        <w:rPr>
          <w:rFonts w:ascii="方正仿宋_GBK" w:eastAsia="方正仿宋_GBK" w:hAnsi="方正仿宋_GBK" w:cs="方正仿宋_GBK"/>
          <w:color w:val="000000" w:themeColor="text1"/>
          <w:sz w:val="32"/>
          <w:szCs w:val="32"/>
        </w:rPr>
        <w:t>住房保障支出11.92</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rPr>
        <w:t>6.32</w:t>
      </w:r>
      <w:r>
        <w:rPr>
          <w:rFonts w:ascii="方正仿宋_GBK" w:eastAsia="方正仿宋_GBK" w:hAnsi="方正仿宋_GBK" w:cs="方正仿宋_GBK"/>
          <w:color w:val="000000" w:themeColor="text1"/>
          <w:sz w:val="32"/>
          <w:szCs w:val="32"/>
          <w:shd w:val="clear" w:color="auto" w:fill="FFFFFF"/>
        </w:rPr>
        <w:t>%，较年初预算数增加4.59万元，增长62.62%，主要原因是人员工资晋级，缴纳基数增加。</w:t>
      </w:r>
    </w:p>
    <w:p w:rsidR="00206CBD" w:rsidRDefault="00C108DB">
      <w:pPr>
        <w:pStyle w:val="1"/>
        <w:autoSpaceDE w:val="0"/>
        <w:ind w:firstLine="643"/>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（四）一般公共预算财政拨款基本支出决算情况说明</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 2024年度一般公共财政拨款基本支出</w:t>
      </w:r>
      <w:r>
        <w:rPr>
          <w:rFonts w:ascii="方正仿宋_GBK" w:eastAsia="方正仿宋_GBK" w:hAnsi="方正仿宋_GBK" w:cs="方正仿宋_GBK"/>
          <w:color w:val="000000" w:themeColor="text1"/>
          <w:sz w:val="32"/>
          <w:szCs w:val="32"/>
        </w:rPr>
        <w:t>188.58</w:t>
      </w:r>
      <w:r>
        <w:rPr>
          <w:rFonts w:ascii="方正仿宋_GBK" w:eastAsia="方正仿宋_GBK" w:hAnsi="方正仿宋_GBK" w:cs="方正仿宋_GBK"/>
          <w:color w:val="000000" w:themeColor="text1"/>
          <w:sz w:val="32"/>
          <w:szCs w:val="32"/>
          <w:shd w:val="clear" w:color="auto" w:fill="FFFFFF"/>
        </w:rPr>
        <w:t>万元。其中：人员经费</w:t>
      </w:r>
      <w:r>
        <w:rPr>
          <w:rFonts w:ascii="方正仿宋_GBK" w:eastAsia="方正仿宋_GBK" w:hAnsi="方正仿宋_GBK" w:cs="方正仿宋_GBK"/>
          <w:color w:val="000000" w:themeColor="text1"/>
          <w:sz w:val="32"/>
          <w:szCs w:val="32"/>
        </w:rPr>
        <w:t>173.53</w:t>
      </w:r>
      <w:r>
        <w:rPr>
          <w:rFonts w:ascii="方正仿宋_GBK" w:eastAsia="方正仿宋_GBK" w:hAnsi="方正仿宋_GBK" w:cs="方正仿宋_GBK"/>
          <w:color w:val="000000" w:themeColor="text1"/>
          <w:sz w:val="32"/>
          <w:szCs w:val="32"/>
          <w:shd w:val="clear" w:color="auto" w:fill="FFFFFF"/>
        </w:rPr>
        <w:t>万元，与2023年度相比，减少6.87万元，下降3.81%，主要原因是本年度调出1人。人员经费用途主要包括</w:t>
      </w:r>
      <w:r>
        <w:rPr>
          <w:rFonts w:ascii="方正仿宋_GBK" w:eastAsia="方正仿宋_GBK" w:hAnsi="方正仿宋_GBK" w:cs="方正仿宋_GBK"/>
          <w:color w:val="000000" w:themeColor="text1"/>
          <w:sz w:val="32"/>
          <w:szCs w:val="32"/>
        </w:rPr>
        <w:t>基本工资、基础绩效工资、超额绩效工资、社会保障缴费、住房公积金、医疗费等。</w:t>
      </w:r>
      <w:r>
        <w:rPr>
          <w:rFonts w:ascii="方正仿宋_GBK" w:eastAsia="方正仿宋_GBK" w:hAnsi="方正仿宋_GBK" w:cs="方正仿宋_GBK"/>
          <w:color w:val="000000" w:themeColor="text1"/>
          <w:sz w:val="32"/>
          <w:szCs w:val="32"/>
          <w:shd w:val="clear" w:color="auto" w:fill="FFFFFF"/>
        </w:rPr>
        <w:t>公用经费</w:t>
      </w:r>
      <w:r>
        <w:rPr>
          <w:rFonts w:ascii="方正仿宋_GBK" w:eastAsia="方正仿宋_GBK" w:hAnsi="方正仿宋_GBK" w:cs="方正仿宋_GBK"/>
          <w:color w:val="000000" w:themeColor="text1"/>
          <w:sz w:val="32"/>
          <w:szCs w:val="32"/>
        </w:rPr>
        <w:t>15.05</w:t>
      </w:r>
      <w:r>
        <w:rPr>
          <w:rFonts w:ascii="方正仿宋_GBK" w:eastAsia="方正仿宋_GBK" w:hAnsi="方正仿宋_GBK" w:cs="方正仿宋_GBK"/>
          <w:color w:val="000000" w:themeColor="text1"/>
          <w:sz w:val="32"/>
          <w:szCs w:val="32"/>
          <w:shd w:val="clear" w:color="auto" w:fill="FFFFFF"/>
        </w:rPr>
        <w:t>万元，与2023年度相比，减少10.21万元，下降40.42%，主要原因是人员调出1人，公用经费减少。公用经费用途主要包括</w:t>
      </w:r>
      <w:r>
        <w:rPr>
          <w:rFonts w:ascii="方正仿宋_GBK" w:eastAsia="方正仿宋_GBK" w:hAnsi="方正仿宋_GBK" w:cs="方正仿宋_GBK"/>
          <w:color w:val="000000" w:themeColor="text1"/>
          <w:sz w:val="32"/>
          <w:szCs w:val="32"/>
        </w:rPr>
        <w:t>办公费、差旅费、培训费、福利费、工会经费等</w:t>
      </w:r>
      <w:r>
        <w:rPr>
          <w:rFonts w:ascii="方正仿宋_GBK" w:eastAsia="方正仿宋_GBK" w:hAnsi="方正仿宋_GBK" w:cs="方正仿宋_GBK"/>
          <w:color w:val="000000" w:themeColor="text1"/>
          <w:sz w:val="32"/>
          <w:szCs w:val="32"/>
          <w:shd w:val="clear" w:color="auto" w:fill="FFFFFF"/>
        </w:rPr>
        <w:t>。</w:t>
      </w:r>
    </w:p>
    <w:p w:rsidR="00206CBD" w:rsidRDefault="00C108DB">
      <w:pPr>
        <w:pStyle w:val="1"/>
        <w:autoSpaceDE w:val="0"/>
        <w:ind w:firstLine="643"/>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（五）政府性基金预算收支决算情况说明</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w:t>
      </w:r>
      <w:r>
        <w:rPr>
          <w:rFonts w:ascii="方正仿宋_GBK" w:eastAsia="方正仿宋_GBK" w:hAnsi="方正仿宋_GBK" w:cs="方正仿宋_GBK"/>
          <w:sz w:val="32"/>
          <w:szCs w:val="32"/>
          <w:shd w:val="clear" w:color="auto" w:fill="FFFFFF"/>
        </w:rPr>
        <w:lastRenderedPageBreak/>
        <w:t>减，主要原因是</w:t>
      </w:r>
      <w:r w:rsidRPr="00077999">
        <w:rPr>
          <w:rFonts w:ascii="Times New Roman" w:eastAsia="方正仿宋_GBK" w:hAnsi="Times New Roman"/>
          <w:color w:val="000000" w:themeColor="text1"/>
          <w:sz w:val="32"/>
          <w:szCs w:val="32"/>
          <w:shd w:val="clear" w:color="auto" w:fill="FFFFFF"/>
        </w:rPr>
        <w:t>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206CBD" w:rsidRDefault="00C108DB">
      <w:pPr>
        <w:pStyle w:val="1"/>
        <w:autoSpaceDE w:val="0"/>
        <w:ind w:firstLine="643"/>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（六）国有资本经营预算财政拨款支出决算情况说明</w:t>
      </w:r>
    </w:p>
    <w:p w:rsidR="00206CBD" w:rsidRDefault="00C108DB" w:rsidP="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206CBD" w:rsidRDefault="00C108DB">
      <w:pPr>
        <w:pStyle w:val="a8"/>
        <w:shd w:val="clear" w:color="auto" w:fill="FFFFFF"/>
        <w:ind w:firstLineChars="200" w:firstLine="643"/>
        <w:rPr>
          <w:rStyle w:val="aa"/>
          <w:rFonts w:ascii="黑体" w:eastAsia="黑体" w:hAnsi="黑体" w:cs="黑体" w:hint="default"/>
          <w:color w:val="000000" w:themeColor="text1"/>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206CBD" w:rsidRDefault="00C108DB">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rPr>
        <w:t xml:space="preserve"> </w:t>
      </w:r>
      <w:r>
        <w:rPr>
          <w:rFonts w:ascii="楷体" w:eastAsia="楷体" w:hAnsi="楷体" w:cs="楷体" w:hint="eastAsia"/>
          <w:b/>
          <w:bCs/>
          <w:color w:val="000000" w:themeColor="text1"/>
          <w:sz w:val="32"/>
          <w:szCs w:val="32"/>
          <w:shd w:val="clear" w:color="auto" w:fill="FFFFFF"/>
          <w:lang w:bidi="ar"/>
        </w:rPr>
        <w:t>（一）“三公”经费支出总体情况说明</w:t>
      </w:r>
    </w:p>
    <w:p w:rsidR="00206CBD" w:rsidRDefault="00C108DB">
      <w:pPr>
        <w:pStyle w:val="a8"/>
        <w:snapToGrid w:val="0"/>
        <w:spacing w:before="0" w:beforeAutospacing="0" w:after="0" w:afterAutospacing="0" w:line="600" w:lineRule="exact"/>
        <w:ind w:firstLineChars="300" w:firstLine="96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hint="default"/>
          <w:color w:val="000000" w:themeColor="text1"/>
          <w:sz w:val="32"/>
          <w:szCs w:val="32"/>
          <w:shd w:val="clear" w:color="auto" w:fill="FFFFFF"/>
        </w:rPr>
        <w:t>202</w:t>
      </w:r>
      <w:r>
        <w:rPr>
          <w:rFonts w:ascii="方正仿宋_GBK" w:eastAsia="方正仿宋_GBK" w:hAnsi="方正仿宋_GBK" w:cs="方正仿宋_GBK"/>
          <w:color w:val="000000" w:themeColor="text1"/>
          <w:sz w:val="32"/>
          <w:szCs w:val="32"/>
          <w:shd w:val="clear" w:color="auto" w:fill="FFFFFF"/>
        </w:rPr>
        <w:t>4</w:t>
      </w:r>
      <w:r>
        <w:rPr>
          <w:rFonts w:ascii="方正仿宋_GBK" w:eastAsia="方正仿宋_GBK" w:hAnsi="方正仿宋_GBK" w:cs="方正仿宋_GBK" w:hint="default"/>
          <w:color w:val="000000" w:themeColor="text1"/>
          <w:sz w:val="32"/>
          <w:szCs w:val="32"/>
          <w:shd w:val="clear" w:color="auto" w:fill="FFFFFF"/>
        </w:rPr>
        <w:t>年度“三公”经费支出共计0.00万元，较年初预算数无增减，主要原因是我单位202</w:t>
      </w:r>
      <w:r>
        <w:rPr>
          <w:rFonts w:ascii="方正仿宋_GBK" w:eastAsia="方正仿宋_GBK" w:hAnsi="方正仿宋_GBK" w:cs="方正仿宋_GBK"/>
          <w:color w:val="000000" w:themeColor="text1"/>
          <w:sz w:val="32"/>
          <w:szCs w:val="32"/>
          <w:shd w:val="clear" w:color="auto" w:fill="FFFFFF"/>
        </w:rPr>
        <w:t>4</w:t>
      </w:r>
      <w:r>
        <w:rPr>
          <w:rFonts w:ascii="方正仿宋_GBK" w:eastAsia="方正仿宋_GBK" w:hAnsi="方正仿宋_GBK" w:cs="方正仿宋_GBK" w:hint="default"/>
          <w:color w:val="000000" w:themeColor="text1"/>
          <w:sz w:val="32"/>
          <w:szCs w:val="32"/>
          <w:shd w:val="clear" w:color="auto" w:fill="FFFFFF"/>
        </w:rPr>
        <w:t>年未发生“三公”经费支出。较上年支出数无增减，主要原因是我单位本年及上年均未发生“三公”经费支出。</w:t>
      </w:r>
    </w:p>
    <w:p w:rsidR="00206CBD" w:rsidRDefault="00C108DB">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（二）“三公”经费分项支出情况</w:t>
      </w:r>
    </w:p>
    <w:p w:rsidR="00206CBD" w:rsidRDefault="00C108DB">
      <w:pPr>
        <w:pStyle w:val="a8"/>
        <w:snapToGrid w:val="0"/>
        <w:spacing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hint="default"/>
          <w:color w:val="000000" w:themeColor="text1"/>
          <w:sz w:val="32"/>
          <w:szCs w:val="32"/>
          <w:shd w:val="clear" w:color="auto" w:fill="FFFFFF"/>
        </w:rPr>
        <w:t>202</w:t>
      </w:r>
      <w:r>
        <w:rPr>
          <w:rFonts w:ascii="方正仿宋_GBK" w:eastAsia="方正仿宋_GBK" w:hAnsi="方正仿宋_GBK" w:cs="方正仿宋_GBK"/>
          <w:color w:val="000000" w:themeColor="text1"/>
          <w:sz w:val="32"/>
          <w:szCs w:val="32"/>
          <w:shd w:val="clear" w:color="auto" w:fill="FFFFFF"/>
        </w:rPr>
        <w:t>4</w:t>
      </w:r>
      <w:r>
        <w:rPr>
          <w:rFonts w:ascii="方正仿宋_GBK" w:eastAsia="方正仿宋_GBK" w:hAnsi="方正仿宋_GBK" w:cs="方正仿宋_GBK" w:hint="default"/>
          <w:color w:val="000000" w:themeColor="text1"/>
          <w:sz w:val="32"/>
          <w:szCs w:val="32"/>
          <w:shd w:val="clear" w:color="auto" w:fill="FFFFFF"/>
        </w:rPr>
        <w:t>年度本</w:t>
      </w:r>
      <w:r w:rsidR="0011759F">
        <w:rPr>
          <w:rFonts w:ascii="方正仿宋_GBK" w:eastAsia="方正仿宋_GBK" w:hAnsi="方正仿宋_GBK" w:cs="方正仿宋_GBK"/>
          <w:color w:val="000000" w:themeColor="text1"/>
          <w:sz w:val="32"/>
          <w:szCs w:val="32"/>
          <w:shd w:val="clear" w:color="auto" w:fill="FFFFFF"/>
        </w:rPr>
        <w:t>单位</w:t>
      </w:r>
      <w:r>
        <w:rPr>
          <w:rFonts w:ascii="方正仿宋_GBK" w:eastAsia="方正仿宋_GBK" w:hAnsi="方正仿宋_GBK" w:cs="方正仿宋_GBK" w:hint="default"/>
          <w:color w:val="000000" w:themeColor="text1"/>
          <w:sz w:val="32"/>
          <w:szCs w:val="32"/>
          <w:shd w:val="clear" w:color="auto" w:fill="FFFFFF"/>
        </w:rPr>
        <w:t>因公出国（境）费用0.00万元。费用支出较年初预算数无增减，主要原因是年初预算数未安排因公出国（境）费用，也未发生因公出国（境）费用。较上年支出数无增减，主要原因是上年和本年均未发生因公出国（境）费用。</w:t>
      </w:r>
    </w:p>
    <w:p w:rsidR="00206CBD" w:rsidRDefault="00C108DB">
      <w:pPr>
        <w:pStyle w:val="a8"/>
        <w:snapToGrid w:val="0"/>
        <w:spacing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hint="default"/>
          <w:color w:val="000000" w:themeColor="text1"/>
          <w:sz w:val="32"/>
          <w:szCs w:val="32"/>
          <w:shd w:val="clear" w:color="auto" w:fill="FFFFFF"/>
        </w:rPr>
        <w:t xml:space="preserve"> 公务车购置费0.00万元。费用支出较年初预算数无增减，主要原因是年初预算数未安排且本年未发生公务车购置</w:t>
      </w:r>
      <w:r>
        <w:rPr>
          <w:rFonts w:ascii="方正仿宋_GBK" w:eastAsia="方正仿宋_GBK" w:hAnsi="方正仿宋_GBK" w:cs="方正仿宋_GBK" w:hint="default"/>
          <w:color w:val="000000" w:themeColor="text1"/>
          <w:sz w:val="32"/>
          <w:szCs w:val="32"/>
          <w:shd w:val="clear" w:color="auto" w:fill="FFFFFF"/>
        </w:rPr>
        <w:lastRenderedPageBreak/>
        <w:t>费用。较上年支出数无增减，主要原因是上年和本年均未发生公务车购置费用。</w:t>
      </w:r>
    </w:p>
    <w:p w:rsidR="00206CBD" w:rsidRDefault="00C108DB">
      <w:pPr>
        <w:pStyle w:val="a8"/>
        <w:snapToGrid w:val="0"/>
        <w:spacing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hint="default"/>
          <w:color w:val="000000" w:themeColor="text1"/>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公务接待费</w:t>
      </w:r>
      <w:r>
        <w:rPr>
          <w:rFonts w:ascii="方正仿宋_GBK" w:eastAsia="方正仿宋_GBK" w:hAnsi="方正仿宋_GBK" w:cs="方正仿宋_GBK" w:hint="default"/>
          <w:color w:val="000000" w:themeColor="text1"/>
          <w:sz w:val="32"/>
          <w:szCs w:val="32"/>
          <w:shd w:val="clear" w:color="auto" w:fill="FFFFFF"/>
        </w:rPr>
        <w:t>0.00万元。费用支出较年初预算数无增减，主要原因是年初预算数未安排且本年未发生公务接待费用。较上年支出数无增减，主要原因是上年和本年均未发生公务接待费用。</w:t>
      </w:r>
    </w:p>
    <w:p w:rsidR="00206CBD" w:rsidRDefault="00C108DB">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（三）“三公”经费实物量情况</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 xml:space="preserve">  </w:t>
      </w:r>
      <w:r w:rsidR="0011759F">
        <w:rPr>
          <w:rFonts w:ascii="方正仿宋_GBK" w:eastAsia="方正仿宋_GBK" w:hAnsi="方正仿宋_GBK" w:cs="方正仿宋_GBK"/>
          <w:sz w:val="32"/>
          <w:szCs w:val="32"/>
          <w:shd w:val="clear" w:color="auto" w:fill="FFFFFF"/>
        </w:rPr>
        <w:t>2024年度本单位因公出国（境）共计</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个团组，</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人；公务用车购置</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辆，公务车保有量为</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辆；国内公务接待</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批次</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人，其中：国内外事接待</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批次，</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人；国（境）外公务接待</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批次，</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人。2024年本单位人均接待费</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元，车均购置费</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万元，车均维护费</w:t>
      </w:r>
      <w:r w:rsidR="0011759F">
        <w:rPr>
          <w:rFonts w:ascii="方正仿宋_GBK" w:eastAsia="方正仿宋_GBK" w:hAnsi="方正仿宋_GBK" w:cs="方正仿宋_GBK"/>
          <w:sz w:val="32"/>
          <w:szCs w:val="32"/>
        </w:rPr>
        <w:t>0</w:t>
      </w:r>
      <w:r w:rsidR="0011759F">
        <w:rPr>
          <w:rFonts w:ascii="方正仿宋_GBK" w:eastAsia="方正仿宋_GBK" w:hAnsi="方正仿宋_GBK" w:cs="方正仿宋_GBK"/>
          <w:sz w:val="32"/>
          <w:szCs w:val="32"/>
          <w:shd w:val="clear" w:color="auto" w:fill="FFFFFF"/>
        </w:rPr>
        <w:t>万元。</w:t>
      </w:r>
    </w:p>
    <w:p w:rsidR="00206CBD" w:rsidRDefault="00C108DB">
      <w:pPr>
        <w:pStyle w:val="a8"/>
        <w:shd w:val="clear" w:color="auto" w:fill="FFFFFF"/>
        <w:ind w:firstLineChars="200" w:firstLine="643"/>
        <w:rPr>
          <w:rStyle w:val="aa"/>
          <w:rFonts w:ascii="黑体" w:eastAsia="黑体" w:hAnsi="黑体" w:cs="黑体" w:hint="default"/>
          <w:color w:val="000000" w:themeColor="text1"/>
          <w:sz w:val="32"/>
          <w:szCs w:val="32"/>
          <w:shd w:val="clear" w:color="auto" w:fill="FFFFFF"/>
        </w:rPr>
      </w:pPr>
      <w:r>
        <w:rPr>
          <w:rStyle w:val="aa"/>
          <w:rFonts w:ascii="黑体" w:eastAsia="黑体" w:hAnsi="黑体" w:cs="黑体"/>
          <w:color w:val="000000" w:themeColor="text1"/>
          <w:sz w:val="32"/>
          <w:szCs w:val="32"/>
          <w:shd w:val="clear" w:color="auto" w:fill="FFFFFF"/>
        </w:rPr>
        <w:t>四、其他需要说明的事项</w:t>
      </w:r>
    </w:p>
    <w:p w:rsidR="00206CBD" w:rsidRDefault="00C108DB">
      <w:pPr>
        <w:pStyle w:val="1"/>
        <w:autoSpaceDE w:val="0"/>
        <w:ind w:firstLine="643"/>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  （一）财政拨款会议费和培训费情况说明</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  本年度会议费支出</w:t>
      </w:r>
      <w:r>
        <w:rPr>
          <w:rFonts w:ascii="方正仿宋_GBK" w:eastAsia="方正仿宋_GBK" w:hAnsi="方正仿宋_GBK" w:cs="方正仿宋_GBK"/>
          <w:color w:val="000000" w:themeColor="text1"/>
          <w:sz w:val="32"/>
          <w:szCs w:val="32"/>
        </w:rPr>
        <w:t>0.00</w:t>
      </w:r>
      <w:r>
        <w:rPr>
          <w:rFonts w:ascii="方正仿宋_GBK" w:eastAsia="方正仿宋_GBK" w:hAnsi="方正仿宋_GBK" w:cs="方正仿宋_GBK"/>
          <w:color w:val="000000" w:themeColor="text1"/>
          <w:sz w:val="32"/>
          <w:szCs w:val="32"/>
          <w:shd w:val="clear" w:color="auto" w:fill="FFFFFF"/>
        </w:rPr>
        <w:t>万元，与2023年度相比，无增减，主要原因是本年度未发生会议费。本年度培训费支出</w:t>
      </w:r>
      <w:r>
        <w:rPr>
          <w:rFonts w:ascii="方正仿宋_GBK" w:eastAsia="方正仿宋_GBK" w:hAnsi="方正仿宋_GBK" w:cs="方正仿宋_GBK"/>
          <w:color w:val="000000" w:themeColor="text1"/>
          <w:sz w:val="32"/>
          <w:szCs w:val="32"/>
        </w:rPr>
        <w:t>0.01</w:t>
      </w:r>
      <w:r>
        <w:rPr>
          <w:rFonts w:ascii="方正仿宋_GBK" w:eastAsia="方正仿宋_GBK" w:hAnsi="方正仿宋_GBK" w:cs="方正仿宋_GBK"/>
          <w:color w:val="000000" w:themeColor="text1"/>
          <w:sz w:val="32"/>
          <w:szCs w:val="32"/>
          <w:shd w:val="clear" w:color="auto" w:fill="FFFFFF"/>
        </w:rPr>
        <w:lastRenderedPageBreak/>
        <w:t>万元，与2023年度相比，增加0.01万元，增长100.00%，主要原因是本年度一人继续教育培训费在本单位支出。</w:t>
      </w:r>
    </w:p>
    <w:p w:rsidR="00206CBD" w:rsidRDefault="00C108DB">
      <w:pPr>
        <w:pStyle w:val="1"/>
        <w:autoSpaceDE w:val="0"/>
        <w:ind w:firstLine="643"/>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（二）机关运行经费情况说明</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2024年度本单位机关运行经费支出</w:t>
      </w:r>
      <w:r>
        <w:rPr>
          <w:rFonts w:ascii="方正仿宋_GBK" w:eastAsia="方正仿宋_GBK" w:hAnsi="方正仿宋_GBK" w:cs="方正仿宋_GBK"/>
          <w:color w:val="000000" w:themeColor="text1"/>
          <w:sz w:val="32"/>
          <w:szCs w:val="32"/>
        </w:rPr>
        <w:t>0.00</w:t>
      </w:r>
      <w:r>
        <w:rPr>
          <w:rFonts w:ascii="方正仿宋_GBK" w:eastAsia="方正仿宋_GBK" w:hAnsi="方正仿宋_GBK" w:cs="方正仿宋_GBK"/>
          <w:color w:val="000000" w:themeColor="text1"/>
          <w:sz w:val="32"/>
          <w:szCs w:val="32"/>
          <w:shd w:val="clear" w:color="auto" w:fill="FFFFFF"/>
        </w:rPr>
        <w:t>万元，机关运行经费较上年支出数无增减，主要原因是</w:t>
      </w:r>
      <w:r>
        <w:rPr>
          <w:rFonts w:ascii="方正仿宋_GBK" w:eastAsia="方正仿宋_GBK" w:hAnsi="方正仿宋_GBK" w:cs="方正仿宋_GBK" w:hint="default"/>
          <w:color w:val="000000" w:themeColor="text1"/>
          <w:sz w:val="32"/>
          <w:szCs w:val="32"/>
        </w:rPr>
        <w:t>按照部门决算列报口径，我单位不在机关运行经费统计范围之内。</w:t>
      </w:r>
    </w:p>
    <w:p w:rsidR="00206CBD" w:rsidRDefault="00C108DB">
      <w:pPr>
        <w:pStyle w:val="1"/>
        <w:autoSpaceDE w:val="0"/>
        <w:ind w:firstLine="643"/>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（三）国有资产占用情况说明</w:t>
      </w:r>
    </w:p>
    <w:p w:rsidR="00206CBD" w:rsidRDefault="00C108DB">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  截至2024年12月31日，本单位共有车辆</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辆，其中，副部（省）级及以上领导用车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辆、主要负责人用车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辆、机要通信用车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辆、应急保障用车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辆、执法执勤用车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辆，特种专业技术用车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辆，离退休干部用车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辆。单价100万元（含）以上专用设备</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台（套）。</w:t>
      </w:r>
    </w:p>
    <w:p w:rsidR="00206CBD" w:rsidRDefault="00C108DB">
      <w:pPr>
        <w:pStyle w:val="1"/>
        <w:autoSpaceDE w:val="0"/>
        <w:ind w:firstLine="643"/>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（四）政府采购支出情况说明</w:t>
      </w:r>
    </w:p>
    <w:p w:rsidR="00206CBD" w:rsidRDefault="0011759F" w:rsidP="0011759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hint="default"/>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w:t>
      </w:r>
      <w:r w:rsidRPr="000862B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0862B1">
        <w:rPr>
          <w:rFonts w:ascii="方正仿宋_GBK" w:eastAsia="方正仿宋_GBK" w:hAnsi="方正仿宋_GBK" w:cs="方正仿宋_GBK"/>
          <w:sz w:val="32"/>
          <w:szCs w:val="32"/>
          <w:shd w:val="clear" w:color="auto" w:fill="FFFFFF"/>
        </w:rPr>
        <w:t>年度我</w:t>
      </w:r>
      <w:r>
        <w:rPr>
          <w:rFonts w:ascii="方正仿宋_GBK" w:eastAsia="方正仿宋_GBK" w:hAnsi="方正仿宋_GBK" w:cs="方正仿宋_GBK"/>
          <w:sz w:val="32"/>
          <w:szCs w:val="32"/>
          <w:shd w:val="clear" w:color="auto" w:fill="FFFFFF"/>
        </w:rPr>
        <w:t>单位</w:t>
      </w:r>
      <w:r w:rsidRPr="000862B1">
        <w:rPr>
          <w:rFonts w:ascii="方正仿宋_GBK" w:eastAsia="方正仿宋_GBK" w:hAnsi="方正仿宋_GBK" w:cs="方正仿宋_GBK"/>
          <w:sz w:val="32"/>
          <w:szCs w:val="32"/>
          <w:shd w:val="clear" w:color="auto" w:fill="FFFFFF"/>
        </w:rPr>
        <w:t>未发生政府采购事项，无相关经费支出。</w:t>
      </w:r>
    </w:p>
    <w:p w:rsidR="00206CBD" w:rsidRDefault="0011759F">
      <w:pPr>
        <w:pStyle w:val="a8"/>
        <w:shd w:val="clear" w:color="auto" w:fill="FFFFFF"/>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五、2024年度预算绩效管理情况说明</w:t>
      </w:r>
    </w:p>
    <w:p w:rsidR="00206CBD" w:rsidRDefault="00C108DB">
      <w:pPr>
        <w:pStyle w:val="Char"/>
        <w:autoSpaceDE w:val="0"/>
        <w:spacing w:before="0" w:beforeAutospacing="0" w:line="600"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206CBD" w:rsidRDefault="00C108DB">
      <w:pPr>
        <w:pStyle w:val="a8"/>
        <w:snapToGrid w:val="0"/>
        <w:spacing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color w:val="000000" w:themeColor="text1"/>
          <w:sz w:val="32"/>
          <w:szCs w:val="32"/>
          <w:shd w:val="clear" w:color="auto" w:fill="FFFFFF"/>
        </w:rPr>
        <w:lastRenderedPageBreak/>
        <w:t>根据预算绩效管理要求，我单位为下属事业单位，</w:t>
      </w:r>
      <w:r>
        <w:rPr>
          <w:rFonts w:ascii="方正仿宋_GBK" w:eastAsia="方正仿宋_GBK" w:hAnsi="方正仿宋_GBK" w:cs="方正仿宋_GBK" w:hint="default"/>
          <w:color w:val="000000" w:themeColor="text1"/>
          <w:sz w:val="32"/>
          <w:szCs w:val="32"/>
          <w:shd w:val="clear" w:color="auto" w:fill="FFFFFF"/>
        </w:rPr>
        <w:t>202</w:t>
      </w:r>
      <w:r>
        <w:rPr>
          <w:rFonts w:ascii="方正仿宋_GBK" w:eastAsia="方正仿宋_GBK" w:hAnsi="方正仿宋_GBK" w:cs="方正仿宋_GBK"/>
          <w:color w:val="000000" w:themeColor="text1"/>
          <w:sz w:val="32"/>
          <w:szCs w:val="32"/>
          <w:shd w:val="clear" w:color="auto" w:fill="FFFFFF"/>
        </w:rPr>
        <w:t>4</w:t>
      </w:r>
      <w:r>
        <w:rPr>
          <w:rFonts w:ascii="方正仿宋_GBK" w:eastAsia="方正仿宋_GBK" w:hAnsi="方正仿宋_GBK" w:cs="方正仿宋_GBK" w:hint="default"/>
          <w:color w:val="000000" w:themeColor="text1"/>
          <w:sz w:val="32"/>
          <w:szCs w:val="32"/>
          <w:shd w:val="clear" w:color="auto" w:fill="FFFFFF"/>
        </w:rPr>
        <w:t>年未开展项目自评，涉及项目支出资金0万元。</w:t>
      </w:r>
    </w:p>
    <w:p w:rsidR="00206CBD" w:rsidRDefault="00C108DB">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206CBD" w:rsidRDefault="00C108DB">
      <w:pPr>
        <w:pStyle w:val="a8"/>
        <w:snapToGrid w:val="0"/>
        <w:spacing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color w:val="000000" w:themeColor="text1"/>
          <w:sz w:val="32"/>
          <w:szCs w:val="32"/>
          <w:shd w:val="clear" w:color="auto" w:fill="FFFFFF"/>
        </w:rPr>
        <w:t>我单位未组织开展绩效评价。</w:t>
      </w:r>
    </w:p>
    <w:p w:rsidR="00206CBD" w:rsidRDefault="00C108DB">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206CBD" w:rsidRDefault="0011759F">
      <w:pPr>
        <w:pStyle w:val="a8"/>
        <w:snapToGrid w:val="0"/>
        <w:spacing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color w:val="000000" w:themeColor="text1"/>
          <w:sz w:val="32"/>
          <w:szCs w:val="32"/>
          <w:shd w:val="clear" w:color="auto" w:fill="FFFFFF"/>
        </w:rPr>
        <w:t>县</w:t>
      </w:r>
      <w:r w:rsidR="00C108DB">
        <w:rPr>
          <w:rFonts w:ascii="方正仿宋_GBK" w:eastAsia="方正仿宋_GBK" w:hAnsi="方正仿宋_GBK" w:cs="方正仿宋_GBK"/>
          <w:color w:val="000000" w:themeColor="text1"/>
          <w:sz w:val="32"/>
          <w:szCs w:val="32"/>
          <w:shd w:val="clear" w:color="auto" w:fill="FFFFFF"/>
        </w:rPr>
        <w:t>财政局未委托第三方对我单位开展绩效评价。</w:t>
      </w:r>
    </w:p>
    <w:p w:rsidR="00206CBD" w:rsidRDefault="00C108DB">
      <w:pPr>
        <w:pStyle w:val="a8"/>
        <w:shd w:val="clear" w:color="auto" w:fill="FFFFFF"/>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  六、专业名词解释</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w:t>
      </w: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ascii="方正仿宋_GBK" w:eastAsia="方正仿宋_GBK" w:hAnsi="方正仿宋_GBK" w:cs="方正仿宋_GBK"/>
          <w:sz w:val="32"/>
          <w:szCs w:val="32"/>
          <w:shd w:val="clear" w:color="auto" w:fill="FFFFFF"/>
        </w:rPr>
        <w:lastRenderedPageBreak/>
        <w:t>单位从本级财政部门以外的同级单位取得的经费、从非本级财政部门取得的经费，以及行政单位收到的财政专户管理资金反映在本项内。</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lastRenderedPageBreak/>
        <w:t> </w:t>
      </w:r>
      <w:r>
        <w:rPr>
          <w:rStyle w:val="aa"/>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206CBD" w:rsidRDefault="00C108DB">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lastRenderedPageBreak/>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206CBD" w:rsidRDefault="00C108DB">
      <w:pPr>
        <w:pStyle w:val="a8"/>
        <w:shd w:val="clear" w:color="auto" w:fill="FFFFFF"/>
        <w:ind w:firstLineChars="200" w:firstLine="643"/>
        <w:rPr>
          <w:rStyle w:val="aa"/>
          <w:rFonts w:ascii="方正仿宋_GBK" w:eastAsia="方正仿宋_GBK" w:hAnsi="方正仿宋_GBK" w:cs="方正仿宋_GBK" w:hint="default"/>
          <w:sz w:val="32"/>
          <w:szCs w:val="32"/>
          <w:shd w:val="clear" w:color="auto" w:fill="FFFFFF"/>
        </w:rPr>
      </w:pPr>
      <w:r>
        <w:rPr>
          <w:rStyle w:val="aa"/>
          <w:rFonts w:ascii="黑体" w:eastAsia="黑体" w:hAnsi="黑体" w:cs="黑体"/>
          <w:sz w:val="32"/>
          <w:szCs w:val="32"/>
          <w:shd w:val="clear" w:color="auto" w:fill="FFFFFF"/>
        </w:rPr>
        <w:t>七、决算公开联系方式及信息反馈渠道</w:t>
      </w:r>
    </w:p>
    <w:p w:rsidR="00206CBD" w:rsidRDefault="00C108DB">
      <w:pPr>
        <w:pStyle w:val="1"/>
        <w:autoSpaceDE w:val="0"/>
        <w:ind w:firstLineChars="0" w:firstLine="0"/>
        <w:rPr>
          <w:rStyle w:val="aa"/>
          <w:rFonts w:ascii="方正仿宋_GBK" w:eastAsia="方正仿宋_GBK" w:hAnsi="方正仿宋_GBK" w:cs="方正仿宋_GBK"/>
          <w:sz w:val="32"/>
          <w:szCs w:val="32"/>
          <w:shd w:val="clear" w:color="auto" w:fill="FFFF00"/>
        </w:rPr>
        <w:sectPr w:rsidR="00206CBD">
          <w:footerReference w:type="default" r:id="rId7"/>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：马老师023-72529950</w:t>
      </w:r>
      <w:bookmarkStart w:id="0" w:name="_GoBack"/>
      <w:bookmarkEnd w:id="0"/>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309"/>
        <w:gridCol w:w="3571"/>
        <w:gridCol w:w="4059"/>
        <w:gridCol w:w="2852"/>
      </w:tblGrid>
      <w:tr w:rsidR="00206CB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206CBD" w:rsidRDefault="00C108DB">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206CB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206CBD" w:rsidRDefault="00C108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206CB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206CBD" w:rsidRDefault="00C108DB">
            <w:pPr>
              <w:spacing w:line="200" w:lineRule="exact"/>
              <w:rPr>
                <w:rFonts w:ascii="Arial" w:hAnsi="Arial" w:cs="Arial" w:hint="default"/>
                <w:color w:val="000000"/>
                <w:sz w:val="22"/>
                <w:szCs w:val="22"/>
              </w:rPr>
            </w:pPr>
            <w:r>
              <w:rPr>
                <w:rFonts w:cs="宋体"/>
                <w:sz w:val="20"/>
                <w:szCs w:val="20"/>
              </w:rPr>
              <w:t>单位：</w:t>
            </w:r>
            <w:r>
              <w:rPr>
                <w:sz w:val="20"/>
              </w:rPr>
              <w:t>垫江县重点项目服务中心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206CBD" w:rsidRDefault="00C108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06CB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187.72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132.86</w:t>
            </w: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37.78</w:t>
            </w: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11.92</w:t>
            </w: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187.72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188.58</w:t>
            </w: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06CB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r>
      <w:tr w:rsidR="00206CB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192.51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206CBD" w:rsidRDefault="00C108D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192.51</w:t>
            </w:r>
            <w:r>
              <w:rPr>
                <w:rFonts w:ascii="Times New Roman" w:hAnsi="Times New Roman"/>
                <w:color w:val="000000"/>
                <w:sz w:val="20"/>
              </w:rPr>
              <w:t xml:space="preserve"> </w:t>
            </w:r>
          </w:p>
        </w:tc>
      </w:tr>
    </w:tbl>
    <w:p w:rsidR="00206CBD" w:rsidRDefault="00206CBD">
      <w:pPr>
        <w:rPr>
          <w:rFonts w:cs="宋体" w:hint="default"/>
          <w:sz w:val="21"/>
          <w:szCs w:val="21"/>
        </w:rPr>
      </w:pPr>
    </w:p>
    <w:p w:rsidR="00206CBD" w:rsidRDefault="00C108DB">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CellMar>
          <w:left w:w="0" w:type="dxa"/>
          <w:right w:w="0" w:type="dxa"/>
        </w:tblCellMar>
        <w:tblLook w:val="04A0" w:firstRow="1" w:lastRow="0" w:firstColumn="1" w:lastColumn="0" w:noHBand="0" w:noVBand="1"/>
      </w:tblPr>
      <w:tblGrid>
        <w:gridCol w:w="1637"/>
        <w:gridCol w:w="3230"/>
        <w:gridCol w:w="1316"/>
        <w:gridCol w:w="1375"/>
        <w:gridCol w:w="1194"/>
        <w:gridCol w:w="1195"/>
        <w:gridCol w:w="1329"/>
        <w:gridCol w:w="1267"/>
        <w:gridCol w:w="1401"/>
        <w:gridCol w:w="1615"/>
      </w:tblGrid>
      <w:tr w:rsidR="00206CB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206CBD" w:rsidRDefault="00C108DB">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206CBD">
        <w:trPr>
          <w:trHeight w:val="328"/>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rsidR="00206CBD" w:rsidRDefault="00C108DB">
            <w:pPr>
              <w:rPr>
                <w:rFonts w:cs="宋体" w:hint="default"/>
                <w:color w:val="000000"/>
                <w:sz w:val="20"/>
                <w:szCs w:val="20"/>
              </w:rPr>
            </w:pPr>
            <w:r>
              <w:rPr>
                <w:rFonts w:cs="宋体"/>
                <w:sz w:val="20"/>
                <w:szCs w:val="20"/>
              </w:rPr>
              <w:t>单位：</w:t>
            </w:r>
            <w:r>
              <w:rPr>
                <w:sz w:val="20"/>
              </w:rPr>
              <w:t>垫江县重点项目服务中心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rsidR="00206CBD" w:rsidRDefault="00C108D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206CBD">
        <w:trPr>
          <w:trHeight w:val="328"/>
        </w:trPr>
        <w:tc>
          <w:tcPr>
            <w:tcW w:w="1903" w:type="pct"/>
            <w:gridSpan w:val="3"/>
            <w:vMerge/>
            <w:tcBorders>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rsidR="00206CBD" w:rsidRDefault="00C108D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06CBD">
        <w:trPr>
          <w:trHeight w:val="431"/>
        </w:trPr>
        <w:tc>
          <w:tcPr>
            <w:tcW w:w="146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06CBD" w:rsidRDefault="00C108DB">
            <w:pPr>
              <w:jc w:val="center"/>
              <w:textAlignment w:val="bottom"/>
              <w:rPr>
                <w:rFonts w:cs="宋体" w:hint="default"/>
                <w:b/>
                <w:color w:val="000000"/>
                <w:sz w:val="20"/>
                <w:szCs w:val="20"/>
              </w:rPr>
            </w:pPr>
            <w:r>
              <w:rPr>
                <w:rFonts w:cs="宋体"/>
                <w:b/>
                <w:color w:val="000000"/>
                <w:sz w:val="20"/>
                <w:szCs w:val="20"/>
              </w:rPr>
              <w:t>项目</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本年收入合计</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财政拨款收入</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上级补助收入</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C108DB">
            <w:pPr>
              <w:jc w:val="center"/>
              <w:textAlignment w:val="bottom"/>
              <w:rPr>
                <w:rFonts w:cs="宋体" w:hint="default"/>
                <w:b/>
                <w:color w:val="000000"/>
                <w:sz w:val="20"/>
                <w:szCs w:val="20"/>
              </w:rPr>
            </w:pPr>
            <w:r>
              <w:rPr>
                <w:rFonts w:cs="宋体"/>
                <w:b/>
                <w:color w:val="000000"/>
                <w:sz w:val="20"/>
                <w:szCs w:val="20"/>
              </w:rPr>
              <w:t>事业收入</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经营收入</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附属单位上缴收入</w:t>
            </w:r>
          </w:p>
        </w:tc>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其他收入</w:t>
            </w:r>
          </w:p>
        </w:tc>
      </w:tr>
      <w:tr w:rsidR="00206CBD">
        <w:trPr>
          <w:trHeight w:val="334"/>
        </w:trPr>
        <w:tc>
          <w:tcPr>
            <w:tcW w:w="46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小计</w:t>
            </w:r>
          </w:p>
        </w:tc>
        <w:tc>
          <w:tcPr>
            <w:tcW w:w="4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其中：教育收费</w:t>
            </w: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38"/>
        </w:trPr>
        <w:tc>
          <w:tcPr>
            <w:tcW w:w="146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合计</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187.72</w:t>
            </w:r>
            <w:r>
              <w:rPr>
                <w:rFonts w:ascii="Times New Roman" w:hAnsi="Times New Roman"/>
                <w:b/>
                <w:color w:val="000000"/>
                <w:sz w:val="20"/>
              </w:rPr>
              <w:t xml:space="preserve"> </w:t>
            </w:r>
          </w:p>
        </w:tc>
        <w:tc>
          <w:tcPr>
            <w:tcW w:w="4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187.72</w:t>
            </w:r>
            <w:r>
              <w:rPr>
                <w:rFonts w:ascii="Times New Roman" w:hAnsi="Times New Roman"/>
                <w:b/>
                <w:color w:val="000000"/>
                <w:sz w:val="20"/>
              </w:rPr>
              <w:t xml:space="preserve"> </w:t>
            </w:r>
          </w:p>
        </w:tc>
        <w:tc>
          <w:tcPr>
            <w:tcW w:w="3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一般公共服务支出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132.00</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20104</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发展与改革事务</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132.00</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2010450</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事业运行</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132.00</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教育支出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20508</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进修及培训</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2050803</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培训支出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208</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社会保障和就业支出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20805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行政事业单位养老支出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2080505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机关事业单位基本养老保险缴费支出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25.13</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25.13</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2080506</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机关事业单位职业年金缴费支出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12.65</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12.65</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210</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卫生健康支出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21011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行政事业单位医疗</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2101102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事业单位医疗</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221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住房保障支出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22102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住房改革支出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2210201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住房公积金</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11.92</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11.92</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06CBD" w:rsidRDefault="00C108DB">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p>
    <w:p w:rsidR="00206CBD" w:rsidRDefault="00C108DB">
      <w:pPr>
        <w:rPr>
          <w:rFonts w:cs="宋体" w:hint="default"/>
          <w:sz w:val="20"/>
          <w:szCs w:val="20"/>
        </w:rPr>
      </w:pPr>
      <w:r>
        <w:rPr>
          <w:rFonts w:cs="宋体"/>
          <w:sz w:val="20"/>
          <w:szCs w:val="20"/>
        </w:rPr>
        <w:lastRenderedPageBreak/>
        <w:br w:type="page"/>
      </w:r>
    </w:p>
    <w:tbl>
      <w:tblPr>
        <w:tblW w:w="5000" w:type="pct"/>
        <w:tblCellMar>
          <w:left w:w="0" w:type="dxa"/>
          <w:right w:w="0" w:type="dxa"/>
        </w:tblCellMar>
        <w:tblLook w:val="04A0" w:firstRow="1" w:lastRow="0" w:firstColumn="1" w:lastColumn="0" w:noHBand="0" w:noVBand="1"/>
      </w:tblPr>
      <w:tblGrid>
        <w:gridCol w:w="1637"/>
        <w:gridCol w:w="3543"/>
        <w:gridCol w:w="1652"/>
        <w:gridCol w:w="1701"/>
        <w:gridCol w:w="1634"/>
        <w:gridCol w:w="1566"/>
        <w:gridCol w:w="1701"/>
        <w:gridCol w:w="1944"/>
      </w:tblGrid>
      <w:tr w:rsidR="00206CB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06CBD" w:rsidRDefault="00C108DB">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206CBD">
        <w:trPr>
          <w:trHeight w:val="342"/>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rsidR="00206CBD" w:rsidRDefault="00C108D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垫江县重点项目服务中心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06CBD" w:rsidRDefault="00C108D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206CBD">
        <w:trPr>
          <w:trHeight w:val="342"/>
        </w:trPr>
        <w:tc>
          <w:tcPr>
            <w:tcW w:w="2187" w:type="pct"/>
            <w:gridSpan w:val="3"/>
            <w:vMerge/>
            <w:tcBorders>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06CBD" w:rsidRDefault="00C108D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06CBD">
        <w:trPr>
          <w:trHeight w:val="362"/>
        </w:trPr>
        <w:tc>
          <w:tcPr>
            <w:tcW w:w="164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C108DB">
            <w:pPr>
              <w:jc w:val="center"/>
              <w:textAlignment w:val="bottom"/>
              <w:rPr>
                <w:rFonts w:cs="宋体" w:hint="default"/>
                <w:b/>
                <w:color w:val="000000"/>
                <w:sz w:val="20"/>
                <w:szCs w:val="20"/>
              </w:rPr>
            </w:pPr>
            <w:r>
              <w:rPr>
                <w:rFonts w:cs="宋体"/>
                <w:b/>
                <w:color w:val="000000"/>
                <w:sz w:val="20"/>
                <w:szCs w:val="20"/>
              </w:rPr>
              <w:t>项目</w:t>
            </w:r>
          </w:p>
        </w:tc>
        <w:tc>
          <w:tcPr>
            <w:tcW w:w="54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本年支出合计</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基本支出</w:t>
            </w:r>
          </w:p>
        </w:tc>
        <w:tc>
          <w:tcPr>
            <w:tcW w:w="5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项目支出</w:t>
            </w:r>
          </w:p>
        </w:tc>
        <w:tc>
          <w:tcPr>
            <w:tcW w:w="51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上缴上级支出</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对附属单位补助支出</w:t>
            </w:r>
          </w:p>
        </w:tc>
      </w:tr>
      <w:tr w:rsidR="00206CBD">
        <w:trPr>
          <w:trHeight w:val="338"/>
        </w:trPr>
        <w:tc>
          <w:tcPr>
            <w:tcW w:w="484"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38"/>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38"/>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26"/>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06CBD" w:rsidRDefault="00206CBD">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62"/>
        </w:trPr>
        <w:tc>
          <w:tcPr>
            <w:tcW w:w="164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合计</w:t>
            </w:r>
          </w:p>
        </w:tc>
        <w:tc>
          <w:tcPr>
            <w:tcW w:w="54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188.58</w:t>
            </w:r>
            <w:r>
              <w:rPr>
                <w:rFonts w:ascii="Times New Roman" w:hAnsi="Times New Roman"/>
                <w:b/>
                <w:color w:val="000000"/>
                <w:sz w:val="20"/>
              </w:rPr>
              <w:t xml:space="preserve"> </w:t>
            </w:r>
          </w:p>
        </w:tc>
        <w:tc>
          <w:tcPr>
            <w:tcW w:w="56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188.58</w:t>
            </w:r>
            <w:r>
              <w:rPr>
                <w:rFonts w:ascii="Times New Roman" w:hAnsi="Times New Roman"/>
                <w:b/>
                <w:color w:val="000000"/>
                <w:sz w:val="20"/>
              </w:rPr>
              <w:t xml:space="preserve"> </w:t>
            </w:r>
          </w:p>
        </w:tc>
        <w:tc>
          <w:tcPr>
            <w:tcW w:w="5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一般公共服务支出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132.86</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132.86</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20104</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发展与改革事务</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132.86</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132.86</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2010450</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事业运行</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132.86</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132.86</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教育支出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20508</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进修及培训</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2050803</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培训支出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208</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社会保障和就业支出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20805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行政事业单位养老支出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2080505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机关事业单位基本养老保险缴费支出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25.13</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25.13</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2080506</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机关事业单位职业年金缴费支出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12.65</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12.65</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210</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卫生健康支出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21011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行政事业单位医疗</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2101102</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事业单位医疗</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221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住房保障支出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22102</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住房改革支出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2210201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住房公积金</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11.92</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11.92</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06CBD" w:rsidRDefault="00C108DB">
      <w:pPr>
        <w:rPr>
          <w:rFonts w:cs="宋体" w:hint="default"/>
          <w:sz w:val="20"/>
          <w:szCs w:val="20"/>
        </w:rPr>
      </w:pPr>
      <w:r>
        <w:rPr>
          <w:rFonts w:cs="宋体"/>
          <w:sz w:val="20"/>
          <w:szCs w:val="20"/>
        </w:rPr>
        <w:br/>
      </w:r>
    </w:p>
    <w:p w:rsidR="00206CBD" w:rsidRDefault="00C108DB">
      <w:pPr>
        <w:rPr>
          <w:rFonts w:cs="宋体" w:hint="default"/>
          <w:sz w:val="21"/>
          <w:szCs w:val="21"/>
        </w:rPr>
      </w:pPr>
      <w:r>
        <w:rPr>
          <w:rFonts w:cs="宋体"/>
          <w:sz w:val="21"/>
          <w:szCs w:val="21"/>
        </w:rPr>
        <w:lastRenderedPageBreak/>
        <w:br w:type="page"/>
      </w:r>
    </w:p>
    <w:p w:rsidR="00206CBD" w:rsidRDefault="00206CBD">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79"/>
        <w:gridCol w:w="1526"/>
        <w:gridCol w:w="3191"/>
        <w:gridCol w:w="1700"/>
        <w:gridCol w:w="1700"/>
        <w:gridCol w:w="1700"/>
        <w:gridCol w:w="1936"/>
      </w:tblGrid>
      <w:tr w:rsidR="00206CB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06CBD" w:rsidRDefault="00C108DB">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206CB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206CBD" w:rsidRDefault="00C108DB">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垫江县重点项目服务中心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06CBD" w:rsidRDefault="00C108DB">
            <w:pPr>
              <w:spacing w:line="24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206CB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06CBD" w:rsidRDefault="00C108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06CB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206CB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206CB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187.72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132.86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132.86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187.72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188.58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188.58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ascii="Times New Roman" w:hAnsi="Times New Roman" w:hint="default"/>
                <w:color w:val="000000"/>
                <w:sz w:val="18"/>
                <w:szCs w:val="18"/>
              </w:rPr>
            </w:pP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r>
      <w:tr w:rsidR="00206C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192.51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192.51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192.51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206CBD" w:rsidRDefault="00C108DB">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492"/>
        <w:gridCol w:w="3909"/>
        <w:gridCol w:w="3319"/>
        <w:gridCol w:w="3312"/>
        <w:gridCol w:w="3346"/>
      </w:tblGrid>
      <w:tr w:rsidR="00206CB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206CBD" w:rsidRDefault="00C108DB">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206CBD">
        <w:trPr>
          <w:trHeight w:val="255"/>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rsidR="00206CBD" w:rsidRDefault="00C108D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垫江县重点项目服务中心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rsidR="00206CBD" w:rsidRDefault="00C108D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206CBD">
        <w:trPr>
          <w:trHeight w:val="285"/>
        </w:trPr>
        <w:tc>
          <w:tcPr>
            <w:tcW w:w="2835" w:type="pct"/>
            <w:gridSpan w:val="3"/>
            <w:vMerge/>
            <w:tcBorders>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rsidR="00206CBD" w:rsidRDefault="00C108D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06CBD">
        <w:trPr>
          <w:trHeight w:val="308"/>
        </w:trPr>
        <w:tc>
          <w:tcPr>
            <w:tcW w:w="175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项目</w:t>
            </w:r>
          </w:p>
        </w:tc>
        <w:tc>
          <w:tcPr>
            <w:tcW w:w="3243"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本年支出</w:t>
            </w:r>
          </w:p>
        </w:tc>
      </w:tr>
      <w:tr w:rsidR="00206CBD">
        <w:trPr>
          <w:trHeight w:val="326"/>
        </w:trPr>
        <w:tc>
          <w:tcPr>
            <w:tcW w:w="4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合计</w:t>
            </w:r>
          </w:p>
        </w:tc>
        <w:tc>
          <w:tcPr>
            <w:tcW w:w="107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基本支出</w:t>
            </w:r>
          </w:p>
        </w:tc>
        <w:tc>
          <w:tcPr>
            <w:tcW w:w="108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项目支出</w:t>
            </w:r>
          </w:p>
        </w:tc>
      </w:tr>
      <w:tr w:rsidR="00206CBD">
        <w:trPr>
          <w:trHeight w:val="326"/>
        </w:trPr>
        <w:tc>
          <w:tcPr>
            <w:tcW w:w="4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27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07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08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615"/>
        </w:trPr>
        <w:tc>
          <w:tcPr>
            <w:tcW w:w="4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27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07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08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08"/>
        </w:trPr>
        <w:tc>
          <w:tcPr>
            <w:tcW w:w="1756"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188.58</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188.58</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132.86</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132.86</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20104</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发展与改革事务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132.86</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132.86</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2010450</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132.86</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132.86</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20508</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进修及培训</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0.01</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2050803</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培训支出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208</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20805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37.78</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2080505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25.13</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25.13</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2080506</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12.65</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12.65</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210</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21011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2101102</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221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22102</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11.92</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06C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2210201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11.92</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11.92</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06CBD" w:rsidRDefault="00C108DB">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06CBD" w:rsidRDefault="00C108DB">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605"/>
        <w:gridCol w:w="2740"/>
        <w:gridCol w:w="1376"/>
        <w:gridCol w:w="836"/>
        <w:gridCol w:w="1923"/>
        <w:gridCol w:w="1656"/>
        <w:gridCol w:w="808"/>
        <w:gridCol w:w="3527"/>
        <w:gridCol w:w="1889"/>
      </w:tblGrid>
      <w:tr w:rsidR="00206CB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206CBD" w:rsidRDefault="00C108DB">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206CBD">
        <w:trPr>
          <w:trHeight w:val="90"/>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rsidR="00206CBD" w:rsidRDefault="00C108DB">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垫江县重点项目服务中心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206CBD" w:rsidRDefault="00C108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206CBD">
        <w:trPr>
          <w:trHeight w:val="90"/>
        </w:trPr>
        <w:tc>
          <w:tcPr>
            <w:tcW w:w="2435" w:type="pct"/>
            <w:gridSpan w:val="5"/>
            <w:vMerge/>
            <w:tcBorders>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206CBD" w:rsidRDefault="00C108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06CBD">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3463"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206CBD">
        <w:trPr>
          <w:trHeight w:val="312"/>
        </w:trPr>
        <w:tc>
          <w:tcPr>
            <w:tcW w:w="197"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206CBD">
        <w:trPr>
          <w:trHeight w:val="312"/>
        </w:trPr>
        <w:tc>
          <w:tcPr>
            <w:tcW w:w="197"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89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44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62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53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114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c>
          <w:tcPr>
            <w:tcW w:w="6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spacing w:line="200" w:lineRule="exact"/>
              <w:jc w:val="center"/>
              <w:rPr>
                <w:rFonts w:cs="宋体" w:hint="default"/>
                <w:b/>
                <w:color w:val="000000"/>
                <w:sz w:val="18"/>
                <w:szCs w:val="18"/>
              </w:rPr>
            </w:pP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173.53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15.05</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310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32.30</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4.19</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31001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31002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31003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31005</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82.14</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31006</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25.13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31007</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12.65</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31008</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6.01</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31009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0.17</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0.53</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31011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11.92</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31012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31013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31019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31021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0.01</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31022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31099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312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30304</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31201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31203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31204</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31205</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6.73</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31206</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31299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399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39907</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39908</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3.58</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39909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39910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39999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r>
      <w:tr w:rsidR="00206C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r>
      <w:tr w:rsidR="00206CBD">
        <w:trPr>
          <w:trHeight w:val="155"/>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206CBD">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spacing w:line="200" w:lineRule="exact"/>
              <w:jc w:val="right"/>
              <w:rPr>
                <w:rFonts w:ascii="Times New Roman" w:hAnsi="Times New Roman" w:hint="default"/>
                <w:color w:val="000000"/>
                <w:sz w:val="18"/>
                <w:szCs w:val="18"/>
              </w:rPr>
            </w:pPr>
          </w:p>
        </w:tc>
      </w:tr>
      <w:tr w:rsidR="00206CBD">
        <w:trPr>
          <w:trHeight w:val="310"/>
        </w:trPr>
        <w:tc>
          <w:tcPr>
            <w:tcW w:w="1089"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C108DB">
            <w:pPr>
              <w:wordWrap w:val="0"/>
              <w:spacing w:line="2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173.53</w:t>
            </w:r>
            <w:r>
              <w:rPr>
                <w:rFonts w:ascii="Times New Roman" w:hAnsi="Times New Roman"/>
                <w:color w:val="000000"/>
                <w:sz w:val="18"/>
              </w:rPr>
              <w:t xml:space="preserve"> </w:t>
            </w:r>
          </w:p>
        </w:tc>
        <w:tc>
          <w:tcPr>
            <w:tcW w:w="284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61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15.05</w:t>
            </w:r>
            <w:r>
              <w:rPr>
                <w:rFonts w:ascii="Times New Roman" w:hAnsi="Times New Roman"/>
                <w:color w:val="000000"/>
                <w:sz w:val="18"/>
              </w:rPr>
              <w:t xml:space="preserve"> </w:t>
            </w:r>
          </w:p>
        </w:tc>
      </w:tr>
    </w:tbl>
    <w:p w:rsidR="00206CBD" w:rsidRDefault="00C108DB">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642"/>
        <w:gridCol w:w="3297"/>
        <w:gridCol w:w="1707"/>
        <w:gridCol w:w="1707"/>
        <w:gridCol w:w="1707"/>
        <w:gridCol w:w="1707"/>
        <w:gridCol w:w="1772"/>
        <w:gridCol w:w="1839"/>
      </w:tblGrid>
      <w:tr w:rsidR="00206CB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06CBD" w:rsidRDefault="00C108DB">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206CBD">
        <w:trPr>
          <w:trHeight w:val="329"/>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rsidR="00206CBD" w:rsidRDefault="00C108D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垫江县重点项目服务中心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rsidR="00206CBD" w:rsidRDefault="00C108D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206CBD">
        <w:trPr>
          <w:trHeight w:val="329"/>
        </w:trPr>
        <w:tc>
          <w:tcPr>
            <w:tcW w:w="2161" w:type="pct"/>
            <w:gridSpan w:val="3"/>
            <w:vMerge/>
            <w:tcBorders>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rsidR="00206CBD" w:rsidRDefault="00C108D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06CBD">
        <w:trPr>
          <w:trHeight w:val="339"/>
        </w:trPr>
        <w:tc>
          <w:tcPr>
            <w:tcW w:w="160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本年支出</w:t>
            </w:r>
          </w:p>
        </w:tc>
        <w:tc>
          <w:tcPr>
            <w:tcW w:w="5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年末结转和结余</w:t>
            </w:r>
          </w:p>
        </w:tc>
      </w:tr>
      <w:tr w:rsidR="00206CBD">
        <w:trPr>
          <w:trHeight w:val="335"/>
        </w:trPr>
        <w:tc>
          <w:tcPr>
            <w:tcW w:w="53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功能分类科目编码</w:t>
            </w:r>
          </w:p>
        </w:tc>
        <w:tc>
          <w:tcPr>
            <w:tcW w:w="10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项目支出</w:t>
            </w: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35"/>
        </w:trPr>
        <w:tc>
          <w:tcPr>
            <w:tcW w:w="53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0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645"/>
        </w:trPr>
        <w:tc>
          <w:tcPr>
            <w:tcW w:w="53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0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39"/>
        </w:trPr>
        <w:tc>
          <w:tcPr>
            <w:tcW w:w="1606"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06CBD">
        <w:trPr>
          <w:trHeight w:val="349"/>
        </w:trPr>
        <w:tc>
          <w:tcPr>
            <w:tcW w:w="53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jc w:val="both"/>
              <w:textAlignment w:val="center"/>
              <w:rPr>
                <w:rFonts w:cs="宋体" w:hint="default"/>
                <w:color w:val="000000"/>
                <w:sz w:val="20"/>
                <w:szCs w:val="20"/>
              </w:rPr>
            </w:pPr>
          </w:p>
        </w:tc>
        <w:tc>
          <w:tcPr>
            <w:tcW w:w="10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06CBD" w:rsidRDefault="00C108DB">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206CBD" w:rsidRDefault="00C108DB">
      <w:pPr>
        <w:rPr>
          <w:rFonts w:cs="宋体" w:hint="default"/>
          <w:sz w:val="21"/>
          <w:szCs w:val="21"/>
        </w:rPr>
      </w:pP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2008"/>
        <w:gridCol w:w="2928"/>
        <w:gridCol w:w="3276"/>
        <w:gridCol w:w="200"/>
        <w:gridCol w:w="3475"/>
        <w:gridCol w:w="77"/>
        <w:gridCol w:w="3414"/>
      </w:tblGrid>
      <w:tr w:rsidR="00206CB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06CBD" w:rsidRDefault="00C108DB">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206CB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206CBD" w:rsidRDefault="00C108D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垫江县重点项目服务中心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206CBD" w:rsidRDefault="00C108D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206CB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06CBD" w:rsidRDefault="00206CBD">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206CBD" w:rsidRDefault="00C108D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06CBD">
        <w:trPr>
          <w:trHeight w:val="422"/>
        </w:trPr>
        <w:tc>
          <w:tcPr>
            <w:tcW w:w="160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C108DB">
            <w:pPr>
              <w:jc w:val="center"/>
              <w:textAlignment w:val="bottom"/>
              <w:rPr>
                <w:rFonts w:cs="宋体" w:hint="default"/>
                <w:b/>
                <w:color w:val="000000"/>
                <w:sz w:val="20"/>
                <w:szCs w:val="20"/>
              </w:rPr>
            </w:pPr>
            <w:r>
              <w:rPr>
                <w:rFonts w:cs="宋体"/>
                <w:b/>
                <w:color w:val="000000"/>
                <w:sz w:val="20"/>
                <w:szCs w:val="20"/>
              </w:rPr>
              <w:t>项目</w:t>
            </w:r>
          </w:p>
        </w:tc>
        <w:tc>
          <w:tcPr>
            <w:tcW w:w="3394"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06CBD" w:rsidRDefault="00C108DB">
            <w:pPr>
              <w:jc w:val="center"/>
              <w:textAlignment w:val="bottom"/>
              <w:rPr>
                <w:rFonts w:cs="宋体" w:hint="default"/>
                <w:b/>
                <w:color w:val="000000"/>
                <w:sz w:val="20"/>
                <w:szCs w:val="20"/>
              </w:rPr>
            </w:pPr>
            <w:r>
              <w:rPr>
                <w:rFonts w:cs="宋体"/>
                <w:b/>
                <w:color w:val="000000"/>
                <w:sz w:val="20"/>
                <w:szCs w:val="20"/>
              </w:rPr>
              <w:t>本年支出</w:t>
            </w:r>
          </w:p>
        </w:tc>
      </w:tr>
      <w:tr w:rsidR="00206CBD">
        <w:trPr>
          <w:trHeight w:val="339"/>
        </w:trPr>
        <w:tc>
          <w:tcPr>
            <w:tcW w:w="65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功能分类科目编码</w:t>
            </w:r>
          </w:p>
        </w:tc>
        <w:tc>
          <w:tcPr>
            <w:tcW w:w="95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项目支出</w:t>
            </w:r>
          </w:p>
        </w:tc>
      </w:tr>
      <w:tr w:rsidR="00206CBD">
        <w:trPr>
          <w:trHeight w:val="339"/>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39"/>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326"/>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06CBD" w:rsidRDefault="00206CBD">
            <w:pPr>
              <w:jc w:val="center"/>
              <w:rPr>
                <w:rFonts w:cs="宋体" w:hint="default"/>
                <w:b/>
                <w:color w:val="000000"/>
                <w:sz w:val="20"/>
                <w:szCs w:val="20"/>
              </w:rPr>
            </w:pPr>
          </w:p>
        </w:tc>
      </w:tr>
      <w:tr w:rsidR="00206CBD">
        <w:trPr>
          <w:trHeight w:val="611"/>
        </w:trPr>
        <w:tc>
          <w:tcPr>
            <w:tcW w:w="160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CBD" w:rsidRDefault="00C108DB">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jc w:val="right"/>
              <w:rPr>
                <w:rFonts w:ascii="Times New Roman" w:hAnsi="Times New Roman"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06CBD">
        <w:trPr>
          <w:trHeight w:val="488"/>
        </w:trPr>
        <w:tc>
          <w:tcPr>
            <w:tcW w:w="6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textAlignment w:val="center"/>
              <w:rPr>
                <w:rFonts w:cs="宋体" w:hint="default"/>
                <w:color w:val="000000"/>
                <w:sz w:val="20"/>
                <w:szCs w:val="20"/>
              </w:rPr>
            </w:pPr>
          </w:p>
        </w:tc>
        <w:tc>
          <w:tcPr>
            <w:tcW w:w="9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206CBD">
            <w:pPr>
              <w:jc w:val="right"/>
              <w:rPr>
                <w:rFonts w:ascii="Times New Roman" w:hAnsi="Times New Roman"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6CBD" w:rsidRDefault="00C108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206CBD" w:rsidRDefault="00C108DB">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206CBD" w:rsidRDefault="00C108DB">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88"/>
        <w:gridCol w:w="2425"/>
        <w:gridCol w:w="2383"/>
        <w:gridCol w:w="3684"/>
        <w:gridCol w:w="2502"/>
      </w:tblGrid>
      <w:tr w:rsidR="00206CBD">
        <w:trPr>
          <w:trHeight w:val="343"/>
        </w:trPr>
        <w:tc>
          <w:tcPr>
            <w:tcW w:w="5000" w:type="pct"/>
            <w:gridSpan w:val="5"/>
            <w:shd w:val="clear" w:color="auto" w:fill="auto"/>
            <w:noWrap/>
            <w:tcMar>
              <w:top w:w="15" w:type="dxa"/>
              <w:left w:w="15" w:type="dxa"/>
              <w:right w:w="15" w:type="dxa"/>
            </w:tcMar>
            <w:vAlign w:val="bottom"/>
          </w:tcPr>
          <w:p w:rsidR="00206CBD" w:rsidRDefault="00C108DB">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206CBD">
        <w:trPr>
          <w:trHeight w:val="244"/>
        </w:trPr>
        <w:tc>
          <w:tcPr>
            <w:tcW w:w="1124" w:type="pct"/>
            <w:shd w:val="clear" w:color="auto" w:fill="auto"/>
            <w:noWrap/>
            <w:tcMar>
              <w:top w:w="15" w:type="dxa"/>
              <w:left w:w="15" w:type="dxa"/>
              <w:right w:w="15" w:type="dxa"/>
            </w:tcMar>
            <w:vAlign w:val="bottom"/>
          </w:tcPr>
          <w:p w:rsidR="00206CBD" w:rsidRDefault="00206CBD">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206CBD" w:rsidRDefault="00206CBD">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206CBD" w:rsidRDefault="00206CBD">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206CBD" w:rsidRDefault="00206CBD">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206CBD" w:rsidRDefault="00C108DB">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206CB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206CBD" w:rsidRDefault="00C108DB">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垫江县重点项目服务中心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206CBD" w:rsidRDefault="00206CBD">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206CBD" w:rsidRDefault="00206CBD">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206CBD" w:rsidRDefault="00C108DB">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206CB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206CB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06CB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206CB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206CBD">
            <w:pPr>
              <w:spacing w:line="280" w:lineRule="exact"/>
              <w:jc w:val="right"/>
              <w:rPr>
                <w:rFonts w:cs="宋体" w:hint="default"/>
                <w:color w:val="000000"/>
                <w:kern w:val="2"/>
                <w:sz w:val="16"/>
                <w:szCs w:val="16"/>
              </w:rPr>
            </w:pPr>
          </w:p>
        </w:tc>
      </w:tr>
      <w:tr w:rsidR="00206CB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206CB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206CBD">
            <w:pPr>
              <w:spacing w:line="280" w:lineRule="exact"/>
              <w:jc w:val="right"/>
              <w:rPr>
                <w:rFonts w:cs="宋体" w:hint="default"/>
                <w:color w:val="000000"/>
                <w:kern w:val="2"/>
                <w:sz w:val="16"/>
                <w:szCs w:val="16"/>
              </w:rPr>
            </w:pPr>
          </w:p>
        </w:tc>
      </w:tr>
      <w:tr w:rsidR="00206CB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C108DB">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C108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0.53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06CBD" w:rsidRDefault="00206CBD">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06CBD" w:rsidRDefault="00206CBD">
            <w:pPr>
              <w:spacing w:line="280" w:lineRule="exact"/>
              <w:jc w:val="right"/>
              <w:rPr>
                <w:rFonts w:cs="宋体" w:hint="default"/>
                <w:color w:val="000000"/>
                <w:sz w:val="16"/>
                <w:szCs w:val="16"/>
              </w:rPr>
            </w:pPr>
          </w:p>
        </w:tc>
      </w:tr>
    </w:tbl>
    <w:p w:rsidR="00206CBD" w:rsidRDefault="00C108DB">
      <w:pPr>
        <w:rPr>
          <w:rFonts w:cs="宋体" w:hint="default"/>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206CBD">
      <w:headerReference w:type="default" r:id="rId8"/>
      <w:footerReference w:type="default" r:id="rId9"/>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12" w:rsidRDefault="00083012">
      <w:pPr>
        <w:rPr>
          <w:rFonts w:hint="default"/>
        </w:rPr>
      </w:pPr>
      <w:r>
        <w:separator/>
      </w:r>
    </w:p>
  </w:endnote>
  <w:endnote w:type="continuationSeparator" w:id="0">
    <w:p w:rsidR="00083012" w:rsidRDefault="0008301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8DB" w:rsidRDefault="00C108DB">
    <w:pPr>
      <w:pStyle w:val="a6"/>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108DB" w:rsidRDefault="00C108DB">
                          <w:pPr>
                            <w:pStyle w:val="a6"/>
                            <w:rPr>
                              <w:rFonts w:hint="default"/>
                            </w:rPr>
                          </w:pPr>
                          <w:r>
                            <w:fldChar w:fldCharType="begin"/>
                          </w:r>
                          <w:r>
                            <w:instrText xml:space="preserve"> PAGE  \* MERGEFORMAT </w:instrText>
                          </w:r>
                          <w:r>
                            <w:fldChar w:fldCharType="separate"/>
                          </w:r>
                          <w:r w:rsidR="008A2407">
                            <w:rPr>
                              <w:rFonts w:hint="default"/>
                              <w:noProof/>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C108DB" w:rsidRDefault="00C108DB">
                    <w:pPr>
                      <w:pStyle w:val="a6"/>
                      <w:rPr>
                        <w:rFonts w:hint="default"/>
                      </w:rPr>
                    </w:pPr>
                    <w:r>
                      <w:fldChar w:fldCharType="begin"/>
                    </w:r>
                    <w:r>
                      <w:instrText xml:space="preserve"> PAGE  \* MERGEFORMAT </w:instrText>
                    </w:r>
                    <w:r>
                      <w:fldChar w:fldCharType="separate"/>
                    </w:r>
                    <w:r w:rsidR="008A2407">
                      <w:rPr>
                        <w:rFonts w:hint="default"/>
                        <w:noProof/>
                      </w:rPr>
                      <w:t>- 11 -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8DB" w:rsidRDefault="00C108DB">
    <w:pPr>
      <w:pStyle w:val="a6"/>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108DB" w:rsidRDefault="00C108DB">
                          <w:pPr>
                            <w:pStyle w:val="a6"/>
                            <w:rPr>
                              <w:rFonts w:hint="default"/>
                            </w:rPr>
                          </w:pPr>
                          <w:r>
                            <w:t xml:space="preserve"> </w:t>
                          </w:r>
                          <w:r>
                            <w:fldChar w:fldCharType="begin"/>
                          </w:r>
                          <w:r>
                            <w:instrText>PAGE   \* MERGEFORMAT</w:instrText>
                          </w:r>
                          <w:r>
                            <w:fldChar w:fldCharType="separate"/>
                          </w:r>
                          <w:r w:rsidR="008A2407" w:rsidRPr="008A2407">
                            <w:rPr>
                              <w:rFonts w:hint="default"/>
                              <w:noProof/>
                              <w:lang w:val="zh-CN"/>
                            </w:rPr>
                            <w:t>-</w:t>
                          </w:r>
                          <w:r w:rsidR="008A2407">
                            <w:rPr>
                              <w:rFonts w:hint="default"/>
                              <w:noProof/>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C108DB" w:rsidRDefault="00C108DB">
                    <w:pPr>
                      <w:pStyle w:val="a6"/>
                      <w:rPr>
                        <w:rFonts w:hint="default"/>
                      </w:rPr>
                    </w:pPr>
                    <w:r>
                      <w:t xml:space="preserve"> </w:t>
                    </w:r>
                    <w:r>
                      <w:fldChar w:fldCharType="begin"/>
                    </w:r>
                    <w:r>
                      <w:instrText>PAGE   \* MERGEFORMAT</w:instrText>
                    </w:r>
                    <w:r>
                      <w:fldChar w:fldCharType="separate"/>
                    </w:r>
                    <w:r w:rsidR="008A2407" w:rsidRPr="008A2407">
                      <w:rPr>
                        <w:rFonts w:hint="default"/>
                        <w:noProof/>
                        <w:lang w:val="zh-CN"/>
                      </w:rPr>
                      <w:t>-</w:t>
                    </w:r>
                    <w:r w:rsidR="008A2407">
                      <w:rPr>
                        <w:rFonts w:hint="default"/>
                        <w:noProof/>
                      </w:rPr>
                      <w:t xml:space="preserve"> 12 -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C108DB" w:rsidRDefault="00C108DB">
                          <w:pPr>
                            <w:pStyle w:val="a6"/>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C108DB" w:rsidRDefault="00C108DB">
                    <w:pPr>
                      <w:pStyle w:val="a6"/>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12" w:rsidRDefault="00083012">
      <w:pPr>
        <w:rPr>
          <w:rFonts w:hint="default"/>
        </w:rPr>
      </w:pPr>
      <w:r>
        <w:separator/>
      </w:r>
    </w:p>
  </w:footnote>
  <w:footnote w:type="continuationSeparator" w:id="0">
    <w:p w:rsidR="00083012" w:rsidRDefault="0008301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8DB" w:rsidRDefault="00C108DB">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83012"/>
    <w:rsid w:val="0011759F"/>
    <w:rsid w:val="001D3BB7"/>
    <w:rsid w:val="00206CBD"/>
    <w:rsid w:val="002B254B"/>
    <w:rsid w:val="00466C9B"/>
    <w:rsid w:val="00550ABE"/>
    <w:rsid w:val="00770383"/>
    <w:rsid w:val="007819D4"/>
    <w:rsid w:val="007B419D"/>
    <w:rsid w:val="007B7C4B"/>
    <w:rsid w:val="007D3D39"/>
    <w:rsid w:val="008A2407"/>
    <w:rsid w:val="00994AF7"/>
    <w:rsid w:val="009B67B8"/>
    <w:rsid w:val="009D2B67"/>
    <w:rsid w:val="00A566F9"/>
    <w:rsid w:val="00AF2751"/>
    <w:rsid w:val="00B03CCD"/>
    <w:rsid w:val="00BE2B89"/>
    <w:rsid w:val="00C108DB"/>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783ED0"/>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5D16937"/>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63082"/>
  <w15:docId w15:val="{42550936-E92F-408E-A9D9-AAEC04AD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hAnsi="Courier New"/>
      <w:sz w:val="20"/>
      <w:szCs w:val="20"/>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5">
    <w:name w:val="批注框文本 字符"/>
    <w:basedOn w:val="a0"/>
    <w:link w:val="a4"/>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2031</Words>
  <Characters>11581</Characters>
  <Application>Microsoft Office Word</Application>
  <DocSecurity>0</DocSecurity>
  <Lines>96</Lines>
  <Paragraphs>27</Paragraphs>
  <ScaleCrop>false</ScaleCrop>
  <Company>微软中国</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13</cp:revision>
  <dcterms:created xsi:type="dcterms:W3CDTF">2024-07-11T02:00:00Z</dcterms:created>
  <dcterms:modified xsi:type="dcterms:W3CDTF">2025-09-12T02:43:00Z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