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overflowPunct/>
        <w:topLinePunct w:val="0"/>
        <w:autoSpaceDN/>
        <w:bidi w:val="0"/>
        <w:spacing w:before="0" w:beforeAutospacing="0" w:after="0" w:afterAutospacing="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垫江县民防（应急）指挥信息保障中心</w:t>
      </w:r>
    </w:p>
    <w:p>
      <w:pPr>
        <w:pStyle w:val="6"/>
        <w:keepNext w:val="0"/>
        <w:keepLines w:val="0"/>
        <w:pageBreakBefore w:val="0"/>
        <w:kinsoku/>
        <w:overflowPunct/>
        <w:topLinePunct w:val="0"/>
        <w:autoSpaceDN/>
        <w:bidi w:val="0"/>
        <w:spacing w:before="0" w:beforeAutospacing="0" w:after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hint="default" w:ascii="Times New Roman" w:hAnsi="Times New Roman" w:eastAsia="方正小标宋_GBK" w:cs="Times New Roman"/>
          <w:sz w:val="44"/>
          <w:szCs w:val="44"/>
          <w:shd w:val="clear" w:color="auto" w:fill="FFFFFF"/>
        </w:rPr>
        <w:t>年度决算公开说明</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3" w:firstLineChars="200"/>
        <w:rPr>
          <w:rFonts w:hint="default" w:ascii="Times New Roman" w:hAnsi="Times New Roman" w:eastAsia="黑体" w:cs="Times New Roman"/>
          <w:sz w:val="32"/>
          <w:szCs w:val="32"/>
        </w:rPr>
      </w:pPr>
      <w:r>
        <w:rPr>
          <w:rStyle w:val="10"/>
          <w:rFonts w:hint="default" w:ascii="Times New Roman" w:hAnsi="Times New Roman" w:eastAsia="黑体" w:cs="Times New Roman"/>
          <w:sz w:val="32"/>
          <w:szCs w:val="32"/>
          <w:shd w:val="clear" w:color="auto" w:fill="FFFFFF"/>
        </w:rPr>
        <w:t>一、单位基本情况</w:t>
      </w:r>
      <w:bookmarkStart w:id="0" w:name="_GoBack"/>
      <w:bookmarkEnd w:id="0"/>
    </w:p>
    <w:p>
      <w:pPr>
        <w:pStyle w:val="6"/>
        <w:keepNext w:val="0"/>
        <w:keepLines w:val="0"/>
        <w:pageBreakBefore w:val="0"/>
        <w:shd w:val="clear" w:color="auto" w:fill="FFFFFF"/>
        <w:kinsoku/>
        <w:overflowPunct/>
        <w:topLinePunct w:val="0"/>
        <w:autoSpaceDN/>
        <w:bidi w:val="0"/>
        <w:spacing w:beforeAutospacing="0" w:afterAutospacing="0" w:line="594" w:lineRule="exact"/>
        <w:ind w:firstLine="420"/>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楷体" w:cs="Times New Roman"/>
          <w:color w:val="000000" w:themeColor="text1"/>
          <w:sz w:val="32"/>
          <w:szCs w:val="32"/>
          <w:shd w:val="clear" w:color="auto" w:fill="FFFFFF"/>
          <w14:textFill>
            <w14:solidFill>
              <w14:schemeClr w14:val="tx1"/>
            </w14:solidFill>
          </w14:textFill>
        </w:rPr>
        <w:t>（一）职能职责</w:t>
      </w:r>
    </w:p>
    <w:p>
      <w:pPr>
        <w:pStyle w:val="12"/>
        <w:keepNext w:val="0"/>
        <w:keepLines w:val="0"/>
        <w:pageBreakBefore w:val="0"/>
        <w:shd w:val="clear" w:color="auto" w:fill="FFFFFF"/>
        <w:kinsoku/>
        <w:overflowPunct/>
        <w:topLinePunct w:val="0"/>
        <w:autoSpaceDE w:val="0"/>
        <w:autoSpaceDN/>
        <w:bidi w:val="0"/>
        <w:spacing w:beforeAutospacing="0" w:afterAutospacing="0" w:line="594" w:lineRule="exact"/>
        <w:ind w:firstLine="640" w:firstLineChars="200"/>
        <w:jc w:val="both"/>
        <w:rPr>
          <w:rFonts w:hint="default" w:ascii="Times New Roman" w:hAnsi="Times New Roman" w:eastAsia="方正仿宋_GBK" w:cs="Times New Roman"/>
          <w:color w:val="000000" w:themeColor="text1"/>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执行县委、县政府及县人防指挥部组织指挥防空袭斗争信息保障任务。</w:t>
      </w:r>
    </w:p>
    <w:p>
      <w:pPr>
        <w:pStyle w:val="12"/>
        <w:keepNext w:val="0"/>
        <w:keepLines w:val="0"/>
        <w:pageBreakBefore w:val="0"/>
        <w:shd w:val="clear" w:color="auto" w:fill="FFFFFF"/>
        <w:kinsoku/>
        <w:overflowPunct/>
        <w:topLinePunct w:val="0"/>
        <w:autoSpaceDE w:val="0"/>
        <w:autoSpaceDN/>
        <w:bidi w:val="0"/>
        <w:spacing w:beforeAutospacing="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为防灾救灾和突发公共事件应急处置指挥提供通信保障。</w:t>
      </w:r>
    </w:p>
    <w:p>
      <w:pPr>
        <w:pStyle w:val="12"/>
        <w:keepNext w:val="0"/>
        <w:keepLines w:val="0"/>
        <w:pageBreakBefore w:val="0"/>
        <w:shd w:val="clear" w:color="auto" w:fill="FFFFFF"/>
        <w:kinsoku/>
        <w:overflowPunct/>
        <w:topLinePunct w:val="0"/>
        <w:autoSpaceDE w:val="0"/>
        <w:autoSpaceDN/>
        <w:bidi w:val="0"/>
        <w:spacing w:beforeAutospacing="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负责民防（应急）信息化建设，承担指挥中心、机动指挥车辆的日常维护和管理，保证设施设备及信息系统运行良好。</w:t>
      </w:r>
    </w:p>
    <w:p>
      <w:pPr>
        <w:pStyle w:val="12"/>
        <w:keepNext w:val="0"/>
        <w:keepLines w:val="0"/>
        <w:pageBreakBefore w:val="0"/>
        <w:shd w:val="clear" w:color="auto" w:fill="FFFFFF"/>
        <w:kinsoku/>
        <w:overflowPunct/>
        <w:topLinePunct w:val="0"/>
        <w:autoSpaceDE w:val="0"/>
        <w:autoSpaceDN/>
        <w:bidi w:val="0"/>
        <w:spacing w:beforeAutospacing="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承担民防（应急）指挥信息系统值班与战备执勤，及时收集、处理、传递各类情报和指挥信息。</w:t>
      </w:r>
    </w:p>
    <w:p>
      <w:pPr>
        <w:pStyle w:val="12"/>
        <w:keepNext w:val="0"/>
        <w:keepLines w:val="0"/>
        <w:pageBreakBefore w:val="0"/>
        <w:shd w:val="clear" w:color="auto" w:fill="FFFFFF"/>
        <w:kinsoku/>
        <w:overflowPunct/>
        <w:topLinePunct w:val="0"/>
        <w:autoSpaceDE w:val="0"/>
        <w:autoSpaceDN/>
        <w:bidi w:val="0"/>
        <w:spacing w:beforeAutospacing="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负责防空警报系统维护管理，组织和保障城市防空警报试鸣，按照上级命令发放灾情警报和防空警报信号。</w:t>
      </w:r>
    </w:p>
    <w:p>
      <w:pPr>
        <w:pStyle w:val="12"/>
        <w:keepNext w:val="0"/>
        <w:keepLines w:val="0"/>
        <w:pageBreakBefore w:val="0"/>
        <w:shd w:val="clear" w:color="auto" w:fill="FFFFFF"/>
        <w:kinsoku/>
        <w:overflowPunct/>
        <w:topLinePunct w:val="0"/>
        <w:autoSpaceDE w:val="0"/>
        <w:autoSpaceDN/>
        <w:bidi w:val="0"/>
        <w:spacing w:beforeAutospacing="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负责组织实施指挥信息保障人员业务技能培训和民防应急指挥通信训（演）练。</w:t>
      </w:r>
    </w:p>
    <w:p>
      <w:pPr>
        <w:pStyle w:val="12"/>
        <w:keepNext w:val="0"/>
        <w:keepLines w:val="0"/>
        <w:pageBreakBefore w:val="0"/>
        <w:shd w:val="clear" w:color="auto" w:fill="FFFFFF"/>
        <w:kinsoku/>
        <w:overflowPunct/>
        <w:topLinePunct w:val="0"/>
        <w:autoSpaceDE w:val="0"/>
        <w:autoSpaceDN/>
        <w:bidi w:val="0"/>
        <w:spacing w:beforeAutospacing="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负责为县委、县政府的视频会议及其他重要会议提供保障。</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420"/>
        <w:rPr>
          <w:rFonts w:hint="default" w:ascii="Times New Roman" w:hAnsi="Times New Roman" w:eastAsia="楷体" w:cs="Times New Roman"/>
          <w:color w:val="000000" w:themeColor="text1"/>
          <w:sz w:val="32"/>
          <w:szCs w:val="32"/>
          <w14:textFill>
            <w14:solidFill>
              <w14:schemeClr w14:val="tx1"/>
            </w14:solidFill>
          </w14:textFill>
        </w:rPr>
      </w:pPr>
      <w:r>
        <w:rPr>
          <w:rStyle w:val="10"/>
          <w:rFonts w:hint="default" w:ascii="Times New Roman" w:hAnsi="Times New Roman" w:eastAsia="楷体" w:cs="Times New Roman"/>
          <w:color w:val="000000" w:themeColor="text1"/>
          <w:sz w:val="32"/>
          <w:szCs w:val="32"/>
          <w:shd w:val="clear" w:color="auto" w:fill="FFFFFF"/>
          <w14:textFill>
            <w14:solidFill>
              <w14:schemeClr w14:val="tx1"/>
            </w14:solidFill>
          </w14:textFill>
        </w:rPr>
        <w:t>（二）机构设置</w:t>
      </w:r>
    </w:p>
    <w:p>
      <w:pPr>
        <w:pStyle w:val="12"/>
        <w:keepNext w:val="0"/>
        <w:keepLines w:val="0"/>
        <w:pageBreakBefore w:val="0"/>
        <w:shd w:val="clear" w:color="auto" w:fill="FFFFFF"/>
        <w:kinsoku/>
        <w:overflowPunct/>
        <w:topLinePunct w:val="0"/>
        <w:autoSpaceDE w:val="0"/>
        <w:autoSpaceDN/>
        <w:bidi w:val="0"/>
        <w:spacing w:beforeAutospacing="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本单位无内设机构。</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二、单位决算收支情况说明</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3" w:firstLineChars="200"/>
        <w:rPr>
          <w:rFonts w:hint="default" w:ascii="Times New Roman" w:hAnsi="Times New Roman" w:eastAsia="方正仿宋_GBK" w:cs="Times New Roman"/>
          <w:color w:val="FF0000"/>
          <w:sz w:val="32"/>
          <w:szCs w:val="32"/>
          <w:shd w:val="clear" w:color="auto" w:fill="FFFFFF"/>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2024年度收入总计65.03万元，支出总计</w:t>
      </w:r>
      <w:r>
        <w:rPr>
          <w:rFonts w:hint="default" w:ascii="Times New Roman" w:hAnsi="Times New Roman" w:eastAsia="方正仿宋_GBK" w:cs="Times New Roman"/>
          <w:sz w:val="32"/>
          <w:szCs w:val="32"/>
        </w:rPr>
        <w:t>65.03</w:t>
      </w:r>
      <w:r>
        <w:rPr>
          <w:rFonts w:hint="default" w:ascii="Times New Roman" w:hAnsi="Times New Roman" w:eastAsia="方正仿宋_GBK" w:cs="Times New Roman"/>
          <w:sz w:val="32"/>
          <w:szCs w:val="32"/>
          <w:shd w:val="clear" w:color="auto" w:fill="FFFFFF"/>
        </w:rPr>
        <w:t>万元。收、支与2023年度相比，减少25.10万元，下降27.85%，主要原因是2024年年初预算2人，较上年减少2人，预算经费减少。</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3" w:firstLineChars="200"/>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2024年度收入合计65.03万元，与2023年度相比，减少25.10万元，下降27.85%，主要原因是2024年年初预算2人，较上年减少2人，预算经费减少。其中：财政拨款收入</w:t>
      </w:r>
      <w:r>
        <w:rPr>
          <w:rFonts w:hint="default" w:ascii="Times New Roman" w:hAnsi="Times New Roman" w:eastAsia="方正仿宋_GBK" w:cs="Times New Roman"/>
          <w:sz w:val="32"/>
          <w:szCs w:val="32"/>
        </w:rPr>
        <w:t>65.03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3" w:firstLineChars="200"/>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65.03</w:t>
      </w:r>
      <w:r>
        <w:rPr>
          <w:rFonts w:hint="default" w:ascii="Times New Roman" w:hAnsi="Times New Roman" w:eastAsia="方正仿宋_GBK" w:cs="Times New Roman"/>
          <w:sz w:val="32"/>
          <w:szCs w:val="32"/>
          <w:shd w:val="clear" w:color="auto" w:fill="FFFFFF"/>
        </w:rPr>
        <w:t>万元，与2023年度相比，减少25.10万元，下降27.85%，主要原因是2024年年初预算2人，较上年减少2人，预算经费减少。其中：基本支出</w:t>
      </w:r>
      <w:r>
        <w:rPr>
          <w:rFonts w:hint="default" w:ascii="Times New Roman" w:hAnsi="Times New Roman" w:eastAsia="方正仿宋_GBK" w:cs="Times New Roman"/>
          <w:sz w:val="32"/>
          <w:szCs w:val="32"/>
        </w:rPr>
        <w:t>65.03</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rPr>
        <w:t>主要是本年度与上年度均无结转结余</w:t>
      </w:r>
      <w:r>
        <w:rPr>
          <w:rFonts w:hint="default" w:ascii="Times New Roman" w:hAnsi="Times New Roman" w:eastAsia="方正仿宋_GBK" w:cs="Times New Roman"/>
          <w:sz w:val="32"/>
          <w:szCs w:val="32"/>
          <w:shd w:val="clear" w:color="auto" w:fill="FFFFFF"/>
        </w:rPr>
        <w:t>。</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2024年度财政拨款收、支总计65.03万元。与2022年相比，财政拨款收、支总计各减少25.10万元，下降27.85%。主要原因是2024年年初预算2人，较上年减少2人，预算经费减少。</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3" w:firstLineChars="200"/>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65.03</w:t>
      </w:r>
      <w:r>
        <w:rPr>
          <w:rFonts w:hint="default" w:ascii="Times New Roman" w:hAnsi="Times New Roman" w:eastAsia="方正仿宋_GBK" w:cs="Times New Roman"/>
          <w:sz w:val="32"/>
          <w:szCs w:val="32"/>
          <w:shd w:val="clear" w:color="auto" w:fill="FFFFFF"/>
        </w:rPr>
        <w:t>万元，与2023年度相比，减少25.10万元，下降27.85%。主要原因是2024年年初预算2人，较上年减少2人，预算经费减少。较年初预算数增加21.48万元，增长49.32%。主要原因是新调入2人，工资及保险等人员经费增加。此外，年初财政拨款结转和结余0.00万元。</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65.03</w:t>
      </w:r>
      <w:r>
        <w:rPr>
          <w:rFonts w:hint="default" w:ascii="Times New Roman" w:hAnsi="Times New Roman" w:eastAsia="方正仿宋_GBK" w:cs="Times New Roman"/>
          <w:sz w:val="32"/>
          <w:szCs w:val="32"/>
          <w:shd w:val="clear" w:color="auto" w:fill="FFFFFF"/>
        </w:rPr>
        <w:t>万元，与2023年度相比，减少25.10万元，下降27.85%。主要原因是2024年年初预算2人，较上年减少2人，预算经费减少。较年初预算数增加21.48万元，增长49.32%。主要原因是新调入2人，工资及保险等人员经费增加。</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rPr>
        <w:t>主要是本年度与上年度均无结转结余</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39.87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61.31</w:t>
      </w:r>
      <w:r>
        <w:rPr>
          <w:rFonts w:hint="default" w:ascii="Times New Roman" w:hAnsi="Times New Roman" w:eastAsia="方正仿宋_GBK" w:cs="Times New Roman"/>
          <w:sz w:val="32"/>
          <w:szCs w:val="32"/>
          <w:shd w:val="clear" w:color="auto" w:fill="FFFFFF"/>
        </w:rPr>
        <w:t>%，较年初预算数增加3.13万元，增长8.52%，主要原因是人员调动，工资级别差异。</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（2）教育支出</w:t>
      </w:r>
      <w:r>
        <w:rPr>
          <w:rFonts w:hint="default" w:ascii="Times New Roman" w:hAnsi="Times New Roman" w:eastAsia="方正仿宋_GBK" w:cs="Times New Roman"/>
          <w:sz w:val="32"/>
          <w:szCs w:val="32"/>
        </w:rPr>
        <w:t>0.01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0.02</w:t>
      </w:r>
      <w:r>
        <w:rPr>
          <w:rFonts w:hint="default" w:ascii="Times New Roman" w:hAnsi="Times New Roman" w:eastAsia="方正仿宋_GBK" w:cs="Times New Roman"/>
          <w:sz w:val="32"/>
          <w:szCs w:val="32"/>
          <w:shd w:val="clear" w:color="auto" w:fill="FFFFFF"/>
        </w:rPr>
        <w:t>%，较年初预算数减少0.10万元，下降90.91%，主要原因是厉行节约、压减支出。</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（3）社会保障与就业支出</w:t>
      </w:r>
      <w:r>
        <w:rPr>
          <w:rFonts w:hint="default" w:ascii="Times New Roman" w:hAnsi="Times New Roman" w:eastAsia="方正仿宋_GBK" w:cs="Times New Roman"/>
          <w:sz w:val="32"/>
          <w:szCs w:val="32"/>
        </w:rPr>
        <w:t>17.31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26.62</w:t>
      </w:r>
      <w:r>
        <w:rPr>
          <w:rFonts w:hint="default" w:ascii="Times New Roman" w:hAnsi="Times New Roman" w:eastAsia="方正仿宋_GBK" w:cs="Times New Roman"/>
          <w:sz w:val="32"/>
          <w:szCs w:val="32"/>
          <w:shd w:val="clear" w:color="auto" w:fill="FFFFFF"/>
        </w:rPr>
        <w:t>%，较年初预算数增加13.81万元，增长394.57%，主要原因是按照相关政策规定，补缴了2022-2023年养老保险、职业年金基数维护部分。</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（4）卫生健康支出</w:t>
      </w:r>
      <w:r>
        <w:rPr>
          <w:rFonts w:hint="default" w:ascii="Times New Roman" w:hAnsi="Times New Roman" w:eastAsia="方正仿宋_GBK" w:cs="Times New Roman"/>
          <w:sz w:val="32"/>
          <w:szCs w:val="32"/>
        </w:rPr>
        <w:t>2.92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4.48</w:t>
      </w:r>
      <w:r>
        <w:rPr>
          <w:rFonts w:hint="default" w:ascii="Times New Roman" w:hAnsi="Times New Roman" w:eastAsia="方正仿宋_GBK" w:cs="Times New Roman"/>
          <w:sz w:val="32"/>
          <w:szCs w:val="32"/>
          <w:shd w:val="clear" w:color="auto" w:fill="FFFFFF"/>
        </w:rPr>
        <w:t>%，较年初预算数增加1.46万元，增长100.00%，主要原因是人员调动，工资级别差异，缴费基数增加。</w:t>
      </w:r>
    </w:p>
    <w:p>
      <w:pPr>
        <w:keepNext w:val="0"/>
        <w:keepLines w:val="0"/>
        <w:pageBreakBefore w:val="0"/>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住房保障支出4.92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7.57</w:t>
      </w:r>
      <w:r>
        <w:rPr>
          <w:rFonts w:hint="default" w:ascii="Times New Roman" w:hAnsi="Times New Roman" w:eastAsia="方正仿宋_GBK" w:cs="Times New Roman"/>
          <w:sz w:val="32"/>
          <w:szCs w:val="32"/>
          <w:shd w:val="clear" w:color="auto" w:fill="FFFFFF"/>
        </w:rPr>
        <w:t>%，较年初预算数增加3.17万元，增长181.14%，主要原因是人员调动，工资级别差异，缴费基数增加。</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65.03</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65.02</w:t>
      </w:r>
      <w:r>
        <w:rPr>
          <w:rFonts w:hint="default" w:ascii="Times New Roman" w:hAnsi="Times New Roman" w:eastAsia="方正仿宋_GBK" w:cs="Times New Roman"/>
          <w:sz w:val="32"/>
          <w:szCs w:val="32"/>
          <w:shd w:val="clear" w:color="auto" w:fill="FFFFFF"/>
        </w:rPr>
        <w:t>万元，与2023年度相比，减少9.19万元，下降12.38%，主要原因是因人员调动原因，全年预算数减少。人员经费用途主要包括</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基本工资、绩效工资、津贴补贴、社会保障缴费等。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0.01</w:t>
      </w:r>
      <w:r>
        <w:rPr>
          <w:rFonts w:hint="default" w:ascii="Times New Roman" w:hAnsi="Times New Roman" w:eastAsia="方正仿宋_GBK" w:cs="Times New Roman"/>
          <w:sz w:val="32"/>
          <w:szCs w:val="32"/>
          <w:shd w:val="clear" w:color="auto" w:fill="FFFFFF"/>
        </w:rPr>
        <w:t>万元，与2023年度相比，减少15.91万元，下降99.94%，主要原因是因人员经费预算不足，将公用经费调剂到人员经费支出。公用经费用途主要包括</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培训费、办公费、差旅费、福利费、工作餐费。</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w:t>
      </w: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rPr>
        <w:t>年度无国有资本经营预算财政拨款支出。</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三、财政拨款“三公”经费情况说明</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（一）“三公”经费支出总体情况说明</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2024年度“三公”经费支出共计0.00万元，较年初预算数减少6.00万元，下降100.00%，主要原因是本年度本单位公车运行费在发改委机关列支。较上年支出数减少7.63万元，下降100.00%，主要原因是本年度</w:t>
      </w:r>
      <w:r>
        <w:rPr>
          <w:rFonts w:hint="default" w:ascii="Times New Roman" w:hAnsi="Times New Roman" w:eastAsia="方正仿宋_GBK" w:cs="Times New Roman"/>
          <w:sz w:val="32"/>
          <w:szCs w:val="32"/>
          <w:shd w:val="clear" w:color="auto" w:fill="FFFFFF"/>
          <w:lang w:val="en-US" w:eastAsia="zh-CN"/>
        </w:rPr>
        <w:t>未发生</w:t>
      </w:r>
      <w:r>
        <w:rPr>
          <w:rFonts w:hint="default" w:ascii="Times New Roman" w:hAnsi="Times New Roman" w:eastAsia="方正仿宋_GBK" w:cs="Times New Roman"/>
          <w:sz w:val="32"/>
          <w:szCs w:val="32"/>
          <w:shd w:val="clear" w:color="auto" w:fill="FFFFFF"/>
        </w:rPr>
        <w:t>公车运行费</w:t>
      </w:r>
      <w:r>
        <w:rPr>
          <w:rFonts w:hint="default" w:ascii="Times New Roman" w:hAnsi="Times New Roman" w:eastAsia="方正仿宋_GBK" w:cs="Times New Roman"/>
          <w:sz w:val="32"/>
          <w:szCs w:val="32"/>
          <w:shd w:val="clear" w:color="auto" w:fill="FFFFFF"/>
          <w:lang w:val="en-US" w:eastAsia="zh-CN"/>
        </w:rPr>
        <w:t>及</w:t>
      </w:r>
      <w:r>
        <w:rPr>
          <w:rFonts w:hint="default" w:ascii="Times New Roman" w:hAnsi="Times New Roman" w:eastAsia="方正仿宋_GBK" w:cs="Times New Roman"/>
          <w:sz w:val="32"/>
          <w:szCs w:val="32"/>
          <w:shd w:val="clear" w:color="auto" w:fill="FFFFFF"/>
        </w:rPr>
        <w:t>公务接待费。</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6"/>
        <w:keepNext w:val="0"/>
        <w:keepLines w:val="0"/>
        <w:pageBreakBefore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keepNext w:val="0"/>
        <w:keepLines w:val="0"/>
        <w:pageBreakBefore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 公务车</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运行维护费0.00万元，主要用于公务用车燃料费、维修费、保险费、过路过桥费、停车费及相关费用等。费用支出较年初预算数减少6.00万元，下降100.00%，主要原因是本年度</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未发生</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公车运行费。较上</w:t>
      </w:r>
      <w:r>
        <w:rPr>
          <w:rFonts w:hint="default" w:ascii="Times New Roman" w:hAnsi="Times New Roman" w:eastAsia="方正仿宋_GBK" w:cs="Times New Roman"/>
          <w:sz w:val="32"/>
          <w:szCs w:val="32"/>
          <w:shd w:val="clear" w:color="auto" w:fill="FFFFFF"/>
        </w:rPr>
        <w:t>年支出数减少6.63万元，下降100.00%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，主要原因是本年度</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未发生</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公车运行费。</w:t>
      </w:r>
    </w:p>
    <w:p>
      <w:pPr>
        <w:keepNext w:val="0"/>
        <w:keepLines w:val="0"/>
        <w:pageBreakBefore w:val="0"/>
        <w:kinsoku/>
        <w:overflowPunct/>
        <w:topLinePunct w:val="0"/>
        <w:autoSpaceDN/>
        <w:bidi w:val="0"/>
        <w:spacing w:beforeAutospacing="0" w:afterAutospacing="0" w:line="594" w:lineRule="exac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万元，主要用于接待接待全国各地企业考察我县民防建设项目。费用支出较年初预算数无增减，主要原因是本年度未发生接待费。较上年支出数减少1.00万元，下降100.00%，主要原因是本年度未发生接待费。</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万元，与2023年度相比，无增减，主要原因是本年度未发生会议费。本年度培训费支出0.01万元，与2023年度相比，减少0.20万元，下降95.24%，主要原因是厉行节约、压减支出。</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2024年度本单位机关运行经费支出0.00万元，机关运行经费较上年支出数无增减，主要原因是</w:t>
      </w: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截至2024年12月31日，本单位共有车辆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keepNext w:val="0"/>
        <w:keepLines w:val="0"/>
        <w:pageBreakBefore w:val="0"/>
        <w:kinsoku/>
        <w:overflowPunct/>
        <w:topLinePunct w:val="0"/>
        <w:autoSpaceDN/>
        <w:bidi w:val="0"/>
        <w:snapToGrid w:val="0"/>
        <w:spacing w:before="0" w:beforeAutospacing="0" w:after="0" w:afterAutospacing="0" w:line="594" w:lineRule="exact"/>
        <w:ind w:firstLine="960" w:firstLineChars="3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rPr>
        <w:t>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rPr>
        <w:t>年度我单位未发生政府采购事项，无相关经费支出。</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五、2024年度预算绩效管理情况说明</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w:t>
      </w:r>
    </w:p>
    <w:p>
      <w:pPr>
        <w:keepNext w:val="0"/>
        <w:keepLines w:val="0"/>
        <w:pageBreakBefore w:val="0"/>
        <w:widowControl w:val="0"/>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根据预算绩效管理要求，我单位为下属单位，2024年未开展项目自评，涉及项目支出资金0万元。</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pPr>
        <w:keepNext w:val="0"/>
        <w:keepLines w:val="0"/>
        <w:pageBreakBefore w:val="0"/>
        <w:widowControl w:val="0"/>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我单位未组织开展绩效评价。</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pPr>
        <w:keepNext w:val="0"/>
        <w:keepLines w:val="0"/>
        <w:pageBreakBefore w:val="0"/>
        <w:widowControl w:val="0"/>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县财政局未委托第三方对我单位开展绩效评价。</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  六、专业名词解释</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3" w:firstLineChars="200"/>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七、决算公开联系方式及信息反馈渠道</w:t>
      </w:r>
    </w:p>
    <w:p>
      <w:pPr>
        <w:pStyle w:val="11"/>
        <w:keepNext w:val="0"/>
        <w:keepLines w:val="0"/>
        <w:pageBreakBefore w:val="0"/>
        <w:kinsoku/>
        <w:overflowPunct/>
        <w:topLinePunct w:val="0"/>
        <w:autoSpaceDE w:val="0"/>
        <w:autoSpaceDN/>
        <w:bidi w:val="0"/>
        <w:spacing w:beforeAutospacing="0" w:afterAutospacing="0" w:line="594" w:lineRule="exact"/>
        <w:ind w:firstLine="0" w:firstLineChars="0"/>
        <w:rPr>
          <w:rStyle w:val="10"/>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rPr>
        <w:t>马老师023-74529950</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垫江县民防（应急）指挥信息保障中心</w:t>
            </w:r>
          </w:p>
        </w:tc>
        <w:tc>
          <w:tcPr>
            <w:tcW w:w="405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65.03</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39.87</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0.01</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17.31</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4.92</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65.03</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65.03</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65.03</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65.03</w:t>
            </w:r>
            <w:r>
              <w:rPr>
                <w:rFonts w:hint="default" w:ascii="Times New Roman" w:hAnsi="Times New Roman" w:cs="Times New Roman"/>
                <w:color w:val="000000"/>
                <w:sz w:val="20"/>
              </w:rPr>
              <w:t xml:space="preserve"> </w:t>
            </w:r>
          </w:p>
        </w:tc>
      </w:tr>
    </w:tbl>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1"/>
          <w:szCs w:val="21"/>
        </w:rPr>
      </w:pPr>
    </w:p>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垫江县民防（应急）指挥信息保障中心</w:t>
            </w:r>
          </w:p>
        </w:tc>
        <w:tc>
          <w:tcPr>
            <w:tcW w:w="137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65.03</w:t>
            </w:r>
            <w:r>
              <w:rPr>
                <w:rFonts w:hint="default" w:ascii="Times New Roman" w:hAnsi="Times New Roman" w:cs="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65.03</w:t>
            </w:r>
            <w:r>
              <w:rPr>
                <w:rFonts w:hint="default" w:ascii="Times New Roman" w:hAnsi="Times New Roman" w:cs="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发展与改革事务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2010450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39.87</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39.87</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0.01</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0.01</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11.57</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11.57</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5.75</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5.75</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4.92</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4.92</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keepNext w:val="0"/>
        <w:keepLines w:val="0"/>
        <w:pageBreakBefore w:val="0"/>
        <w:kinsoku/>
        <w:overflowPunct/>
        <w:topLinePunct w:val="0"/>
        <w:autoSpaceDN/>
        <w:bidi w:val="0"/>
        <w:spacing w:beforeAutospacing="0" w:afterAutospacing="0"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p>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垫江县民防（应急）指挥信息保障中心 </w:t>
            </w: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65.03</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65.03</w:t>
            </w:r>
            <w:r>
              <w:rPr>
                <w:rFonts w:hint="default" w:ascii="Times New Roman" w:hAnsi="Times New Roman" w:cs="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发展与改革事务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2010450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39.87</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39.87</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0.01</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0.01</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11.57</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11.57</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5.75</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5.75</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4.92</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4.92</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垫江县民防（应急）指挥信息保障中心</w:t>
            </w: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65.03</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39.87</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39.87</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17.31</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17.31</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4.92</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4.92</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65.03</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65.03</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65.03</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65.03</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65.03</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65.03</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垫江县民防（应急）指挥信息保障中心</w:t>
            </w:r>
          </w:p>
        </w:tc>
        <w:tc>
          <w:tcPr>
            <w:tcW w:w="331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65.03</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65.03</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发展与改革事务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2010450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39.87</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39.87</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0.01</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0.01</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11.57</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11.57</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5.75</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5.75</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2.92</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2.92</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4.92</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4.92</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kinsoku/>
        <w:overflowPunct/>
        <w:topLinePunct w:val="0"/>
        <w:autoSpaceDN/>
        <w:bidi w:val="0"/>
        <w:spacing w:beforeAutospacing="0" w:afterAutospacing="0" w:line="594"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垫江县民防（应急）指挥信息保障中心</w:t>
            </w:r>
          </w:p>
        </w:tc>
        <w:tc>
          <w:tcPr>
            <w:tcW w:w="16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65.02</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13.29</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0.49</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25.55</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11.57</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5.75</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0.03</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4.92</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0.32</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0.19</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wordWrap w:val="0"/>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65.02</w:t>
            </w:r>
            <w:r>
              <w:rPr>
                <w:rFonts w:hint="default" w:ascii="Times New Roman" w:hAnsi="Times New Roman" w:cs="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r>
              <w:rPr>
                <w:rFonts w:hint="default" w:ascii="Times New Roman" w:hAnsi="Times New Roman" w:cs="Times New Roman"/>
                <w:color w:val="000000"/>
                <w:sz w:val="18"/>
              </w:rPr>
              <w:t xml:space="preserve"> </w:t>
            </w:r>
          </w:p>
        </w:tc>
      </w:tr>
    </w:tbl>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垫江县民防（应急）指挥信息保障中心</w:t>
            </w: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both"/>
              <w:textAlignment w:val="center"/>
              <w:rPr>
                <w:rFonts w:hint="default" w:ascii="Times New Roman" w:hAnsi="Times New Roman" w:cs="Times New Roman"/>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both"/>
              <w:textAlignment w:val="center"/>
              <w:rPr>
                <w:rFonts w:hint="default" w:ascii="Times New Roman" w:hAnsi="Times New Roman" w:cs="Times New Roman"/>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垫江县民防（应急）指挥信息保障中心</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kern w:val="2"/>
                <w:sz w:val="20"/>
                <w:szCs w:val="20"/>
              </w:rPr>
            </w:pPr>
          </w:p>
        </w:tc>
        <w:tc>
          <w:tcPr>
            <w:tcW w:w="2425" w:type="dxa"/>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color w:val="000000"/>
                <w:kern w:val="2"/>
                <w:sz w:val="20"/>
                <w:szCs w:val="20"/>
              </w:rPr>
            </w:pPr>
          </w:p>
        </w:tc>
        <w:tc>
          <w:tcPr>
            <w:tcW w:w="2383" w:type="dxa"/>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kern w:val="2"/>
                <w:sz w:val="20"/>
                <w:szCs w:val="20"/>
              </w:rPr>
            </w:pPr>
          </w:p>
        </w:tc>
        <w:tc>
          <w:tcPr>
            <w:tcW w:w="3684" w:type="dxa"/>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kern w:val="2"/>
                <w:sz w:val="20"/>
                <w:szCs w:val="20"/>
              </w:rPr>
            </w:pPr>
          </w:p>
        </w:tc>
        <w:tc>
          <w:tcPr>
            <w:tcW w:w="2502" w:type="dxa"/>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垫江县民防（应急）指挥信息保障中心</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0.01</w:t>
            </w: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6"/>
                <w:szCs w:val="16"/>
              </w:rPr>
            </w:pPr>
          </w:p>
        </w:tc>
      </w:tr>
    </w:tbl>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67869"/>
    <w:rsid w:val="002B254B"/>
    <w:rsid w:val="00466C9B"/>
    <w:rsid w:val="00550ABE"/>
    <w:rsid w:val="0073063F"/>
    <w:rsid w:val="00770383"/>
    <w:rsid w:val="007819D4"/>
    <w:rsid w:val="007B419D"/>
    <w:rsid w:val="007B7C4B"/>
    <w:rsid w:val="007D3D39"/>
    <w:rsid w:val="00994AF7"/>
    <w:rsid w:val="009B67B8"/>
    <w:rsid w:val="009D2B67"/>
    <w:rsid w:val="00A566F9"/>
    <w:rsid w:val="00AE3BF1"/>
    <w:rsid w:val="00AF2751"/>
    <w:rsid w:val="00B03CCD"/>
    <w:rsid w:val="00BE2B89"/>
    <w:rsid w:val="00C10E9E"/>
    <w:rsid w:val="00C20C3E"/>
    <w:rsid w:val="00CF2ACF"/>
    <w:rsid w:val="00DC7D6A"/>
    <w:rsid w:val="00F73F90"/>
    <w:rsid w:val="00FB4B3B"/>
    <w:rsid w:val="011574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BDC671A"/>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3CE081B"/>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CD59EE"/>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D7938A1"/>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BE7112F"/>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23</Pages>
  <Words>2068</Words>
  <Characters>11790</Characters>
  <Lines>98</Lines>
  <Paragraphs>27</Paragraphs>
  <TotalTime>1</TotalTime>
  <ScaleCrop>false</ScaleCrop>
  <LinksUpToDate>false</LinksUpToDate>
  <CharactersWithSpaces>13831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Administrator</cp:lastModifiedBy>
  <dcterms:modified xsi:type="dcterms:W3CDTF">2025-12-11T03:13:58Z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