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overflowPunct/>
        <w:topLinePunct w:val="0"/>
        <w:autoSpaceDN/>
        <w:bidi w:val="0"/>
        <w:spacing w:before="0" w:beforeAutospacing="0" w:after="0" w:afterAutospacing="0"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垫江县经济信息中心（垫江县推动融入成渝地区双城经济圈建设服务中心）</w:t>
      </w:r>
    </w:p>
    <w:p>
      <w:pPr>
        <w:pStyle w:val="8"/>
        <w:keepNext w:val="0"/>
        <w:keepLines w:val="0"/>
        <w:pageBreakBefore w:val="0"/>
        <w:widowControl/>
        <w:kinsoku/>
        <w:overflowPunct/>
        <w:topLinePunct w:val="0"/>
        <w:autoSpaceDN/>
        <w:bidi w:val="0"/>
        <w:spacing w:before="0" w:beforeAutospacing="0" w:afterAutospacing="0" w:line="594"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Fonts w:hint="default" w:ascii="黑体" w:hAnsi="黑体" w:eastAsia="黑体" w:cs="黑体"/>
          <w:sz w:val="32"/>
          <w:szCs w:val="32"/>
        </w:rPr>
      </w:pPr>
      <w:bookmarkStart w:id="0" w:name="_GoBack"/>
      <w:bookmarkEnd w:id="0"/>
      <w:r>
        <w:rPr>
          <w:rStyle w:val="12"/>
          <w:rFonts w:ascii="黑体" w:hAnsi="黑体" w:eastAsia="黑体" w:cs="黑体"/>
          <w:sz w:val="32"/>
          <w:szCs w:val="32"/>
          <w:shd w:val="clear" w:color="auto" w:fill="FFFFFF"/>
        </w:rPr>
        <w:t>一、单位基本情况</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420"/>
        <w:rPr>
          <w:rStyle w:val="12"/>
          <w:rFonts w:hint="default" w:ascii="楷体" w:hAnsi="楷体" w:eastAsia="楷体" w:cs="楷体"/>
          <w:sz w:val="32"/>
          <w:szCs w:val="32"/>
          <w:shd w:val="clear" w:color="auto" w:fill="FFFFFF"/>
        </w:rPr>
      </w:pPr>
      <w:r>
        <w:rPr>
          <w:rStyle w:val="12"/>
          <w:rFonts w:ascii="楷体" w:hAnsi="楷体" w:eastAsia="楷体" w:cs="楷体"/>
          <w:sz w:val="32"/>
          <w:szCs w:val="32"/>
          <w:shd w:val="clear" w:color="auto" w:fill="FFFFFF"/>
        </w:rPr>
        <w:t>（一）职能职责</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1200" w:firstLineChars="375"/>
        <w:rPr>
          <w:rFonts w:hint="default" w:ascii="Times New Roman" w:hAnsi="Times New Roman" w:eastAsia="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建立经济信息网络，收集、储存、传递经济信息；建立数据库和资料档案；开展经济预测，设计经济模型，为领导决策提供依据；培训经济预测人员。具体职责任务：（</w:t>
      </w:r>
      <w:r>
        <w:rPr>
          <w:rFonts w:hint="default"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）建立经济信息网络，收集、储存、传递经济信息。（</w:t>
      </w:r>
      <w:r>
        <w:rPr>
          <w:rFonts w:hint="default" w:ascii="Times New Roman" w:hAnsi="Times New Roman" w:eastAsia="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14:textFill>
            <w14:solidFill>
              <w14:schemeClr w14:val="tx1"/>
            </w14:solidFill>
          </w14:textFill>
        </w:rPr>
        <w:t>）建立数据库和资料档案，为经济预测工作提供基础资料。（</w:t>
      </w:r>
      <w:r>
        <w:rPr>
          <w:rFonts w:hint="default" w:ascii="Times New Roman" w:hAnsi="Times New Roman" w:eastAsia="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）开展经济预测，设计经济模型，为全县国民经济各部门提供经济信息，为领导进行决策提供依据。（</w:t>
      </w:r>
      <w:r>
        <w:rPr>
          <w:rFonts w:hint="default"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）组织经济信息交流、传递，培训经济预测人员。</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14"/>
        <w:keepNext w:val="0"/>
        <w:keepLines w:val="0"/>
        <w:pageBreakBefore w:val="0"/>
        <w:widowControl/>
        <w:kinsoku/>
        <w:overflowPunct/>
        <w:topLinePunct w:val="0"/>
        <w:autoSpaceDE w:val="0"/>
        <w:autoSpaceDN/>
        <w:bidi w:val="0"/>
        <w:spacing w:before="0" w:beforeAutospacing="0" w:after="0" w:afterAutospacing="0"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本单位属行政副科级单位，设主任</w:t>
      </w:r>
      <w:r>
        <w:rPr>
          <w:rFonts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名，副主任</w:t>
      </w:r>
      <w:r>
        <w:rPr>
          <w:rFonts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名。</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2024年度收入总计259.19万元，支出总计</w:t>
      </w:r>
      <w:r>
        <w:rPr>
          <w:rFonts w:ascii="方正仿宋_GBK" w:hAnsi="方正仿宋_GBK" w:eastAsia="方正仿宋_GBK" w:cs="方正仿宋_GBK"/>
          <w:sz w:val="32"/>
          <w:szCs w:val="32"/>
        </w:rPr>
        <w:t>259.19</w:t>
      </w:r>
      <w:r>
        <w:rPr>
          <w:rFonts w:ascii="方正仿宋_GBK" w:hAnsi="方正仿宋_GBK" w:eastAsia="方正仿宋_GBK" w:cs="方正仿宋_GBK"/>
          <w:sz w:val="32"/>
          <w:szCs w:val="32"/>
          <w:shd w:val="clear" w:color="auto" w:fill="FFFFFF"/>
        </w:rPr>
        <w:t>万元。收、支与2023年度相比，增加93.69万元，增长56.61%，主要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机构改革，将垫江县节能监察中心并账到本单位，收入支出增加。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2024年度收入合计257.19万元，与2023年度相比，增加92.95万元，增长56.59%，主要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机构改革，将垫江县节能监察中心并账到本单位，收入增加。其中：财政拨款收入</w:t>
      </w:r>
      <w:r>
        <w:rPr>
          <w:rFonts w:ascii="方正仿宋_GBK" w:hAnsi="方正仿宋_GBK" w:eastAsia="方正仿宋_GBK" w:cs="方正仿宋_GBK"/>
          <w:sz w:val="32"/>
          <w:szCs w:val="32"/>
        </w:rPr>
        <w:t>257.19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255.81</w:t>
      </w:r>
      <w:r>
        <w:rPr>
          <w:rFonts w:ascii="方正仿宋_GBK" w:hAnsi="方正仿宋_GBK" w:eastAsia="方正仿宋_GBK" w:cs="方正仿宋_GBK"/>
          <w:sz w:val="32"/>
          <w:szCs w:val="32"/>
          <w:shd w:val="clear" w:color="auto" w:fill="FFFFFF"/>
        </w:rPr>
        <w:t>万元，与2023年度相比，增加91.57万元，增长55.75%，主要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机构改革，将垫江县节能监察中心并账到本单位，支出增加。其中：基本支出</w:t>
      </w:r>
      <w:r>
        <w:rPr>
          <w:rFonts w:ascii="方正仿宋_GBK" w:hAnsi="方正仿宋_GBK" w:eastAsia="方正仿宋_GBK" w:cs="方正仿宋_GBK"/>
          <w:sz w:val="32"/>
          <w:szCs w:val="32"/>
        </w:rPr>
        <w:t>255.81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万元，与2023年度相比，增加2.12万元，增长168.25%，主要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机构改革，将垫江县节能监察中心并账到本单位，收入支出结余均增加。</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2024年度财政拨款收、支总计259.19万元。与2022年相比，财政拨款收、支总计各增加93.69万元，增长56.61%。主要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机构改革，将垫江县节能监察中心并账到本单位，收入支出增加。</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57.19万元，与2023年度相比，增加92.95万元，增长56.59%。主要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机构改革，将垫江县节能监察中心并账到本单位，收入增加。较年初预算数增加98.90万元，增长62.48%。主要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机构改革，将垫江县节能监察中心并账到本单位，收入支出增加。此外，年初财政拨款结转和结余</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2024年度一般公共预算财政拨款支出255.81万元，与2023年度相比，增加91.57万元，增长55.75%。主要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机构改革，将垫江县节能监察中心并账到本单位，收入支出增加。较年初预算数增加97.52万元，增长61.61%。主要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机构改革，将垫江县节能监察中心并账到本单位，收入支出增加。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万元，与2023年度相比，增加2.12万元，增长168.25%，主要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机构改革，将垫江县节能监察中心并账到本单位，结余增加。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179.94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70.34</w:t>
      </w:r>
      <w:r>
        <w:rPr>
          <w:rFonts w:ascii="方正仿宋_GBK" w:hAnsi="方正仿宋_GBK" w:eastAsia="方正仿宋_GBK" w:cs="方正仿宋_GBK"/>
          <w:sz w:val="32"/>
          <w:szCs w:val="32"/>
          <w:shd w:val="clear" w:color="auto" w:fill="FFFFFF"/>
        </w:rPr>
        <w:t>%，较年初预算数增加51.33万元，增长39.91%，主要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机构改革，将垫江县节能监察中心并账到本单位，支出较年初预算数增加。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%，较年初预算数减少0.50万元，下降100.00%，主要原因是本年度培训费在机关支出。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49.97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19.53</w:t>
      </w:r>
      <w:r>
        <w:rPr>
          <w:rFonts w:ascii="方正仿宋_GBK" w:hAnsi="方正仿宋_GBK" w:eastAsia="方正仿宋_GBK" w:cs="方正仿宋_GBK"/>
          <w:sz w:val="32"/>
          <w:szCs w:val="32"/>
          <w:shd w:val="clear" w:color="auto" w:fill="FFFFFF"/>
        </w:rPr>
        <w:t>%，较年初预算数增加34.75万元，增长228.32%，主要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机构改革，将垫江县节能监察中心并账到本单位，支出较年初预算数增加。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8.52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w:t>
      </w:r>
      <w:r>
        <w:rPr>
          <w:rFonts w:ascii="方正仿宋_GBK" w:hAnsi="方正仿宋_GBK" w:eastAsia="方正仿宋_GBK" w:cs="方正仿宋_GBK"/>
          <w:sz w:val="32"/>
          <w:szCs w:val="32"/>
          <w:shd w:val="clear" w:color="auto" w:fill="FFFFFF"/>
        </w:rPr>
        <w:t>%，较年初预算数增加2.18万元，增长34.38%，主要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机构改革，将垫江县节能监察中心并账到本单位，支出较年初预算数增加。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住房保障支出17.37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%，较年初预算数增加9.76万元，增长128.25%，主要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机构改革，将垫江县节能监察中心并账到本单位，支出较年初预算数增加。</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255.81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235.76</w:t>
      </w:r>
      <w:r>
        <w:rPr>
          <w:rFonts w:ascii="方正仿宋_GBK" w:hAnsi="方正仿宋_GBK" w:eastAsia="方正仿宋_GBK" w:cs="方正仿宋_GBK"/>
          <w:sz w:val="32"/>
          <w:szCs w:val="32"/>
          <w:shd w:val="clear" w:color="auto" w:fill="FFFFFF"/>
        </w:rPr>
        <w:t>万元，与2023年度相比，增加87.49万元，增长59.01%，主要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机构改革，将垫江县节能监察中心并账到本单位，人员经费增加。人员经费用途主要包括</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w:t>
      </w:r>
      <w:r>
        <w:rPr>
          <w:rFonts w:ascii="方正仿宋_GBK" w:hAnsi="方正仿宋_GBK" w:eastAsia="方正仿宋_GBK" w:cs="方正仿宋_GBK"/>
          <w:color w:val="000000" w:themeColor="text1"/>
          <w:sz w:val="32"/>
          <w:szCs w:val="32"/>
          <w14:textFill>
            <w14:solidFill>
              <w14:schemeClr w14:val="tx1"/>
            </w14:solidFill>
          </w14:textFill>
        </w:rPr>
        <w:t>本工资、基础绩效工资、超额绩效工资、社会保障缴费、</w:t>
      </w:r>
      <w:r>
        <w:rPr>
          <w:rFonts w:ascii="方正仿宋_GBK" w:hAnsi="方正仿宋_GBK" w:eastAsia="方正仿宋_GBK" w:cs="方正仿宋_GBK"/>
          <w:sz w:val="32"/>
          <w:szCs w:val="32"/>
          <w:shd w:val="clear" w:color="auto" w:fill="FFFFFF"/>
        </w:rPr>
        <w:t>住房公积金、医疗费。公用经费20.04万元，与2023年度相比，增加4.06万元，增长25.41%，主要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机构改革，将垫江县节能监察中心并账到本单位，公用经费增加。公用经费用途主要包括办公费、差旅费、福利费、培训费、工会经费等。</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万元，与2023年度相比，无增减，主要原因是本年度未发生会议费。本年度培训费支出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万元，与2023年度相比，无变化，主要原因是本年度未发生培训费。</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800" w:firstLineChars="2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2024年度本单位机关运行经费支出0.00万元，机关运行经费较上年支出数无增减，主要原因是</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4"/>
        <w:keepNext w:val="0"/>
        <w:keepLines w:val="0"/>
        <w:pageBreakBefore w:val="0"/>
        <w:widowControl/>
        <w:kinsoku/>
        <w:overflowPunct/>
        <w:topLinePunct w:val="0"/>
        <w:autoSpaceDN/>
        <w:bidi w:val="0"/>
        <w:spacing w:before="0" w:beforeAutospacing="0" w:after="0" w:afterAutospacing="0" w:line="594"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keepNext w:val="0"/>
        <w:keepLines w:val="0"/>
        <w:pageBreakBefore w:val="0"/>
        <w:widowControl/>
        <w:kinsoku/>
        <w:overflowPunct/>
        <w:topLinePunct w:val="0"/>
        <w:autoSpaceDE w:val="0"/>
        <w:autoSpaceDN/>
        <w:bidi w:val="0"/>
        <w:spacing w:beforeAutospacing="0" w:afterAutospacing="0"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根据预算绩效管理要求，我单位为下属单位，202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年未开展项目自评，涉及项目支出资金0万元。</w:t>
      </w:r>
    </w:p>
    <w:p>
      <w:pPr>
        <w:pStyle w:val="13"/>
        <w:keepNext w:val="0"/>
        <w:keepLines w:val="0"/>
        <w:pageBreakBefore w:val="0"/>
        <w:widowControl/>
        <w:numPr>
          <w:ilvl w:val="0"/>
          <w:numId w:val="1"/>
        </w:numPr>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13"/>
        <w:keepNext w:val="0"/>
        <w:keepLines w:val="0"/>
        <w:pageBreakBefore w:val="0"/>
        <w:widowControl/>
        <w:kinsoku/>
        <w:overflowPunct/>
        <w:topLinePunct w:val="0"/>
        <w:autoSpaceDE w:val="0"/>
        <w:autoSpaceDN/>
        <w:bidi w:val="0"/>
        <w:spacing w:beforeAutospacing="0" w:afterAutospacing="0" w:line="594" w:lineRule="exact"/>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3"/>
        <w:keepNext w:val="0"/>
        <w:keepLines w:val="0"/>
        <w:pageBreakBefore w:val="0"/>
        <w:widowControl/>
        <w:kinsoku/>
        <w:overflowPunct/>
        <w:topLinePunct w:val="0"/>
        <w:autoSpaceDE w:val="0"/>
        <w:autoSpaceDN/>
        <w:bidi w:val="0"/>
        <w:spacing w:beforeAutospacing="0"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960" w:firstLineChars="3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  六、专业名词解释</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overflowPunct/>
        <w:topLinePunct w:val="0"/>
        <w:autoSpaceDN/>
        <w:bidi w:val="0"/>
        <w:spacing w:beforeAutospacing="0" w:afterAutospacing="0" w:line="594" w:lineRule="exact"/>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8"/>
        <w:keepNext w:val="0"/>
        <w:keepLines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本单位决算公开信息反馈和联系方式：马老师023-74529950。</w:t>
      </w: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Arial" w:hAnsi="Arial" w:cs="Arial"/>
                <w:color w:val="000000"/>
                <w:sz w:val="22"/>
                <w:szCs w:val="22"/>
              </w:rPr>
            </w:pPr>
            <w:r>
              <w:rPr>
                <w:rFonts w:cs="宋体"/>
                <w:sz w:val="20"/>
                <w:szCs w:val="20"/>
              </w:rPr>
              <w:t>单位：</w:t>
            </w:r>
            <w:r>
              <w:rPr>
                <w:sz w:val="20"/>
              </w:rPr>
              <w:t>垫江县经济信息中心（垫江县推动融入成渝地区双城经济圈建设服务中心）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255.81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259.19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259.19</w:t>
            </w:r>
            <w:r>
              <w:rPr>
                <w:rFonts w:ascii="Times New Roman" w:hAnsi="Times New Roman"/>
                <w:color w:val="000000"/>
                <w:sz w:val="20"/>
              </w:rPr>
              <w:t xml:space="preserve">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p>
    <w:p>
      <w:pPr>
        <w:keepNext w:val="0"/>
        <w:keepLines w:val="0"/>
        <w:pageBreakBefore w:val="0"/>
        <w:widowControl/>
        <w:kinsoku/>
        <w:overflowPunct/>
        <w:topLinePunct w:val="0"/>
        <w:autoSpaceDN/>
        <w:bidi w:val="0"/>
        <w:spacing w:beforeAutospacing="0" w:afterAutospacing="0" w:line="594"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759"/>
        <w:gridCol w:w="3818"/>
        <w:gridCol w:w="1653"/>
        <w:gridCol w:w="1226"/>
        <w:gridCol w:w="1045"/>
        <w:gridCol w:w="1045"/>
        <w:gridCol w:w="1179"/>
        <w:gridCol w:w="1117"/>
        <w:gridCol w:w="1251"/>
        <w:gridCol w:w="1466"/>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72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r>
              <w:rPr>
                <w:rFonts w:cs="宋体"/>
                <w:sz w:val="20"/>
                <w:szCs w:val="20"/>
              </w:rPr>
              <w:t>单位：</w:t>
            </w:r>
            <w:r>
              <w:rPr>
                <w:sz w:val="20"/>
              </w:rPr>
              <w:t>垫江县经济信息中心（垫江县推动融入成渝地区双城经济圈建设服务中心）</w:t>
            </w:r>
          </w:p>
        </w:tc>
        <w:tc>
          <w:tcPr>
            <w:tcW w:w="122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04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04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17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1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2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7230"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22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04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04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17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1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2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项目</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本年收入合计</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财政拨款收入</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上级补助收入</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事业收入</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经营收入</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5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8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小计</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其中：教育收费</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5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8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5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8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5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8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6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257.19</w:t>
            </w:r>
            <w:r>
              <w:rPr>
                <w:rFonts w:ascii="Times New Roman" w:hAnsi="Times New Roman"/>
                <w:b/>
                <w:color w:val="000000"/>
                <w:sz w:val="20"/>
              </w:rPr>
              <w:t xml:space="preserve"> </w:t>
            </w: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257.19</w:t>
            </w:r>
            <w:r>
              <w:rPr>
                <w:rFonts w:ascii="Times New Roman" w:hAnsi="Times New Roman"/>
                <w:b/>
                <w:color w:val="000000"/>
                <w:sz w:val="20"/>
              </w:rPr>
              <w:t xml:space="preserve"> </w:t>
            </w:r>
          </w:p>
        </w:tc>
        <w:tc>
          <w:tcPr>
            <w:tcW w:w="1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0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201</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一般公共服务支出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179.83</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179.83</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20104</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发展与改革事务</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179.83</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179.83</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2010450</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事业运行</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179.83</w:t>
            </w:r>
            <w:r>
              <w:rPr>
                <w:rFonts w:ascii="Times New Roman" w:hAnsi="Times New Roman"/>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179.83</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208</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社会保障和就业支出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20805</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行政事业单位养老支出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2080505</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w:t>
            </w:r>
            <w:r>
              <w:rPr>
                <w:rFonts w:ascii="Times New Roman" w:hAnsi="Times New Roman"/>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33.47</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2080506</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2080599</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其他行政事业单位养老支出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210</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卫生健康支出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21011</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行政事业单位医疗</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2101102</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事业单位医疗</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221</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住房保障支出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22102</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住房改革支出</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2210201</w:t>
            </w:r>
          </w:p>
        </w:tc>
        <w:tc>
          <w:tcPr>
            <w:tcW w:w="38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住房公积金</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kinsoku/>
        <w:overflowPunct/>
        <w:topLinePunct w:val="0"/>
        <w:autoSpaceDN/>
        <w:bidi w:val="0"/>
        <w:spacing w:beforeAutospacing="0" w:afterAutospacing="0" w:line="594"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beforeAutospacing="0" w:afterAutospacing="0" w:line="594" w:lineRule="exact"/>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832"/>
        <w:gridCol w:w="1798"/>
        <w:gridCol w:w="1614"/>
        <w:gridCol w:w="1547"/>
        <w:gridCol w:w="1479"/>
        <w:gridCol w:w="1614"/>
        <w:gridCol w:w="185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72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垫江县经济信息中心（垫江县推动融入成渝地区双城经济圈建设服务中心） </w:t>
            </w:r>
          </w:p>
        </w:tc>
        <w:tc>
          <w:tcPr>
            <w:tcW w:w="16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47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6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8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72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6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47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6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8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项目</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本年支出合计</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1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上缴上级支出</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经营支出</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83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83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83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83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7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255.81</w:t>
            </w:r>
            <w:r>
              <w:rPr>
                <w:rFonts w:ascii="Times New Roman" w:hAnsi="Times New Roman"/>
                <w:b/>
                <w:color w:val="000000"/>
                <w:sz w:val="20"/>
              </w:rPr>
              <w:t xml:space="preserve"> </w:t>
            </w:r>
          </w:p>
        </w:tc>
        <w:tc>
          <w:tcPr>
            <w:tcW w:w="1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255.81</w:t>
            </w:r>
            <w:r>
              <w:rPr>
                <w:rFonts w:ascii="Times New Roman" w:hAnsi="Times New Roman"/>
                <w:b/>
                <w:color w:val="000000"/>
                <w:sz w:val="20"/>
              </w:rPr>
              <w:t xml:space="preserve"> </w:t>
            </w:r>
          </w:p>
        </w:tc>
        <w:tc>
          <w:tcPr>
            <w:tcW w:w="15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201</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一般公共服务支出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20104</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发展与改革事务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2010450</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事业运行</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179.94</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179.94</w:t>
            </w:r>
            <w:r>
              <w:rPr>
                <w:rFonts w:ascii="Times New Roman" w:hAnsi="Times New Roman"/>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208</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社会保障和就业支出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20805</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行政事业单位养老支出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2080505</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31.95</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31.95</w:t>
            </w:r>
            <w:r>
              <w:rPr>
                <w:rFonts w:ascii="Times New Roman" w:hAnsi="Times New Roman"/>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2080506</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16.22</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16.22</w:t>
            </w:r>
            <w:r>
              <w:rPr>
                <w:rFonts w:ascii="Times New Roman" w:hAnsi="Times New Roman"/>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2080599</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其他行政事业单位养老支出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210</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卫生健康支出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21011</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行政事业单位医疗</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2101102</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事业单位医疗</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221</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住房保障支出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22102</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住房改革支出</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2210201</w:t>
            </w:r>
          </w:p>
        </w:tc>
        <w:tc>
          <w:tcPr>
            <w:tcW w:w="3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住房公积金</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垫江县经济信息中心（垫江县推动融入成渝地区双城经济圈建设服务中心）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255.81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255.81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垫江县经济信息中心（垫江县推动融入成渝地区双城经济圈建设服务中心）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255.81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2010450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beforeAutospacing="0" w:afterAutospacing="0" w:line="594" w:lineRule="exact"/>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垫江县经济信息中心（垫江县推动融入成渝地区双城经济圈建设服务中心）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beforeAutospacing="0" w:afterAutospacing="0" w:line="594"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235.76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w:t>
            </w:r>
            <w:r>
              <w:rPr>
                <w:rFonts w:ascii="Times New Roman" w:hAnsi="Times New Roman"/>
                <w:color w:val="000000"/>
                <w:sz w:val="18"/>
              </w:rPr>
              <w:t xml:space="preserve">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787"/>
        <w:gridCol w:w="3587"/>
        <w:gridCol w:w="1856"/>
        <w:gridCol w:w="1590"/>
        <w:gridCol w:w="1590"/>
        <w:gridCol w:w="1590"/>
        <w:gridCol w:w="1655"/>
        <w:gridCol w:w="1723"/>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72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垫江县经济信息中心（垫江县推动融入成渝地区双城经济圈建设服务中心）</w:t>
            </w: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6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7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7230"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6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17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w:t>
            </w:r>
          </w:p>
        </w:tc>
        <w:tc>
          <w:tcPr>
            <w:tcW w:w="185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年初结转和结余</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本年收入</w:t>
            </w:r>
          </w:p>
        </w:tc>
        <w:tc>
          <w:tcPr>
            <w:tcW w:w="483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本年支出</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8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5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1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8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8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5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37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18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7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both"/>
              <w:textAlignment w:val="center"/>
              <w:rPr>
                <w:rFonts w:hint="default" w:cs="宋体"/>
                <w:color w:val="000000"/>
                <w:sz w:val="20"/>
                <w:szCs w:val="20"/>
              </w:rPr>
            </w:pPr>
          </w:p>
        </w:tc>
        <w:tc>
          <w:tcPr>
            <w:tcW w:w="3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both"/>
              <w:textAlignment w:val="center"/>
              <w:rPr>
                <w:rFonts w:hint="default" w:cs="宋体"/>
                <w:color w:val="000000"/>
                <w:sz w:val="20"/>
                <w:szCs w:val="20"/>
              </w:rPr>
            </w:pPr>
          </w:p>
        </w:tc>
        <w:tc>
          <w:tcPr>
            <w:tcW w:w="18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垫江县经济信息中心（垫江县推动融入成渝地区双城经济圈建设服务中心）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垫江县经济信息中心（垫江县推动融入成渝地区双城经济圈建设服务中心）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beforeAutospacing="0" w:afterAutospacing="0" w:line="594"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beforeAutospacing="0" w:afterAutospacing="0" w:line="594" w:lineRule="exact"/>
              <w:jc w:val="right"/>
              <w:rPr>
                <w:rFonts w:hint="default" w:cs="宋体"/>
                <w:color w:val="000000"/>
                <w:sz w:val="16"/>
                <w:szCs w:val="16"/>
              </w:rPr>
            </w:pPr>
          </w:p>
        </w:tc>
      </w:tr>
    </w:tbl>
    <w:p>
      <w:pPr>
        <w:keepNext w:val="0"/>
        <w:keepLines w:val="0"/>
        <w:pageBreakBefore w:val="0"/>
        <w:widowControl/>
        <w:kinsoku/>
        <w:overflowPunct/>
        <w:topLinePunct w:val="0"/>
        <w:autoSpaceDN/>
        <w:bidi w:val="0"/>
        <w:spacing w:beforeAutospacing="0" w:afterAutospacing="0" w:line="594" w:lineRule="exact"/>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D524C"/>
    <w:multiLevelType w:val="singleLevel"/>
    <w:tmpl w:val="51AD52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544DD"/>
    <w:rsid w:val="001D3BB7"/>
    <w:rsid w:val="002B254B"/>
    <w:rsid w:val="00323700"/>
    <w:rsid w:val="00466C9B"/>
    <w:rsid w:val="004860EA"/>
    <w:rsid w:val="00550ABE"/>
    <w:rsid w:val="00770383"/>
    <w:rsid w:val="007819D4"/>
    <w:rsid w:val="007B419D"/>
    <w:rsid w:val="007B7C4B"/>
    <w:rsid w:val="007D3D39"/>
    <w:rsid w:val="00994AF7"/>
    <w:rsid w:val="009A3573"/>
    <w:rsid w:val="009B67B8"/>
    <w:rsid w:val="009D2B67"/>
    <w:rsid w:val="00A566F9"/>
    <w:rsid w:val="00AF2751"/>
    <w:rsid w:val="00B024CC"/>
    <w:rsid w:val="00B03CCD"/>
    <w:rsid w:val="00BE2B89"/>
    <w:rsid w:val="00C10E9E"/>
    <w:rsid w:val="00C20C3E"/>
    <w:rsid w:val="00CF2ACF"/>
    <w:rsid w:val="00F56D1C"/>
    <w:rsid w:val="00F73F90"/>
    <w:rsid w:val="00FB4B3B"/>
    <w:rsid w:val="01474EBF"/>
    <w:rsid w:val="01F3521E"/>
    <w:rsid w:val="01F6647A"/>
    <w:rsid w:val="03B87EA0"/>
    <w:rsid w:val="03E3214F"/>
    <w:rsid w:val="044C50BA"/>
    <w:rsid w:val="05BC6D49"/>
    <w:rsid w:val="06194FF1"/>
    <w:rsid w:val="06865F65"/>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523DE"/>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1927F1"/>
    <w:rsid w:val="20642787"/>
    <w:rsid w:val="21556F04"/>
    <w:rsid w:val="21DE0B11"/>
    <w:rsid w:val="22403BD3"/>
    <w:rsid w:val="24B92327"/>
    <w:rsid w:val="24C14514"/>
    <w:rsid w:val="2533755C"/>
    <w:rsid w:val="25791755"/>
    <w:rsid w:val="26396DF4"/>
    <w:rsid w:val="264A056B"/>
    <w:rsid w:val="27167136"/>
    <w:rsid w:val="271B442C"/>
    <w:rsid w:val="27B23302"/>
    <w:rsid w:val="29310A5F"/>
    <w:rsid w:val="29C37A35"/>
    <w:rsid w:val="2A076083"/>
    <w:rsid w:val="2A73162E"/>
    <w:rsid w:val="2B167953"/>
    <w:rsid w:val="2B200583"/>
    <w:rsid w:val="2B8209DE"/>
    <w:rsid w:val="2C636760"/>
    <w:rsid w:val="2C6762A3"/>
    <w:rsid w:val="2C795017"/>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053B21"/>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0640E0"/>
    <w:rsid w:val="578867FC"/>
    <w:rsid w:val="5842572D"/>
    <w:rsid w:val="5A3B59D6"/>
    <w:rsid w:val="5AD134D8"/>
    <w:rsid w:val="5B9A01F8"/>
    <w:rsid w:val="5C263CE4"/>
    <w:rsid w:val="5C5D2777"/>
    <w:rsid w:val="5CF66BF3"/>
    <w:rsid w:val="5D290C69"/>
    <w:rsid w:val="5F2D4A41"/>
    <w:rsid w:val="606A315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8129AE"/>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9B58AA"/>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3"/>
    <w:qFormat/>
    <w:uiPriority w:val="99"/>
    <w:pPr>
      <w:spacing w:before="0" w:beforeAutospacing="0" w:after="0" w:afterAutospacing="0"/>
    </w:pPr>
    <w:rPr>
      <w:rFonts w:hAnsi="Courier New"/>
      <w:sz w:val="20"/>
      <w:szCs w:val="20"/>
    </w:rPr>
  </w:style>
  <w:style w:type="paragraph" w:customStyle="1" w:styleId="3">
    <w:name w:val="msonormal"/>
    <w:basedOn w:val="1"/>
    <w:qFormat/>
    <w:uiPriority w:val="0"/>
    <w:pPr>
      <w:spacing w:before="100" w:beforeAutospacing="1" w:after="100" w:afterAutospacing="1"/>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basedOn w:val="3"/>
    <w:qFormat/>
    <w:uiPriority w:val="0"/>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2058</Words>
  <Characters>11732</Characters>
  <Lines>97</Lines>
  <Paragraphs>27</Paragraphs>
  <TotalTime>6</TotalTime>
  <ScaleCrop>false</ScaleCrop>
  <LinksUpToDate>false</LinksUpToDate>
  <CharactersWithSpaces>13763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2025-12-11T03:10:02Z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