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overflowPunct/>
        <w:topLinePunct w:val="0"/>
        <w:autoSpaceDN/>
        <w:bidi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垫江县民防（应急）指挥信息保障中心</w:t>
      </w:r>
    </w:p>
    <w:p>
      <w:pPr>
        <w:pStyle w:val="6"/>
        <w:keepNext w:val="0"/>
        <w:keepLines w:val="0"/>
        <w:pageBreakBefore w:val="0"/>
        <w:kinsoku/>
        <w:overflowPunct/>
        <w:topLinePunct w:val="0"/>
        <w:autoSpaceDN/>
        <w:bidi w:val="0"/>
        <w:spacing w:before="0" w:beforeAutospacing="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420"/>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执行县委、县政府及县人防指挥部组织指挥防空袭斗争信息保障任务。</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为防灾救灾和突发公共事件应急处置指挥提供通信保障。</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负责民防（应急）信息化建设，承担指挥中心、机动指挥车辆的日常维护和管理，保证设施设备及信息系统运行良好。</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承担民防（应急）指挥信息系统值班与战备执勤，及时收集、处理、传递各类情报和指挥信息。</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负责防空警报系统维护管理，组织和保障城市防空警报试鸣，按照上级命令发放灾情警报和防空警报信号。</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负责组织实施指挥信息保障人员业务技能培训和民防应急指挥通信训（演）练。</w:t>
      </w:r>
      <w:bookmarkStart w:id="0" w:name="_GoBack"/>
      <w:bookmarkEnd w:id="0"/>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负责为县委、县政府的视频会议及其他重要会议提供保障。</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420"/>
        <w:rPr>
          <w:rFonts w:hint="default" w:ascii="Times New Roman" w:hAnsi="Times New Roman" w:eastAsia="楷体" w:cs="Times New Roman"/>
          <w:color w:val="000000" w:themeColor="text1"/>
          <w:sz w:val="32"/>
          <w:szCs w:val="32"/>
          <w14:textFill>
            <w14:solidFill>
              <w14:schemeClr w14:val="tx1"/>
            </w14:solidFill>
          </w14:textFill>
        </w:rPr>
      </w:pPr>
      <w:r>
        <w:rPr>
          <w:rStyle w:val="10"/>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pPr>
        <w:pStyle w:val="12"/>
        <w:keepNext w:val="0"/>
        <w:keepLines w:val="0"/>
        <w:pageBreakBefore w:val="0"/>
        <w:shd w:val="clear" w:color="auto" w:fill="FFFFFF"/>
        <w:kinsoku/>
        <w:overflowPunct/>
        <w:topLinePunct w:val="0"/>
        <w:autoSpaceDE w:val="0"/>
        <w:autoSpaceDN/>
        <w:bidi w:val="0"/>
        <w:spacing w:beforeAutospacing="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本单位无内设机构。</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2024年度收入总计65.03万元，支出总计</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万元。收、支与2023年度相比，减少25.10万元，下降27.85%，主要原因是2024年年初预算2人，较上年减少2人，预算经费减少。</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2024年度收入合计65.03万元，与2023年度相比，减少25.10万元，下降27.85%，主要原因是2024年年初预算2人，较上年减少2人，预算经费减少。其中：财政拨款收入</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万元，与2023年度相比，减少25.10万元，下降27.85%，主要原因是2024年年初预算2人，较上年减少2人，预算经费减少。其中：基本支出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主要是本年度与上年度均无结转结余</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2024年度财政拨款收、支总计65.03万元。与2022年相比，财政拨款收、支总计各减少25.10万元，下降27.85%。主要原因是2024年年初预算2人，较上年减少2人，预算经费减少。</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较年初预算数增加21.48万元，增长49.32%。主要原因是新调入2人，工资及保险等人员经费增加。此外，年初财政拨款结转和结余0.00万元。</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万元，与2023年度相比，减少25.10万元，下降27.85%。主要原因是2024年年初预算2人，较上年减少2人，预算经费减少。较年初预算数增加21.48万元，增长49.32%。主要原因是新调入2人，工资及保险等人员经费增加。</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rPr>
        <w:t>主要是本年度与上年度均无结转结余</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39.87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61.31</w:t>
      </w:r>
      <w:r>
        <w:rPr>
          <w:rFonts w:hint="default" w:ascii="Times New Roman" w:hAnsi="Times New Roman" w:eastAsia="方正仿宋_GBK" w:cs="Times New Roman"/>
          <w:sz w:val="32"/>
          <w:szCs w:val="32"/>
          <w:shd w:val="clear" w:color="auto" w:fill="FFFFFF"/>
        </w:rPr>
        <w:t>%，较年初预算数增加3.13万元，增长8.52%，主要原因是人员调动，工资级别差异。</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%，较年初预算数减少0.10万元，下降90.91%，主要原因是厉行节约、压减支出。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17.31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26.62</w:t>
      </w:r>
      <w:r>
        <w:rPr>
          <w:rFonts w:hint="default" w:ascii="Times New Roman" w:hAnsi="Times New Roman" w:eastAsia="方正仿宋_GBK" w:cs="Times New Roman"/>
          <w:sz w:val="32"/>
          <w:szCs w:val="32"/>
          <w:shd w:val="clear" w:color="auto" w:fill="FFFFFF"/>
        </w:rPr>
        <w:t>%，较年初预算数增加13.81万元，增长394.57%，主要原因是按照相关政策规定，补缴了2022-2023年养老保险、职业年金基数维护部分。</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2.92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4.48</w:t>
      </w:r>
      <w:r>
        <w:rPr>
          <w:rFonts w:hint="default" w:ascii="Times New Roman" w:hAnsi="Times New Roman" w:eastAsia="方正仿宋_GBK" w:cs="Times New Roman"/>
          <w:sz w:val="32"/>
          <w:szCs w:val="32"/>
          <w:shd w:val="clear" w:color="auto" w:fill="FFFFFF"/>
        </w:rPr>
        <w:t>%，较年初预算数增加1.46万元，增长100.00%，主要原因是人员调动，工资级别差异，缴费基数增加。</w:t>
      </w:r>
    </w:p>
    <w:p>
      <w:pPr>
        <w:keepNext w:val="0"/>
        <w:keepLines w:val="0"/>
        <w:pageBreakBefore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住房保障支出4.92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7.57</w:t>
      </w:r>
      <w:r>
        <w:rPr>
          <w:rFonts w:hint="default" w:ascii="Times New Roman" w:hAnsi="Times New Roman" w:eastAsia="方正仿宋_GBK" w:cs="Times New Roman"/>
          <w:sz w:val="32"/>
          <w:szCs w:val="32"/>
          <w:shd w:val="clear" w:color="auto" w:fill="FFFFFF"/>
        </w:rPr>
        <w:t>%，较年初预算数增加3.17万元，增长181.14%，主要原因是人员调动，工资级别差异，缴费基数增加。</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65.03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65.02</w:t>
      </w:r>
      <w:r>
        <w:rPr>
          <w:rFonts w:hint="default" w:ascii="Times New Roman" w:hAnsi="Times New Roman" w:eastAsia="方正仿宋_GBK" w:cs="Times New Roman"/>
          <w:sz w:val="32"/>
          <w:szCs w:val="32"/>
          <w:shd w:val="clear" w:color="auto" w:fill="FFFFFF"/>
        </w:rPr>
        <w:t>万元，与2023年度相比，减少9.19万元，下降12.38%，</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人员调动原因，全年预算数减少。人员经费用途主要包括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基本工资、绩效工资、津贴补贴、社会保障缴费等。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万元，与2023年度相比，减少15.91万元，下降99.94%，</w:t>
      </w:r>
      <w:r>
        <w:rPr>
          <w:rFonts w:hint="eastAsia"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人员经费预算不足，将公用经费调剂到人员经费支出。公用经费用途主要包括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培训费、办公费、差旅费、福利费、工作餐费。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2024年度“三公”经费支出共计0.00万元，较年初预算数减少6.00万元，下降100.00%，主要原因是本年度本单位公车运行费在发改委机关列支。较上年支出数减少7.63万元，下降100.00%，主要原因是本年度</w:t>
      </w:r>
      <w:r>
        <w:rPr>
          <w:rFonts w:hint="default" w:ascii="Times New Roman" w:hAnsi="Times New Roman" w:eastAsia="方正仿宋_GBK" w:cs="Times New Roman"/>
          <w:sz w:val="32"/>
          <w:szCs w:val="32"/>
          <w:shd w:val="clear" w:color="auto" w:fill="FFFFFF"/>
          <w:lang w:val="en-US" w:eastAsia="zh-CN"/>
        </w:rPr>
        <w:t>未发生</w:t>
      </w:r>
      <w:r>
        <w:rPr>
          <w:rFonts w:hint="default" w:ascii="Times New Roman" w:hAnsi="Times New Roman" w:eastAsia="方正仿宋_GBK" w:cs="Times New Roman"/>
          <w:sz w:val="32"/>
          <w:szCs w:val="32"/>
          <w:shd w:val="clear" w:color="auto" w:fill="FFFFFF"/>
        </w:rPr>
        <w:t>公车运行费</w:t>
      </w:r>
      <w:r>
        <w:rPr>
          <w:rFonts w:hint="default" w:ascii="Times New Roman" w:hAnsi="Times New Roman" w:eastAsia="方正仿宋_GBK" w:cs="Times New Roman"/>
          <w:sz w:val="32"/>
          <w:szCs w:val="32"/>
          <w:shd w:val="clear" w:color="auto" w:fill="FFFFFF"/>
          <w:lang w:val="en-US" w:eastAsia="zh-CN"/>
        </w:rPr>
        <w:t>及</w:t>
      </w:r>
      <w:r>
        <w:rPr>
          <w:rFonts w:hint="default" w:ascii="Times New Roman" w:hAnsi="Times New Roman" w:eastAsia="方正仿宋_GBK" w:cs="Times New Roman"/>
          <w:sz w:val="32"/>
          <w:szCs w:val="32"/>
          <w:shd w:val="clear" w:color="auto" w:fill="FFFFFF"/>
        </w:rPr>
        <w:t>公务接待费。</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 公务车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运行维护费0.00万元，主要用于公务用车燃料费、维修费、保险费、过路过桥费、停车费及相关费用等。费用支出较年初预算数减少6.00万元，下降100.00%，主要原因是本年度</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未发生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公车运行费。较上</w:t>
      </w:r>
      <w:r>
        <w:rPr>
          <w:rFonts w:hint="default" w:ascii="Times New Roman" w:hAnsi="Times New Roman" w:eastAsia="方正仿宋_GBK" w:cs="Times New Roman"/>
          <w:sz w:val="32"/>
          <w:szCs w:val="32"/>
          <w:shd w:val="clear" w:color="auto" w:fill="FFFFFF"/>
        </w:rPr>
        <w:t>年支出数减少6.63万元，下降100.00%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，主要原因是本年度</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未发生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公车运行费。</w:t>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万元，主要用于接待接待全国各地企业考察我县民防建设项目。费用支出较年初预算数无增减，主要原因是本年度未发生接待费。较上年支出数减少1.00万元，下降100.00%，主要原因是本年度未发生接待费。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万元，与2023年度相比，无增减，主要原因是本年度未发生会议费。本年度培训费支出0.01万元，与2023年度相比，减少0.20万元，下降95.24%，主要原因是厉行节约、压减支出。</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w:t>
      </w: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kinsoku/>
        <w:overflowPunct/>
        <w:topLinePunct w:val="0"/>
        <w:autoSpaceDN/>
        <w:bidi w:val="0"/>
        <w:snapToGrid w:val="0"/>
        <w:spacing w:before="0" w:beforeAutospacing="0" w:after="0" w:afterAutospacing="0" w:line="594" w:lineRule="exact"/>
        <w:ind w:firstLine="960" w:firstLineChars="3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根据预算绩效管理要求，我单位为下属单位，2024年未开展项目自评，涉及项目支出资金0万元。</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pStyle w:val="11"/>
        <w:keepNext w:val="0"/>
        <w:keepLines w:val="0"/>
        <w:pageBreakBefore w:val="0"/>
        <w:kinsoku/>
        <w:overflowPunct/>
        <w:topLinePunct w:val="0"/>
        <w:autoSpaceDE w:val="0"/>
        <w:autoSpaceDN/>
        <w:bidi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keepNext w:val="0"/>
        <w:keepLines w:val="0"/>
        <w:pageBreakBefore w:val="0"/>
        <w:widowControl w:val="0"/>
        <w:kinsoku/>
        <w:overflowPunct/>
        <w:topLinePunct w:val="0"/>
        <w:autoSpaceDN/>
        <w:bidi w:val="0"/>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  六、专业名词解释</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overflowPunct/>
        <w:topLinePunct w:val="0"/>
        <w:autoSpaceDN/>
        <w:bidi w:val="0"/>
        <w:spacing w:beforeAutospacing="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kinsoku/>
        <w:overflowPunct/>
        <w:topLinePunct w:val="0"/>
        <w:autoSpaceDE w:val="0"/>
        <w:autoSpaceDN/>
        <w:bidi w:val="0"/>
        <w:spacing w:beforeAutospacing="0" w:afterAutospacing="0" w:line="594" w:lineRule="exact"/>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rPr>
        <w:t>马老师023-74529950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垫江县民防（应急）指挥信息保障中心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65.03</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垫江县民防（应急）指挥信息保障中心</w:t>
            </w:r>
          </w:p>
        </w:tc>
        <w:tc>
          <w:tcPr>
            <w:tcW w:w="137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垫江县民防（应急）指挥信息保障中心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39.87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17.31</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65.03</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65.03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39.87</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17.31</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11.57</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5.75</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4.92</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4.92</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11.57</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wordWrap w:val="0"/>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65.02</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垫江县民防（应急）指挥信息保障中心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val="0"/>
              <w:overflowPunct/>
              <w:topLinePunct w:val="0"/>
              <w:autoSpaceDN/>
              <w:bidi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425"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center"/>
              <w:rPr>
                <w:rFonts w:hint="default" w:ascii="Times New Roman" w:hAnsi="Times New Roman" w:cs="Times New Roman"/>
                <w:color w:val="000000"/>
                <w:kern w:val="2"/>
                <w:sz w:val="20"/>
                <w:szCs w:val="20"/>
              </w:rPr>
            </w:pPr>
          </w:p>
        </w:tc>
        <w:tc>
          <w:tcPr>
            <w:tcW w:w="2383"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3684"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502" w:type="dxa"/>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垫江县民防（应急）指挥信息保障中心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0.01</w:t>
            </w: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kinsoku/>
              <w:overflowPunct/>
              <w:topLinePunct w:val="0"/>
              <w:autoSpaceDN/>
              <w:bidi w:val="0"/>
              <w:spacing w:beforeAutospacing="0" w:afterAutospacing="0" w:line="594" w:lineRule="exact"/>
              <w:jc w:val="right"/>
              <w:rPr>
                <w:rFonts w:hint="default" w:ascii="Times New Roman" w:hAnsi="Times New Roman" w:cs="Times New Roman"/>
                <w:color w:val="000000"/>
                <w:sz w:val="16"/>
                <w:szCs w:val="16"/>
              </w:rPr>
            </w:pPr>
          </w:p>
        </w:tc>
      </w:tr>
    </w:tbl>
    <w:p>
      <w:pPr>
        <w:keepNext w:val="0"/>
        <w:keepLines w:val="0"/>
        <w:pageBreakBefore w:val="0"/>
        <w:kinsoku/>
        <w:overflowPunct/>
        <w:topLinePunct w:val="0"/>
        <w:autoSpaceDN/>
        <w:bidi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67869"/>
    <w:rsid w:val="002B254B"/>
    <w:rsid w:val="00466C9B"/>
    <w:rsid w:val="00550ABE"/>
    <w:rsid w:val="0073063F"/>
    <w:rsid w:val="00770383"/>
    <w:rsid w:val="007819D4"/>
    <w:rsid w:val="007B419D"/>
    <w:rsid w:val="007B7C4B"/>
    <w:rsid w:val="007D3D39"/>
    <w:rsid w:val="00994AF7"/>
    <w:rsid w:val="009B67B8"/>
    <w:rsid w:val="009D2B67"/>
    <w:rsid w:val="00A566F9"/>
    <w:rsid w:val="00AE3BF1"/>
    <w:rsid w:val="00AF2751"/>
    <w:rsid w:val="00B03CCD"/>
    <w:rsid w:val="00BE2B89"/>
    <w:rsid w:val="00C10E9E"/>
    <w:rsid w:val="00C20C3E"/>
    <w:rsid w:val="00CF2ACF"/>
    <w:rsid w:val="00DC7D6A"/>
    <w:rsid w:val="00F73F90"/>
    <w:rsid w:val="00FB4B3B"/>
    <w:rsid w:val="011574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0FCE0ECE"/>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DC671A"/>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CE081B"/>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7938A1"/>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731772"/>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BE7112F"/>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23</Pages>
  <Words>2068</Words>
  <Characters>11790</Characters>
  <Lines>98</Lines>
  <Paragraphs>27</Paragraphs>
  <TotalTime>4</TotalTime>
  <ScaleCrop>false</ScaleCrop>
  <LinksUpToDate>false</LinksUpToDate>
  <CharactersWithSpaces>13831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2026-01-26T06:45:14Z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