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垫江县价格认证中心</w:t>
      </w:r>
    </w:p>
    <w:p>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主要职能职责：涉案财物价格鉴证；涉纪财物价格认定；涉税财物价格认定；定调价成本监审。</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sz w:val="32"/>
          <w:szCs w:val="32"/>
        </w:rPr>
      </w:pPr>
      <w:r>
        <w:rPr>
          <w:rFonts w:ascii="方正仿宋_GBK" w:hAnsi="方正仿宋_GBK" w:eastAsia="方正仿宋_GBK" w:cs="方正仿宋_GBK"/>
          <w:sz w:val="32"/>
          <w:szCs w:val="32"/>
        </w:rPr>
        <w:t>具体职责任务</w:t>
      </w:r>
      <w:r>
        <w:rPr>
          <w:rFonts w:hint="default" w:ascii="Times New Roman" w:hAnsi="Times New Roman" w:eastAsia="方正仿宋_GBK"/>
          <w:sz w:val="32"/>
          <w:szCs w:val="32"/>
        </w:rPr>
        <w:t>:</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）负责全县司法机关和行政执法机关执法过程中发生的涉案财物（包括刑事犯罪、行政处罚、行政诉讼、国家赔偿和法律援助等案件的涉案财物）标的物价值进行价格鉴证。（</w:t>
      </w:r>
      <w:r>
        <w:rPr>
          <w:rFonts w:hint="default" w:ascii="Times New Roman" w:hAnsi="Times New Roman" w:eastAsia="方正仿宋_GBK"/>
          <w:sz w:val="32"/>
          <w:szCs w:val="32"/>
        </w:rPr>
        <w:t>2</w:t>
      </w:r>
      <w:r>
        <w:rPr>
          <w:rFonts w:ascii="方正仿宋_GBK" w:hAnsi="方正仿宋_GBK" w:eastAsia="方正仿宋_GBK" w:cs="方正仿宋_GBK"/>
          <w:sz w:val="32"/>
          <w:szCs w:val="32"/>
        </w:rPr>
        <w:t>）负责县纪检监察机关查办案件中涉案财物的价格认定工作。（</w:t>
      </w:r>
      <w:r>
        <w:rPr>
          <w:rFonts w:hint="default" w:ascii="Times New Roman" w:hAnsi="Times New Roman" w:eastAsia="方正仿宋_GBK"/>
          <w:sz w:val="32"/>
          <w:szCs w:val="32"/>
        </w:rPr>
        <w:t>3</w:t>
      </w:r>
      <w:r>
        <w:rPr>
          <w:rFonts w:ascii="方正仿宋_GBK" w:hAnsi="方正仿宋_GBK" w:eastAsia="方正仿宋_GBK" w:cs="方正仿宋_GBK"/>
          <w:sz w:val="32"/>
          <w:szCs w:val="32"/>
        </w:rPr>
        <w:t>）负责全县税务机关在税收征管过程中的商品、货物、其他财产或者财产性权利等涉税财物进行价格认定。（</w:t>
      </w:r>
      <w:r>
        <w:rPr>
          <w:rFonts w:hint="default" w:ascii="Times New Roman" w:hAnsi="Times New Roman" w:eastAsia="方正仿宋_GBK"/>
          <w:sz w:val="32"/>
          <w:szCs w:val="32"/>
        </w:rPr>
        <w:t>4</w:t>
      </w:r>
      <w:r>
        <w:rPr>
          <w:rFonts w:ascii="方正仿宋_GBK" w:hAnsi="方正仿宋_GBK" w:eastAsia="方正仿宋_GBK" w:cs="方正仿宋_GBK"/>
          <w:sz w:val="32"/>
          <w:szCs w:val="32"/>
        </w:rPr>
        <w:t>）负责政府定（调）价前后的成本监审、行政事业收费成本监审，对定（调）价以及收费事理性进行论证。</w:t>
      </w:r>
    </w:p>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bookmarkStart w:id="0" w:name="_GoBack"/>
      <w:bookmarkEnd w:id="0"/>
    </w:p>
    <w:p>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垫江县价格认证中心内设价格认定科室。</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2024年度收入总计184.60万元，支出总计</w:t>
      </w:r>
      <w:r>
        <w:rPr>
          <w:rFonts w:ascii="方正仿宋_GBK" w:hAnsi="方正仿宋_GBK" w:eastAsia="方正仿宋_GBK" w:cs="方正仿宋_GBK"/>
          <w:sz w:val="32"/>
          <w:szCs w:val="32"/>
        </w:rPr>
        <w:t>184.60</w:t>
      </w:r>
      <w:r>
        <w:rPr>
          <w:rFonts w:ascii="方正仿宋_GBK" w:hAnsi="方正仿宋_GBK" w:eastAsia="方正仿宋_GBK" w:cs="方正仿宋_GBK"/>
          <w:sz w:val="32"/>
          <w:szCs w:val="32"/>
          <w:shd w:val="clear" w:color="auto" w:fill="FFFFFF"/>
        </w:rPr>
        <w:t>万元。收、支与2023年度相比，增加10.83万元，增长6.23%，主要原因是人员晋级晋档、工资性收入增加。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2024年度收入合计177.75万元，与2023年度相比，增加5.04万元，增长2.92%，主要原因是人员晋级晋档、工资性收入增加。其中：财政拨款收入</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6.85</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万元，与2023年度相比，增加5.04万元，增长2.92%，主要原因是人员晋级晋档、工资性收入增加。其中：基本支出</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6.85</w:t>
      </w:r>
      <w:r>
        <w:rPr>
          <w:rFonts w:ascii="方正仿宋_GBK" w:hAnsi="方正仿宋_GBK" w:eastAsia="方正仿宋_GBK" w:cs="方正仿宋_GBK"/>
          <w:sz w:val="32"/>
          <w:szCs w:val="32"/>
          <w:shd w:val="clear" w:color="auto" w:fill="FFFFFF"/>
        </w:rPr>
        <w:t>万元，与2023年度相比，增加5.79万元，增长546.23%，主要原因是会计差错更正、调整年初结转结余。</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2024年度财政拨款收、支总计178.82万元。与2023年相比，财政拨款收、支总计各增加5.05万元，增长2.91%。主要原因是人员晋级晋档、工资性收入增加。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77.75万元，与2023年度相比，增加5.04万元，增长2.92%。主要原因是人员晋级晋档、工资性收入增加。较年初预算数减少3.32万元，下降1.83%。主要原因是2024年9月退休1人。此外，年初财政拨款结转和结余1.06万元。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2024年度一般公共预算财政拨款支出177.75万元，与2023年度相比，增加5.04万元，增长2.92%。主要原因是人员晋级晋档、工资性收入增加。较年初预算数减少3.32万元，下降1.83%。主要原因是2024年9月退休1人。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1.06</w:t>
      </w:r>
      <w:r>
        <w:rPr>
          <w:rFonts w:ascii="方正仿宋_GBK" w:hAnsi="方正仿宋_GBK" w:eastAsia="方正仿宋_GBK" w:cs="方正仿宋_GBK"/>
          <w:sz w:val="32"/>
          <w:szCs w:val="32"/>
          <w:shd w:val="clear" w:color="auto" w:fill="FFFFFF"/>
        </w:rPr>
        <w:t>万元，与2023年度相比，无增减，主要原因是财政拨款结转和结余2024年未支出。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129.03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72.59</w:t>
      </w:r>
      <w:r>
        <w:rPr>
          <w:rFonts w:ascii="方正仿宋_GBK" w:hAnsi="方正仿宋_GBK" w:eastAsia="方正仿宋_GBK" w:cs="方正仿宋_GBK"/>
          <w:sz w:val="32"/>
          <w:szCs w:val="32"/>
          <w:shd w:val="clear" w:color="auto" w:fill="FFFFFF"/>
        </w:rPr>
        <w:t>%，较年初预算数减少3.82万元，下降2.88%，主要原因是2024年9月退休1人。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%，较年初预算数减少0.52万元，下降100.00%，主要原因是2024年未支出培训费。</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29.46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16.57</w:t>
      </w:r>
      <w:r>
        <w:rPr>
          <w:rFonts w:ascii="方正仿宋_GBK" w:hAnsi="方正仿宋_GBK" w:eastAsia="方正仿宋_GBK" w:cs="方正仿宋_GBK"/>
          <w:sz w:val="32"/>
          <w:szCs w:val="32"/>
          <w:shd w:val="clear" w:color="auto" w:fill="FFFFFF"/>
        </w:rPr>
        <w:t>%，较年初预算数增加2.50万元，增长9.27%，主要原因是补缴2022-2023年养老保险和职业年金基数维护部分。</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8.34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%，较年初预算数减少0.51万元，下降5.76%，主要原因是2024年9月退休1人。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6.14</w:t>
      </w:r>
      <w:r>
        <w:rPr>
          <w:rFonts w:ascii="方正仿宋_GBK" w:hAnsi="方正仿宋_GBK" w:eastAsia="方正仿宋_GBK" w:cs="方正仿宋_GBK"/>
          <w:sz w:val="32"/>
          <w:szCs w:val="32"/>
          <w:shd w:val="clear" w:color="auto" w:fill="FFFFFF"/>
        </w:rPr>
        <w:t>%，较年初预算数减少0.96万元，下降8.08%，主要原因是2024年9月退休1人。</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177.75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149.66</w:t>
      </w:r>
      <w:r>
        <w:rPr>
          <w:rFonts w:ascii="方正仿宋_GBK" w:hAnsi="方正仿宋_GBK" w:eastAsia="方正仿宋_GBK" w:cs="方正仿宋_GBK"/>
          <w:sz w:val="32"/>
          <w:szCs w:val="32"/>
          <w:shd w:val="clear" w:color="auto" w:fill="FFFFFF"/>
        </w:rPr>
        <w:t>万元，与2023年度相比，增加3.23万元，增长2.21%，主要原因是人员晋级晋档、工资性收入增加，补缴2022-2023年养老保险和职业年金基数维护部分。人员经费用途主要包括</w:t>
      </w:r>
      <w:r>
        <w:rPr>
          <w:rFonts w:ascii="方正仿宋_GBK" w:hAnsi="方正仿宋_GBK" w:eastAsia="方正仿宋_GBK" w:cs="方正仿宋_GBK"/>
          <w:sz w:val="32"/>
          <w:szCs w:val="32"/>
        </w:rPr>
        <w:t>基本工资、津贴补贴、基础绩效奖、社会保障缴费、住房公积金、医疗费等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28.10</w:t>
      </w:r>
      <w:r>
        <w:rPr>
          <w:rFonts w:ascii="方正仿宋_GBK" w:hAnsi="方正仿宋_GBK" w:eastAsia="方正仿宋_GBK" w:cs="方正仿宋_GBK"/>
          <w:sz w:val="32"/>
          <w:szCs w:val="32"/>
          <w:shd w:val="clear" w:color="auto" w:fill="FFFFFF"/>
        </w:rPr>
        <w:t>万元，与2023年度相比，增加1.82万元，增长6.93%，主要原因是因合署办公，2024年在本单位支出差旅费、工作餐增加。公用经费用途主要包括</w:t>
      </w:r>
      <w:r>
        <w:rPr>
          <w:rFonts w:ascii="方正仿宋_GBK" w:hAnsi="方正仿宋_GBK" w:eastAsia="方正仿宋_GBK" w:cs="方正仿宋_GBK"/>
          <w:sz w:val="32"/>
          <w:szCs w:val="32"/>
        </w:rPr>
        <w:t>办公费、邮电费、福利费、差旅费、培训费、工会经费、工作餐等</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rPr>
        <w:t xml:space="preserve"> </w:t>
      </w:r>
      <w:r>
        <w:rPr>
          <w:rFonts w:hint="eastAsia" w:ascii="楷体" w:hAnsi="楷体" w:eastAsia="楷体" w:cs="楷体"/>
          <w:b/>
          <w:bCs/>
          <w:sz w:val="32"/>
          <w:szCs w:val="32"/>
          <w:shd w:val="clear" w:color="auto" w:fill="FFFFFF"/>
          <w:lang w:bidi="ar"/>
        </w:rPr>
        <w:t>（一）“三公”经费支出总体情况说明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3"/>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shd w:val="clear" w:color="auto" w:fill="FFFFFF"/>
        <w:ind w:firstLine="964" w:firstLineChars="3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万元，与2023年度相比，无增减，主要原因是本年度未发生会议费。本年度培训费支出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万元，与2023年度相比，无变化，主要原因是本年度未发生培训费。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28.10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办公费、福利费、差旅费、邮电费、劳务费、其他交通费、其他商品服务支出等费用</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机关运行经费较上年支出数增加1.82万元，增长6.93%，主要原因是支付差旅费、通讯费、食堂工作餐费增加。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%，其中：授予小微企业合同金额0.00万元，占政府采购支出总额的0 %。2024年度我单位未发生政府采购事项，无相关经费支出。</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14"/>
        <w:autoSpaceDE w:val="0"/>
        <w:spacing w:before="0" w:beforeAutospacing="0" w:line="600" w:lineRule="exac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（一）单位自评情况</w:t>
      </w:r>
    </w:p>
    <w:p>
      <w:pPr>
        <w:widowControl w:val="0"/>
        <w:spacing w:line="596" w:lineRule="exact"/>
        <w:ind w:firstLine="640" w:firstLineChars="200"/>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rPr>
        <w:t>根据预算绩效管理要求，我单位为下属单位，2024年未开展项目自评，涉及项目支出资金0万元。</w:t>
      </w:r>
    </w:p>
    <w:p>
      <w:pPr>
        <w:pStyle w:val="13"/>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  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13"/>
        <w:autoSpaceDE w:val="0"/>
        <w:ind w:firstLine="0" w:firstLineChars="0"/>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马老师023-74529950。</w:t>
      </w: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垫江县价格认证中心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184.60</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垫江县价格认证中心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垫江县价格认证中心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垫江县价格认证中心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垫江县价格认证中心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149.66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垫江县价格认证中心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垫江县价格认证中心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9231D"/>
    <w:multiLevelType w:val="singleLevel"/>
    <w:tmpl w:val="866923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87CD5"/>
    <w:rsid w:val="00633EDC"/>
    <w:rsid w:val="00770383"/>
    <w:rsid w:val="007819D4"/>
    <w:rsid w:val="007B419D"/>
    <w:rsid w:val="007B7C4B"/>
    <w:rsid w:val="007D3D39"/>
    <w:rsid w:val="0086224E"/>
    <w:rsid w:val="00994AF7"/>
    <w:rsid w:val="009B67B8"/>
    <w:rsid w:val="009D2B67"/>
    <w:rsid w:val="00A566F9"/>
    <w:rsid w:val="00AF2751"/>
    <w:rsid w:val="00B03CCD"/>
    <w:rsid w:val="00BE2B89"/>
    <w:rsid w:val="00C10E9E"/>
    <w:rsid w:val="00C20C3E"/>
    <w:rsid w:val="00CF2ACF"/>
    <w:rsid w:val="00D4149A"/>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BF97D95"/>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592D6C"/>
    <w:rsid w:val="25791755"/>
    <w:rsid w:val="26396DF4"/>
    <w:rsid w:val="27167136"/>
    <w:rsid w:val="271B442C"/>
    <w:rsid w:val="274F5821"/>
    <w:rsid w:val="27B23302"/>
    <w:rsid w:val="282E03A5"/>
    <w:rsid w:val="29310A5F"/>
    <w:rsid w:val="29C37A35"/>
    <w:rsid w:val="2A076083"/>
    <w:rsid w:val="2A73162E"/>
    <w:rsid w:val="2B167953"/>
    <w:rsid w:val="2B200583"/>
    <w:rsid w:val="2B8209DE"/>
    <w:rsid w:val="2C636760"/>
    <w:rsid w:val="2C6762A3"/>
    <w:rsid w:val="2FCA4B37"/>
    <w:rsid w:val="2FE029D7"/>
    <w:rsid w:val="2FF06E00"/>
    <w:rsid w:val="30586FEC"/>
    <w:rsid w:val="3071011B"/>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64785"/>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5D004D"/>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631AC"/>
    <w:rsid w:val="4F0C6BA3"/>
    <w:rsid w:val="4F186D58"/>
    <w:rsid w:val="4F562BCD"/>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144788"/>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DC1E42"/>
    <w:rsid w:val="750837F0"/>
    <w:rsid w:val="754758CF"/>
    <w:rsid w:val="764F62AB"/>
    <w:rsid w:val="765C45EC"/>
    <w:rsid w:val="768A7619"/>
    <w:rsid w:val="772E1EBA"/>
    <w:rsid w:val="77566DD0"/>
    <w:rsid w:val="781926BC"/>
    <w:rsid w:val="796D60A4"/>
    <w:rsid w:val="79A031D5"/>
    <w:rsid w:val="79DB76F4"/>
    <w:rsid w:val="7A1525F7"/>
    <w:rsid w:val="7B420052"/>
    <w:rsid w:val="7BD06A28"/>
    <w:rsid w:val="7C3A7C0B"/>
    <w:rsid w:val="7C5248E4"/>
    <w:rsid w:val="7C566698"/>
    <w:rsid w:val="7C5866A3"/>
    <w:rsid w:val="7D7406BB"/>
    <w:rsid w:val="7DE94331"/>
    <w:rsid w:val="7F446A19"/>
    <w:rsid w:val="7F7452B9"/>
    <w:rsid w:val="AF7C64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3"/>
    <w:qFormat/>
    <w:uiPriority w:val="99"/>
    <w:pPr>
      <w:spacing w:before="0" w:beforeAutospacing="0" w:after="0" w:afterAutospacing="0"/>
    </w:pPr>
    <w:rPr>
      <w:rFonts w:hAnsi="Courier New"/>
      <w:sz w:val="20"/>
      <w:szCs w:val="20"/>
    </w:rPr>
  </w:style>
  <w:style w:type="paragraph" w:customStyle="1" w:styleId="3">
    <w:name w:val="msonormal"/>
    <w:basedOn w:val="1"/>
    <w:qFormat/>
    <w:uiPriority w:val="0"/>
    <w:pPr>
      <w:spacing w:before="100" w:beforeAutospacing="1" w:after="100" w:afterAutospacing="1"/>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22</Pages>
  <Words>2004</Words>
  <Characters>11423</Characters>
  <Lines>95</Lines>
  <Paragraphs>26</Paragraphs>
  <TotalTime>2</TotalTime>
  <ScaleCrop>false</ScaleCrop>
  <LinksUpToDate>false</LinksUpToDate>
  <CharactersWithSpaces>13401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2026-03-16T02:36:26Z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