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5"/>
        <w:spacing w:before="0" w:beforeAutospacing="0"/>
        <w:jc w:val="center"/>
        <w:rPr>
          <w:rFonts w:hint="default" w:ascii="方正小标宋_GBK" w:hAnsi="方正小标宋_GBK" w:eastAsia="方正小标宋_GBK" w:cs="方正小标宋_GBK"/>
          <w:sz w:val="36"/>
          <w:szCs w:val="36"/>
          <w:shd w:val="clear" w:color="auto" w:fill="FFFFFF"/>
        </w:rPr>
      </w:pPr>
      <w:bookmarkStart w:id="0" w:name="_GoBack"/>
      <w:bookmarkEnd w:id="0"/>
      <w:r>
        <w:rPr>
          <w:rFonts w:ascii="方正小标宋_GBK" w:hAnsi="方正小标宋_GBK" w:eastAsia="方正小标宋_GBK" w:cs="方正小标宋_GBK"/>
          <w:sz w:val="36"/>
          <w:szCs w:val="36"/>
        </w:rPr>
        <w:t>垫江县不动产登记中心</w:t>
      </w:r>
      <w:r>
        <w:rPr>
          <w:rFonts w:ascii="方正小标宋_GBK" w:hAnsi="方正小标宋_GBK" w:eastAsia="方正小标宋_GBK" w:cs="方正小标宋_GBK"/>
          <w:sz w:val="36"/>
          <w:szCs w:val="36"/>
          <w:shd w:val="clear" w:color="auto" w:fill="FFFFFF"/>
        </w:rPr>
        <w:t>2023年度决算公开说明</w:t>
      </w:r>
    </w:p>
    <w:p>
      <w:pPr>
        <w:pStyle w:val="5"/>
        <w:shd w:val="clear" w:color="auto" w:fill="FFFFFF"/>
        <w:ind w:firstLine="643" w:firstLineChars="200"/>
        <w:rPr>
          <w:rFonts w:hint="default" w:ascii="黑体" w:hAnsi="黑体" w:eastAsia="黑体" w:cs="黑体"/>
          <w:sz w:val="32"/>
          <w:szCs w:val="32"/>
        </w:rPr>
      </w:pPr>
      <w:r>
        <w:rPr>
          <w:rStyle w:val="7"/>
          <w:rFonts w:ascii="黑体" w:hAnsi="黑体" w:eastAsia="黑体" w:cs="黑体"/>
          <w:sz w:val="32"/>
          <w:szCs w:val="32"/>
          <w:shd w:val="clear" w:color="auto" w:fill="FFFFFF"/>
        </w:rPr>
        <w:t>一、单位基本情况</w:t>
      </w:r>
    </w:p>
    <w:p>
      <w:pPr>
        <w:pStyle w:val="5"/>
        <w:shd w:val="clear" w:color="auto" w:fill="FFFFFF"/>
        <w:ind w:firstLine="420"/>
        <w:rPr>
          <w:rStyle w:val="7"/>
          <w:rFonts w:hint="default" w:ascii="楷体" w:hAnsi="楷体" w:eastAsia="楷体" w:cs="楷体"/>
          <w:sz w:val="32"/>
          <w:szCs w:val="32"/>
          <w:shd w:val="clear" w:color="auto" w:fill="FFFFFF"/>
        </w:rPr>
      </w:pPr>
      <w:r>
        <w:rPr>
          <w:rStyle w:val="7"/>
          <w:rFonts w:ascii="楷体" w:hAnsi="楷体" w:eastAsia="楷体" w:cs="楷体"/>
          <w:sz w:val="32"/>
          <w:szCs w:val="32"/>
          <w:shd w:val="clear" w:color="auto" w:fill="FFFFFF"/>
        </w:rPr>
        <w:t>（一）职能职责</w:t>
      </w:r>
    </w:p>
    <w:p>
      <w:pPr>
        <w:pStyle w:val="5"/>
        <w:shd w:val="clear" w:color="auto" w:fill="FFFFFF"/>
        <w:ind w:firstLine="420"/>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rPr>
        <w:t>负责土地登记（含土地承包经营权登记）、房屋登记、林地登记等不动产登记工作；负责登记档案的整理、保管工作；负责收集、分析、发布、反馈农村综合产权交易信息；负责支持引导法律、评估、担保、经纪、策划等中介机构和相关金融机构发展，为农村产权综合流转交易提供法律咨询等配套服务工作。</w:t>
      </w:r>
    </w:p>
    <w:p>
      <w:pPr>
        <w:pStyle w:val="5"/>
        <w:shd w:val="clear" w:color="auto" w:fill="FFFFFF"/>
        <w:ind w:firstLine="420"/>
        <w:rPr>
          <w:rFonts w:hint="default" w:ascii="楷体" w:hAnsi="楷体" w:eastAsia="楷体" w:cs="楷体"/>
          <w:sz w:val="32"/>
          <w:szCs w:val="32"/>
        </w:rPr>
      </w:pPr>
      <w:r>
        <w:rPr>
          <w:rStyle w:val="7"/>
          <w:rFonts w:ascii="楷体" w:hAnsi="楷体" w:eastAsia="楷体" w:cs="楷体"/>
          <w:sz w:val="32"/>
          <w:szCs w:val="32"/>
          <w:shd w:val="clear" w:color="auto" w:fill="FFFFFF"/>
        </w:rPr>
        <w:t>（二）机构设置</w:t>
      </w:r>
    </w:p>
    <w:p>
      <w:pPr>
        <w:autoSpaceDE w:val="0"/>
        <w:spacing w:line="600" w:lineRule="exact"/>
        <w:ind w:firstLine="640" w:firstLineChars="200"/>
        <w:rPr>
          <w:rFonts w:hint="default" w:ascii="方正仿宋_GBK" w:hAnsi="方正仿宋_GBK" w:eastAsia="方正仿宋_GBK" w:cs="方正仿宋_GBK"/>
          <w:sz w:val="32"/>
          <w:szCs w:val="32"/>
        </w:rPr>
      </w:pPr>
      <w:r>
        <w:rPr>
          <w:rFonts w:ascii="仿宋" w:hAnsi="仿宋" w:eastAsia="仿宋"/>
          <w:sz w:val="32"/>
          <w:szCs w:val="32"/>
          <w:shd w:val="clear" w:color="auto" w:fill="FFFFFF"/>
        </w:rPr>
        <w:t>本单位属财政全额拨款的事业单位，为行政副科级单位，</w:t>
      </w:r>
      <w:r>
        <w:rPr>
          <w:rFonts w:ascii="方正仿宋_GBK" w:hAnsi="方正仿宋_GBK" w:eastAsia="方正仿宋_GBK" w:cs="方正仿宋_GBK"/>
          <w:sz w:val="32"/>
          <w:szCs w:val="32"/>
        </w:rPr>
        <w:t>内设综合科、权属登记科、纠纷调处科、信息科。</w:t>
      </w:r>
    </w:p>
    <w:p>
      <w:pPr>
        <w:pStyle w:val="5"/>
        <w:shd w:val="clear" w:color="auto" w:fill="FFFFFF"/>
        <w:ind w:firstLine="643" w:firstLineChars="200"/>
        <w:rPr>
          <w:rStyle w:val="7"/>
          <w:rFonts w:hint="default" w:ascii="黑体" w:hAnsi="黑体" w:eastAsia="黑体" w:cs="黑体"/>
          <w:sz w:val="32"/>
          <w:szCs w:val="32"/>
          <w:shd w:val="clear" w:color="auto" w:fill="FFFFFF"/>
        </w:rPr>
      </w:pPr>
      <w:r>
        <w:rPr>
          <w:rStyle w:val="7"/>
          <w:rFonts w:ascii="黑体" w:hAnsi="黑体" w:eastAsia="黑体" w:cs="黑体"/>
          <w:sz w:val="32"/>
          <w:szCs w:val="32"/>
          <w:shd w:val="clear" w:color="auto" w:fill="FFFFFF"/>
        </w:rPr>
        <w:t>二、单位决算情况说明</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（一）收入支出决算总体情况说明</w:t>
      </w:r>
    </w:p>
    <w:p>
      <w:pPr>
        <w:pStyle w:val="5"/>
        <w:shd w:val="clear" w:color="auto" w:fill="FFFFFF"/>
        <w:ind w:firstLine="643" w:firstLineChars="200"/>
        <w:rPr>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2023年度收入总计1034.91万元，支出总计</w:t>
      </w:r>
      <w:r>
        <w:rPr>
          <w:rFonts w:ascii="方正仿宋_GBK" w:hAnsi="方正仿宋_GBK" w:eastAsia="方正仿宋_GBK" w:cs="方正仿宋_GBK"/>
          <w:sz w:val="32"/>
          <w:szCs w:val="32"/>
        </w:rPr>
        <w:t>1034.91</w:t>
      </w:r>
      <w:r>
        <w:rPr>
          <w:rFonts w:ascii="方正仿宋_GBK" w:hAnsi="方正仿宋_GBK" w:eastAsia="方正仿宋_GBK" w:cs="方正仿宋_GBK"/>
          <w:sz w:val="32"/>
          <w:szCs w:val="32"/>
          <w:shd w:val="clear" w:color="auto" w:fill="FFFFFF"/>
        </w:rPr>
        <w:t>万元。收支较上年决算数减少21.48万元，下降2.03%，主要原因是本年度人员退休减少和取消测绘收费。</w:t>
      </w:r>
    </w:p>
    <w:p>
      <w:pPr>
        <w:pStyle w:val="5"/>
        <w:shd w:val="clear" w:color="auto" w:fill="FFFFFF"/>
        <w:ind w:firstLine="643" w:firstLineChars="200"/>
        <w:rPr>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2023年度收入合计935.62万元，较上年决算数减少73.53万元，下降7.29%，主要原因是本年度取消测绘收费，导致事业收入减少；人员退休减少人员经费和公用经费拨款收入。其中：财政拨款收入</w:t>
      </w:r>
      <w:r>
        <w:rPr>
          <w:rFonts w:ascii="方正仿宋_GBK" w:hAnsi="方正仿宋_GBK" w:eastAsia="方正仿宋_GBK" w:cs="方正仿宋_GBK"/>
          <w:sz w:val="32"/>
          <w:szCs w:val="32"/>
        </w:rPr>
        <w:t>935.58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0.03</w:t>
      </w:r>
      <w:r>
        <w:rPr>
          <w:rFonts w:ascii="方正仿宋_GBK" w:hAnsi="方正仿宋_GBK" w:eastAsia="方正仿宋_GBK" w:cs="方正仿宋_GBK"/>
          <w:sz w:val="32"/>
          <w:szCs w:val="32"/>
          <w:shd w:val="clear" w:color="auto" w:fill="FFFFFF"/>
        </w:rPr>
        <w:t>万元，占0.00%。此外，使用非财政拨款结余和专用结余</w:t>
      </w:r>
      <w:r>
        <w:rPr>
          <w:rFonts w:ascii="方正仿宋_GBK" w:hAnsi="方正仿宋_GBK" w:eastAsia="方正仿宋_GBK" w:cs="方正仿宋_GBK"/>
          <w:sz w:val="32"/>
          <w:szCs w:val="32"/>
        </w:rPr>
        <w:t>80.55</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18.74</w:t>
      </w:r>
      <w:r>
        <w:rPr>
          <w:rFonts w:ascii="方正仿宋_GBK" w:hAnsi="方正仿宋_GBK" w:eastAsia="方正仿宋_GBK" w:cs="方正仿宋_GBK"/>
          <w:sz w:val="32"/>
          <w:szCs w:val="32"/>
          <w:shd w:val="clear" w:color="auto" w:fill="FFFFFF"/>
        </w:rPr>
        <w:t>万元。</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1034.91</w:t>
      </w:r>
      <w:r>
        <w:rPr>
          <w:rFonts w:ascii="方正仿宋_GBK" w:hAnsi="方正仿宋_GBK" w:eastAsia="方正仿宋_GBK" w:cs="方正仿宋_GBK"/>
          <w:sz w:val="32"/>
          <w:szCs w:val="32"/>
          <w:shd w:val="clear" w:color="auto" w:fill="FFFFFF"/>
        </w:rPr>
        <w:t>万元，较上年决算数减少21.48万元，下降2.03%，主要原因是人员退休，厉行节约，公用经费减少。其中：基本支出</w:t>
      </w:r>
      <w:r>
        <w:rPr>
          <w:rFonts w:ascii="方正仿宋_GBK" w:hAnsi="方正仿宋_GBK" w:eastAsia="方正仿宋_GBK" w:cs="方正仿宋_GBK"/>
          <w:sz w:val="32"/>
          <w:szCs w:val="32"/>
        </w:rPr>
        <w:t>938.29</w:t>
      </w:r>
      <w:r>
        <w:rPr>
          <w:rFonts w:ascii="方正仿宋_GBK" w:hAnsi="方正仿宋_GBK" w:eastAsia="方正仿宋_GBK" w:cs="方正仿宋_GBK"/>
          <w:sz w:val="32"/>
          <w:szCs w:val="32"/>
          <w:shd w:val="clear" w:color="auto" w:fill="FFFFFF"/>
        </w:rPr>
        <w:t>万元，占90.66%；项目支出</w:t>
      </w:r>
      <w:r>
        <w:rPr>
          <w:rFonts w:ascii="方正仿宋_GBK" w:hAnsi="方正仿宋_GBK" w:eastAsia="方正仿宋_GBK" w:cs="方正仿宋_GBK"/>
          <w:sz w:val="32"/>
          <w:szCs w:val="32"/>
        </w:rPr>
        <w:t>96.62</w:t>
      </w:r>
      <w:r>
        <w:rPr>
          <w:rFonts w:ascii="方正仿宋_GBK" w:hAnsi="方正仿宋_GBK" w:eastAsia="方正仿宋_GBK" w:cs="方正仿宋_GBK"/>
          <w:sz w:val="32"/>
          <w:szCs w:val="32"/>
          <w:shd w:val="clear" w:color="auto" w:fill="FFFFFF"/>
        </w:rPr>
        <w:t>万元，占9.34%；经营支出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万元，占0.00%。此外，结余分配</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万元，较上年决算数无增减，主要原因是本年无结转结余。</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（二）财政拨款收入支出决算总体情况说明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2023年度财政拨款收、支总计954.33万元。与2022年相比，财政拨款收、支总计各减少11.62万元，下降1.20%。主要原因是人员退休，相应减少工资社保公用经费等财政拨款。</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（三）一般公共预算财政拨款收入支出决算情况说明</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935.58</w:t>
      </w:r>
      <w:r>
        <w:rPr>
          <w:rFonts w:ascii="方正仿宋_GBK" w:hAnsi="方正仿宋_GBK" w:eastAsia="方正仿宋_GBK" w:cs="方正仿宋_GBK"/>
          <w:sz w:val="32"/>
          <w:szCs w:val="32"/>
          <w:shd w:val="clear" w:color="auto" w:fill="FFFFFF"/>
        </w:rPr>
        <w:t>万元，较上年决算数减少30.37万元，下降3.14%。主要原因是人员退休，相应减少工资社保公用经费等财政拨款。较年初预算数增加76.44万元，增长8.90%。主要原因是人员正常晋升和补发以前年度绩效工资。此外，年初财政拨款结转和结余</w:t>
      </w:r>
      <w:r>
        <w:rPr>
          <w:rFonts w:ascii="方正仿宋_GBK" w:hAnsi="方正仿宋_GBK" w:eastAsia="方正仿宋_GBK" w:cs="方正仿宋_GBK"/>
          <w:sz w:val="32"/>
          <w:szCs w:val="32"/>
        </w:rPr>
        <w:t>18.74</w:t>
      </w:r>
      <w:r>
        <w:rPr>
          <w:rFonts w:ascii="方正仿宋_GBK" w:hAnsi="方正仿宋_GBK" w:eastAsia="方正仿宋_GBK" w:cs="方正仿宋_GBK"/>
          <w:sz w:val="32"/>
          <w:szCs w:val="32"/>
          <w:shd w:val="clear" w:color="auto" w:fill="FFFFFF"/>
        </w:rPr>
        <w:t>万元。</w:t>
      </w:r>
    </w:p>
    <w:p>
      <w:pPr>
        <w:autoSpaceDE w:val="0"/>
        <w:spacing w:line="600" w:lineRule="exact"/>
        <w:ind w:firstLine="643" w:firstLineChars="200"/>
        <w:rPr>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954.33</w:t>
      </w:r>
      <w:r>
        <w:rPr>
          <w:rFonts w:ascii="方正仿宋_GBK" w:hAnsi="方正仿宋_GBK" w:eastAsia="方正仿宋_GBK" w:cs="方正仿宋_GBK"/>
          <w:sz w:val="32"/>
          <w:szCs w:val="32"/>
          <w:shd w:val="clear" w:color="auto" w:fill="FFFFFF"/>
        </w:rPr>
        <w:t>万元，较上年决算数减少11.62万元，下降1.20%。主要原因是有人员退休，人员经费和公用经费都随之减少。较年初预算数增加95.19万元，增长11.08%。主要原因是人员正常晋升和补发以前年度绩效工资致财政拨款支出增加。</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万元，较上年决算数无增减，主要原因是本年无结转结余。</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color w:val="FF0000"/>
          <w:sz w:val="32"/>
          <w:szCs w:val="32"/>
          <w:highlight w:val="cyan"/>
          <w:shd w:val="clear" w:color="auto" w:fill="FFFFFF"/>
        </w:rPr>
      </w:pPr>
      <w:r>
        <w:rPr>
          <w:rStyle w:val="7"/>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本单位2023年度一般公共预算财政拨款支出主要用于以下几个方面：</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（1）教育支出</w:t>
      </w:r>
      <w:r>
        <w:rPr>
          <w:rFonts w:ascii="方正仿宋_GBK" w:hAnsi="方正仿宋_GBK" w:eastAsia="方正仿宋_GBK" w:cs="方正仿宋_GBK"/>
          <w:sz w:val="32"/>
          <w:szCs w:val="32"/>
        </w:rPr>
        <w:t>1.92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0.20</w:t>
      </w:r>
      <w:r>
        <w:rPr>
          <w:rFonts w:ascii="方正仿宋_GBK" w:hAnsi="方正仿宋_GBK" w:eastAsia="方正仿宋_GBK" w:cs="方正仿宋_GBK"/>
          <w:sz w:val="32"/>
          <w:szCs w:val="32"/>
          <w:shd w:val="clear" w:color="auto" w:fill="FFFFFF"/>
        </w:rPr>
        <w:t>%，较年初预算数减少0.50万元，下降20.66%，主要原因是人员减少，培训经费减少。</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（2）社会保障与就业支出</w:t>
      </w:r>
      <w:r>
        <w:rPr>
          <w:rFonts w:ascii="方正仿宋_GBK" w:hAnsi="方正仿宋_GBK" w:eastAsia="方正仿宋_GBK" w:cs="方正仿宋_GBK"/>
          <w:sz w:val="32"/>
          <w:szCs w:val="32"/>
        </w:rPr>
        <w:t>104.11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10.91</w:t>
      </w:r>
      <w:r>
        <w:rPr>
          <w:rFonts w:ascii="方正仿宋_GBK" w:hAnsi="方正仿宋_GBK" w:eastAsia="方正仿宋_GBK" w:cs="方正仿宋_GBK"/>
          <w:sz w:val="32"/>
          <w:szCs w:val="32"/>
          <w:shd w:val="clear" w:color="auto" w:fill="FFFFFF"/>
        </w:rPr>
        <w:t>%，较年初预算数减少0.21万元，下降0.20%，主要原因是人员发生退休，社保等减少。</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（3）卫生健康支出27.06万元，占2.84%，较年初预算数减少0.91万元，下降3.25%，主要原因是存在人员退休减少支出。</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（4）自然资源海洋气象等支出776.95万元，占81.41%，较年初预算数增加86.09万元，增长12.46%，主要原因是人员工资正常晋升和补发以前年度绩效工资。</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（5）住房保障支出44.29万元，占4.64%，较年初预算数增加10.72万元，增长31.93%，主要原因是人员正常晋升，缴费基数调增。</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（四）一般公共预算财政拨款基本支出决算情况说明</w:t>
      </w:r>
    </w:p>
    <w:p>
      <w:pPr>
        <w:autoSpaceDE w:val="0"/>
        <w:spacing w:line="600" w:lineRule="exact"/>
        <w:ind w:firstLine="640" w:firstLineChars="200"/>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857.71</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755.29</w:t>
      </w:r>
      <w:r>
        <w:rPr>
          <w:rFonts w:ascii="方正仿宋_GBK" w:hAnsi="方正仿宋_GBK" w:eastAsia="方正仿宋_GBK" w:cs="方正仿宋_GBK"/>
          <w:sz w:val="32"/>
          <w:szCs w:val="32"/>
          <w:shd w:val="clear" w:color="auto" w:fill="FFFFFF"/>
        </w:rPr>
        <w:t>万元，较上年决算数减少18.46万元，下降2.39%，主要原因是有人员退休，所以人员经费减少。人员经费用途主要包括</w:t>
      </w:r>
      <w:r>
        <w:rPr>
          <w:rFonts w:ascii="方正仿宋_GBK" w:hAnsi="方正仿宋_GBK" w:eastAsia="方正仿宋_GBK" w:cs="方正仿宋_GBK"/>
          <w:sz w:val="32"/>
          <w:szCs w:val="32"/>
        </w:rPr>
        <w:t>基本工资、津贴补贴、绩效工资、机关事业单位基本养老保险缴费、职业年金缴费、职工基本医疗保险缴费、其他社会保障费、住房公积金、医疗费、其他工资福利支出。</w:t>
      </w:r>
      <w:r>
        <w:rPr>
          <w:rFonts w:ascii="方正仿宋_GBK" w:hAnsi="方正仿宋_GBK" w:eastAsia="方正仿宋_GBK" w:cs="方正仿宋_GBK"/>
          <w:sz w:val="32"/>
          <w:szCs w:val="32"/>
          <w:shd w:val="clear" w:color="auto" w:fill="FFFFFF"/>
        </w:rPr>
        <w:t>公用经费</w:t>
      </w:r>
      <w:r>
        <w:rPr>
          <w:rFonts w:ascii="方正仿宋_GBK" w:hAnsi="方正仿宋_GBK" w:eastAsia="方正仿宋_GBK" w:cs="方正仿宋_GBK"/>
          <w:sz w:val="32"/>
          <w:szCs w:val="32"/>
        </w:rPr>
        <w:t>102.41</w:t>
      </w:r>
      <w:r>
        <w:rPr>
          <w:rFonts w:ascii="方正仿宋_GBK" w:hAnsi="方正仿宋_GBK" w:eastAsia="方正仿宋_GBK" w:cs="方正仿宋_GBK"/>
          <w:sz w:val="32"/>
          <w:szCs w:val="32"/>
          <w:shd w:val="clear" w:color="auto" w:fill="FFFFFF"/>
        </w:rPr>
        <w:t>万元，较上年决算数减少18.39万元，下降15.22%，主要原因是</w:t>
      </w:r>
      <w:r>
        <w:rPr>
          <w:rFonts w:ascii="方正仿宋_GBK" w:hAnsi="方正仿宋_GBK" w:eastAsia="方正仿宋_GBK" w:cs="方正仿宋_GBK"/>
          <w:sz w:val="32"/>
          <w:szCs w:val="32"/>
        </w:rPr>
        <w:t>人员发生退休且厉行节约，公用经费减少。公用经费用途主要包</w:t>
      </w:r>
      <w:r>
        <w:rPr>
          <w:rFonts w:ascii="方正仿宋_GBK" w:hAnsi="方正仿宋_GBK" w:eastAsia="方正仿宋_GBK" w:cs="方正仿宋_GBK"/>
          <w:sz w:val="32"/>
          <w:szCs w:val="32"/>
          <w:shd w:val="clear" w:color="auto" w:fill="FFFFFF"/>
        </w:rPr>
        <w:t>括</w:t>
      </w:r>
      <w:r>
        <w:rPr>
          <w:rFonts w:ascii="方正仿宋_GBK" w:hAnsi="方正仿宋_GBK" w:eastAsia="方正仿宋_GBK" w:cs="方正仿宋_GBK"/>
          <w:sz w:val="32"/>
          <w:szCs w:val="32"/>
        </w:rPr>
        <w:t>办公费、电费、邮电费、印刷费、差旅费、公务用车运行维护费、劳务费、其他商品和服务支出。</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（五）政府性基金预算收支决算情况说明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Times New Roman" w:hAnsi="Times New Roman" w:eastAsia="方正仿宋_GBK"/>
          <w:color w:val="000000"/>
          <w:sz w:val="32"/>
          <w:szCs w:val="32"/>
          <w:shd w:val="clear" w:color="auto" w:fill="FFFFFF"/>
        </w:rPr>
        <w:t>2023年度政府性基金预算财政拨款年初结转结余0.00万元，年末结转结余0.00万元。本年收入0.00万元，较上年决算数无增减，主要原因是本年度无政府性基金预算财政拨款收入。本年支出0.00万元，较上年决算数无增减，主要原因是本年度无政府性基金预算财政拨款支出。本单位2023年度无政府性基金预算财政拨款收支。</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（六）国有资本经营预算财政拨款支出决算情况说明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rPr>
        <w:t>本单位2023年度无国有资本经营预算财政拨款支出。</w:t>
      </w:r>
    </w:p>
    <w:p>
      <w:pPr>
        <w:pStyle w:val="5"/>
        <w:shd w:val="clear" w:color="auto" w:fill="FFFFFF"/>
        <w:ind w:firstLine="643" w:firstLineChars="200"/>
        <w:rPr>
          <w:rStyle w:val="7"/>
          <w:rFonts w:hint="default" w:ascii="黑体" w:hAnsi="黑体" w:eastAsia="黑体" w:cs="黑体"/>
          <w:sz w:val="32"/>
          <w:szCs w:val="32"/>
          <w:shd w:val="clear" w:color="auto" w:fill="FFFFFF"/>
        </w:rPr>
      </w:pPr>
      <w:r>
        <w:rPr>
          <w:rStyle w:val="7"/>
          <w:rFonts w:ascii="黑体" w:hAnsi="黑体" w:eastAsia="黑体" w:cs="黑体"/>
          <w:sz w:val="32"/>
          <w:szCs w:val="32"/>
          <w:shd w:val="clear" w:color="auto" w:fill="FFFFFF"/>
        </w:rPr>
        <w:t>三、“三公”经费情况说明</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 xml:space="preserve"> （一）“三公”经费支出总体情况说明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3.46</w:t>
      </w:r>
      <w:r>
        <w:rPr>
          <w:rFonts w:ascii="方正仿宋_GBK" w:hAnsi="方正仿宋_GBK" w:eastAsia="方正仿宋_GBK" w:cs="方正仿宋_GBK"/>
          <w:sz w:val="32"/>
          <w:szCs w:val="32"/>
          <w:shd w:val="clear" w:color="auto" w:fill="FFFFFF"/>
        </w:rPr>
        <w:t>万元，较年初预算数减少0.54万元，下降13.50%，主要原因</w:t>
      </w:r>
      <w:r>
        <w:rPr>
          <w:rFonts w:ascii="方正仿宋_GBK" w:hAnsi="方正仿宋_GBK" w:eastAsia="方正仿宋_GBK" w:cs="方正仿宋_GBK"/>
          <w:sz w:val="32"/>
          <w:szCs w:val="32"/>
        </w:rPr>
        <w:t>一是认真贯彻落实中央八项规定精神和厉行节约要求，按照只减不增的要求从严控制三公经费，全年实际支出较预算和决算均有所下降。二是严格落实公车使用规定，严禁公车私用，公车运行维护成本大幅下降。三是强化公务接待支出管理，严格遵守公务接待开支范围和开支标准，无公务接待费。四是进一步规范因公出国（境）活动，2023年未安排单位人员出国出访。</w:t>
      </w:r>
      <w:r>
        <w:rPr>
          <w:rFonts w:ascii="方正仿宋_GBK" w:hAnsi="方正仿宋_GBK" w:eastAsia="方正仿宋_GBK" w:cs="方正仿宋_GBK"/>
          <w:sz w:val="32"/>
          <w:szCs w:val="32"/>
          <w:shd w:val="clear" w:color="auto" w:fill="FFFFFF"/>
        </w:rPr>
        <w:t>较上年支出数增加1.36万元，增长64.76%，主要原因是本年下乡核实登记办证等次数增加，油耗及车辆维修费增加。</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（二）“三公”经费分项支出情况</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2023年度本单位因公出国（境）费用</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万元，主要是用于单位公务出国（境）的国外城市间交通费、住宿费、培训费等支出。费用支出较年初预算数无增减，</w:t>
      </w:r>
      <w:r>
        <w:rPr>
          <w:rFonts w:ascii="方正仿宋_GBK" w:hAnsi="方正仿宋_GBK" w:eastAsia="方正仿宋_GBK" w:cs="方正仿宋_GBK"/>
          <w:sz w:val="32"/>
          <w:szCs w:val="32"/>
        </w:rPr>
        <w:t>与预算持平。</w:t>
      </w:r>
      <w:r>
        <w:rPr>
          <w:rFonts w:ascii="方正仿宋_GBK" w:hAnsi="方正仿宋_GBK" w:eastAsia="方正仿宋_GBK" w:cs="方正仿宋_GBK"/>
          <w:sz w:val="32"/>
          <w:szCs w:val="32"/>
          <w:shd w:val="clear" w:color="auto" w:fill="FFFFFF"/>
        </w:rPr>
        <w:t>较上年支出数无增减，</w:t>
      </w:r>
      <w:r>
        <w:rPr>
          <w:rFonts w:ascii="方正仿宋_GBK" w:hAnsi="方正仿宋_GBK" w:eastAsia="方正仿宋_GBK" w:cs="方正仿宋_GBK"/>
          <w:sz w:val="32"/>
          <w:szCs w:val="32"/>
        </w:rPr>
        <w:t>与上年持平。主要原因是今年和去年均未安排单位人员出国出访，2023年未发生因公出国（境）费用。</w:t>
      </w:r>
    </w:p>
    <w:p>
      <w:pPr>
        <w:spacing w:line="560" w:lineRule="exact"/>
        <w:ind w:firstLine="640" w:firstLineChars="200"/>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公务车购置费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万元，主要用于公务用车购置支出。费用支出较年初预算数无增减，</w:t>
      </w:r>
      <w:r>
        <w:rPr>
          <w:rFonts w:ascii="方正仿宋_GBK" w:hAnsi="方正仿宋_GBK" w:eastAsia="方正仿宋_GBK" w:cs="方正仿宋_GBK"/>
          <w:sz w:val="32"/>
          <w:szCs w:val="32"/>
        </w:rPr>
        <w:t>与预算持平。</w:t>
      </w:r>
      <w:r>
        <w:rPr>
          <w:rFonts w:ascii="方正仿宋_GBK" w:hAnsi="方正仿宋_GBK" w:eastAsia="方正仿宋_GBK" w:cs="方正仿宋_GBK"/>
          <w:sz w:val="32"/>
          <w:szCs w:val="32"/>
          <w:shd w:val="clear" w:color="auto" w:fill="FFFFFF"/>
        </w:rPr>
        <w:t>较上年支出数无增减，</w:t>
      </w:r>
      <w:r>
        <w:rPr>
          <w:rFonts w:ascii="方正仿宋_GBK" w:hAnsi="方正仿宋_GBK" w:eastAsia="方正仿宋_GBK" w:cs="方正仿宋_GBK"/>
          <w:sz w:val="32"/>
          <w:szCs w:val="32"/>
        </w:rPr>
        <w:t>与上年持平。</w:t>
      </w:r>
      <w:r>
        <w:rPr>
          <w:rFonts w:ascii="方正仿宋_GBK" w:hAnsi="方正仿宋_GBK" w:eastAsia="方正仿宋_GBK" w:cs="方正仿宋_GBK"/>
          <w:sz w:val="32"/>
          <w:szCs w:val="32"/>
          <w:shd w:val="clear" w:color="auto" w:fill="FFFFFF"/>
        </w:rPr>
        <w:t>主要原因是</w:t>
      </w:r>
      <w:r>
        <w:rPr>
          <w:rFonts w:ascii="方正仿宋_GBK" w:hAnsi="方正仿宋_GBK" w:eastAsia="方正仿宋_GBK" w:cs="方正仿宋_GBK"/>
          <w:sz w:val="32"/>
          <w:szCs w:val="32"/>
        </w:rPr>
        <w:t>今年和去年未购置公务车辆，2023年未发生公务车购置费。</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公务车运行维护费</w:t>
      </w:r>
      <w:r>
        <w:rPr>
          <w:rFonts w:ascii="方正仿宋_GBK" w:hAnsi="方正仿宋_GBK" w:eastAsia="方正仿宋_GBK" w:cs="方正仿宋_GBK"/>
          <w:sz w:val="32"/>
          <w:szCs w:val="32"/>
        </w:rPr>
        <w:t>3.46</w:t>
      </w:r>
      <w:r>
        <w:rPr>
          <w:rFonts w:ascii="方正仿宋_GBK" w:hAnsi="方正仿宋_GBK" w:eastAsia="方正仿宋_GBK" w:cs="方正仿宋_GBK"/>
          <w:sz w:val="32"/>
          <w:szCs w:val="32"/>
          <w:shd w:val="clear" w:color="auto" w:fill="FFFFFF"/>
        </w:rPr>
        <w:t>万元，主要用于</w:t>
      </w:r>
      <w:r>
        <w:rPr>
          <w:rFonts w:ascii="方正仿宋_GBK" w:hAnsi="方正仿宋_GBK" w:eastAsia="方正仿宋_GBK" w:cs="方正仿宋_GBK"/>
          <w:sz w:val="32"/>
          <w:szCs w:val="32"/>
        </w:rPr>
        <w:t>车辆运行加油费、过路费、车辆维修费。</w:t>
      </w:r>
      <w:r>
        <w:rPr>
          <w:rFonts w:ascii="方正仿宋_GBK" w:hAnsi="方正仿宋_GBK" w:eastAsia="方正仿宋_GBK" w:cs="方正仿宋_GBK"/>
          <w:sz w:val="32"/>
          <w:szCs w:val="32"/>
          <w:shd w:val="clear" w:color="auto" w:fill="FFFFFF"/>
        </w:rPr>
        <w:t>费用支出较年初预算数减少0.54万元，下降13.50%，主要原因是厉行节约，</w:t>
      </w:r>
      <w:r>
        <w:rPr>
          <w:rFonts w:ascii="方正仿宋_GBK" w:hAnsi="方正仿宋_GBK" w:eastAsia="方正仿宋_GBK" w:cs="方正仿宋_GBK"/>
          <w:sz w:val="32"/>
          <w:szCs w:val="32"/>
        </w:rPr>
        <w:t>加强公务车管理，合理安排出行路径</w:t>
      </w:r>
      <w:r>
        <w:rPr>
          <w:rFonts w:ascii="方正仿宋_GBK" w:hAnsi="方正仿宋_GBK" w:eastAsia="方正仿宋_GBK" w:cs="方正仿宋_GBK"/>
          <w:sz w:val="32"/>
          <w:szCs w:val="32"/>
          <w:shd w:val="clear" w:color="auto" w:fill="FFFFFF"/>
        </w:rPr>
        <w:t>。较上年支出数增加1.36万元，增长64.76%，主要原因是本年下乡核实登记办证等次数增加，油耗及车辆维修费增加。</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公务接待费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万元，费用支出较年初预算数无增减，</w:t>
      </w:r>
      <w:r>
        <w:rPr>
          <w:rFonts w:ascii="方正仿宋_GBK" w:hAnsi="方正仿宋_GBK" w:eastAsia="方正仿宋_GBK" w:cs="方正仿宋_GBK"/>
          <w:sz w:val="32"/>
          <w:szCs w:val="32"/>
        </w:rPr>
        <w:t>与预算持平。</w:t>
      </w:r>
      <w:r>
        <w:rPr>
          <w:rFonts w:ascii="方正仿宋_GBK" w:hAnsi="方正仿宋_GBK" w:eastAsia="方正仿宋_GBK" w:cs="方正仿宋_GBK"/>
          <w:sz w:val="32"/>
          <w:szCs w:val="32"/>
          <w:shd w:val="clear" w:color="auto" w:fill="FFFFFF"/>
        </w:rPr>
        <w:t>较上年支出数无增减，</w:t>
      </w:r>
      <w:r>
        <w:rPr>
          <w:rFonts w:ascii="方正仿宋_GBK" w:hAnsi="方正仿宋_GBK" w:eastAsia="方正仿宋_GBK" w:cs="方正仿宋_GBK"/>
          <w:sz w:val="32"/>
          <w:szCs w:val="32"/>
        </w:rPr>
        <w:t>与上年持平。</w:t>
      </w:r>
      <w:r>
        <w:rPr>
          <w:rFonts w:ascii="方正仿宋_GBK" w:hAnsi="方正仿宋_GBK" w:eastAsia="方正仿宋_GBK" w:cs="方正仿宋_GBK"/>
          <w:sz w:val="32"/>
          <w:szCs w:val="32"/>
          <w:shd w:val="clear" w:color="auto" w:fill="FFFFFF"/>
        </w:rPr>
        <w:t>主要原因是本单位2023年无公务接待费。</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（三）“三公”经费实物量情况</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2023年度本单位因公出国（境）共计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人。2023年本单位人均接待费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3.46</w:t>
      </w:r>
      <w:r>
        <w:rPr>
          <w:rFonts w:ascii="方正仿宋_GBK" w:hAnsi="方正仿宋_GBK" w:eastAsia="方正仿宋_GBK" w:cs="方正仿宋_GBK"/>
          <w:sz w:val="32"/>
          <w:szCs w:val="32"/>
          <w:shd w:val="clear" w:color="auto" w:fill="FFFFFF"/>
        </w:rPr>
        <w:t>万元。</w:t>
      </w:r>
    </w:p>
    <w:p>
      <w:pPr>
        <w:pStyle w:val="5"/>
        <w:shd w:val="clear" w:color="auto" w:fill="FFFFFF"/>
        <w:ind w:firstLine="643" w:firstLineChars="200"/>
        <w:rPr>
          <w:rStyle w:val="7"/>
          <w:rFonts w:hint="default" w:ascii="方正仿宋_GBK" w:hAnsi="方正仿宋_GBK" w:eastAsia="方正仿宋_GBK" w:cs="方正仿宋_GBK"/>
          <w:sz w:val="32"/>
          <w:szCs w:val="32"/>
          <w:shd w:val="clear" w:color="auto" w:fill="FFFFFF"/>
        </w:rPr>
      </w:pPr>
      <w:r>
        <w:rPr>
          <w:rStyle w:val="7"/>
          <w:rFonts w:ascii="黑体" w:hAnsi="黑体" w:eastAsia="黑体" w:cs="黑体"/>
          <w:sz w:val="32"/>
          <w:szCs w:val="32"/>
          <w:shd w:val="clear" w:color="auto" w:fill="FFFFFF"/>
        </w:rPr>
        <w:t>四、其他需要说明的事项</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（一）财政拨款会议费和培训费情况说明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本年度会议费支出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万元，较上年决算数无增减，主要原因是本年未发生会议费。本年度培训费支出</w:t>
      </w:r>
      <w:r>
        <w:rPr>
          <w:rFonts w:ascii="方正仿宋_GBK" w:hAnsi="方正仿宋_GBK" w:eastAsia="方正仿宋_GBK" w:cs="方正仿宋_GBK"/>
          <w:sz w:val="32"/>
          <w:szCs w:val="32"/>
        </w:rPr>
        <w:t>1.73</w:t>
      </w:r>
      <w:r>
        <w:rPr>
          <w:rFonts w:ascii="方正仿宋_GBK" w:hAnsi="方正仿宋_GBK" w:eastAsia="方正仿宋_GBK" w:cs="方正仿宋_GBK"/>
          <w:sz w:val="32"/>
          <w:szCs w:val="32"/>
          <w:shd w:val="clear" w:color="auto" w:fill="FFFFFF"/>
        </w:rPr>
        <w:t>万元，较上年决算数增加1.71万元，增长8550.00%，主要原因是本年增加了党员远程教育费。</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（二）机关运行经费情况说明</w:t>
      </w:r>
    </w:p>
    <w:p>
      <w:pPr>
        <w:pStyle w:val="10"/>
        <w:autoSpaceDE w:val="0"/>
        <w:ind w:firstLine="640"/>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 xml:space="preserve">2023年度本单位机关运行经费支出0.00万元，机关运行经费较上年支出数无增减，主要原因是按照部门决算列报口径，我单位不在机关运行经费统计范围之内。 </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（三）国有资产占用情况说明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截至2023年12月31日，本单位共有车辆</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（四）政府采购支出情况说明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2023年度本部门政府采购支出总额</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万元，其中：政府采购货物支出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万元、政府采购工程支出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万元、政府采购服务支出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万元。授予中小企业合同金额</w:t>
      </w:r>
      <w:r>
        <w:rPr>
          <w:rFonts w:ascii="方正仿宋_GBK" w:hAnsi="方正仿宋_GBK" w:eastAsia="方正仿宋_GBK" w:cs="方正仿宋_GBK"/>
          <w:sz w:val="32"/>
          <w:szCs w:val="32"/>
        </w:rPr>
        <w:t>0.00万</w:t>
      </w:r>
      <w:r>
        <w:rPr>
          <w:rFonts w:ascii="方正仿宋_GBK" w:hAnsi="方正仿宋_GBK" w:eastAsia="方正仿宋_GBK" w:cs="方正仿宋_GBK"/>
          <w:sz w:val="32"/>
          <w:szCs w:val="32"/>
          <w:shd w:val="clear" w:color="auto" w:fill="FFFFFF"/>
        </w:rPr>
        <w:t>元，占政府采购支出总额的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%，其中：授予小微企业合同金额</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万元，占政府采购支出总额的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 xml:space="preserve"> %。2023年度我单位未发生政府采购事项，无相关经费支出。</w:t>
      </w:r>
    </w:p>
    <w:p>
      <w:pPr>
        <w:pStyle w:val="5"/>
        <w:shd w:val="clear" w:color="auto" w:fill="FFFFFF"/>
        <w:rPr>
          <w:rStyle w:val="7"/>
          <w:rFonts w:hint="default" w:ascii="黑体" w:hAnsi="黑体" w:eastAsia="黑体" w:cs="黑体"/>
          <w:sz w:val="32"/>
          <w:szCs w:val="32"/>
          <w:shd w:val="clear" w:color="auto" w:fill="FFFFFF"/>
        </w:rPr>
      </w:pPr>
      <w:r>
        <w:rPr>
          <w:rStyle w:val="7"/>
          <w:rFonts w:ascii="黑体" w:hAnsi="黑体" w:eastAsia="黑体" w:cs="黑体"/>
          <w:sz w:val="32"/>
          <w:szCs w:val="32"/>
          <w:shd w:val="clear" w:color="auto" w:fill="FFFFFF"/>
        </w:rPr>
        <w:t xml:space="preserve">    五、预算绩效管理情况说明</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（一）单位自评情况</w:t>
      </w:r>
    </w:p>
    <w:p>
      <w:pPr>
        <w:pStyle w:val="11"/>
        <w:autoSpaceDE w:val="0"/>
        <w:spacing w:before="0" w:beforeAutospacing="0" w:line="600" w:lineRule="exact"/>
        <w:ind w:firstLine="640" w:firstLineChars="200"/>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根据预算绩效管理要求，我单位2个二级项目开展了绩效自评，涉及财政拨款项目支出资金96.62万元。</w:t>
      </w:r>
    </w:p>
    <w:p>
      <w:pPr>
        <w:pStyle w:val="11"/>
        <w:autoSpaceDE w:val="0"/>
        <w:spacing w:before="0" w:beforeAutospacing="0" w:line="600" w:lineRule="exact"/>
        <w:ind w:firstLine="640" w:firstLineChars="200"/>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绩效自评表格：</w:t>
      </w:r>
    </w:p>
    <w:tbl>
      <w:tblPr>
        <w:tblStyle w:val="8"/>
        <w:tblpPr w:leftFromText="180" w:rightFromText="180" w:vertAnchor="text" w:horzAnchor="page" w:tblpX="1484" w:tblpY="712"/>
        <w:tblOverlap w:val="never"/>
        <w:tblW w:w="9495"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915"/>
        <w:gridCol w:w="450"/>
        <w:gridCol w:w="180"/>
        <w:gridCol w:w="870"/>
        <w:gridCol w:w="764"/>
        <w:gridCol w:w="76"/>
        <w:gridCol w:w="360"/>
        <w:gridCol w:w="285"/>
        <w:gridCol w:w="616"/>
        <w:gridCol w:w="299"/>
        <w:gridCol w:w="120"/>
        <w:gridCol w:w="570"/>
        <w:gridCol w:w="115"/>
        <w:gridCol w:w="380"/>
        <w:gridCol w:w="375"/>
        <w:gridCol w:w="555"/>
        <w:gridCol w:w="315"/>
        <w:gridCol w:w="645"/>
        <w:gridCol w:w="120"/>
        <w:gridCol w:w="135"/>
        <w:gridCol w:w="615"/>
        <w:gridCol w:w="735"/>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800" w:hRule="atLeast"/>
        </w:trPr>
        <w:tc>
          <w:tcPr>
            <w:tcW w:w="9495" w:type="dxa"/>
            <w:gridSpan w:val="22"/>
            <w:tcBorders>
              <w:bottom w:val="single" w:color="000000" w:sz="4" w:space="0"/>
            </w:tcBorders>
            <w:vAlign w:val="center"/>
          </w:tcPr>
          <w:p>
            <w:pPr>
              <w:jc w:val="center"/>
              <w:textAlignment w:val="center"/>
              <w:rPr>
                <w:rFonts w:hint="default" w:ascii="微软雅黑" w:hAnsi="微软雅黑" w:eastAsia="微软雅黑" w:cs="微软雅黑"/>
                <w:b/>
                <w:bCs/>
                <w:color w:val="000000"/>
                <w:sz w:val="18"/>
                <w:szCs w:val="18"/>
              </w:rPr>
            </w:pPr>
            <w:r>
              <w:rPr>
                <w:rFonts w:ascii="微软雅黑" w:hAnsi="微软雅黑" w:eastAsia="微软雅黑" w:cs="微软雅黑"/>
                <w:b/>
                <w:bCs/>
                <w:color w:val="000000"/>
                <w:sz w:val="18"/>
                <w:szCs w:val="18"/>
                <w:lang/>
              </w:rPr>
              <w:t>2023年度二级项目绩效自评表</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9495" w:type="dxa"/>
            <w:gridSpan w:val="22"/>
            <w:tcBorders>
              <w:top w:val="single" w:color="000000" w:sz="4" w:space="0"/>
              <w:bottom w:val="single" w:color="000000" w:sz="4" w:space="0"/>
            </w:tcBorders>
            <w:vAlign w:val="center"/>
          </w:tcPr>
          <w:p>
            <w:pPr>
              <w:jc w:val="right"/>
              <w:textAlignment w:val="center"/>
              <w:rPr>
                <w:rFonts w:hint="default" w:cs="宋体"/>
                <w:b/>
                <w:bCs/>
                <w:color w:val="DA3232"/>
                <w:sz w:val="18"/>
                <w:szCs w:val="18"/>
              </w:rPr>
            </w:pPr>
            <w:r>
              <w:rPr>
                <w:rFonts w:cs="宋体"/>
                <w:b/>
                <w:bCs/>
                <w:color w:val="DA3232"/>
                <w:sz w:val="18"/>
                <w:szCs w:val="18"/>
                <w:lang/>
              </w:rPr>
              <w:t>状态：绩效审核已审</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915" w:type="dxa"/>
            <w:tcBorders>
              <w:top w:val="single" w:color="000000" w:sz="4" w:space="0"/>
              <w:bottom w:val="single" w:color="000000" w:sz="4" w:space="0"/>
              <w:right w:val="single" w:color="000000" w:sz="4" w:space="0"/>
            </w:tcBorders>
            <w:vAlign w:val="center"/>
          </w:tcPr>
          <w:p>
            <w:pPr>
              <w:textAlignment w:val="center"/>
              <w:rPr>
                <w:rFonts w:hint="default" w:cs="宋体"/>
                <w:b/>
                <w:bCs/>
                <w:color w:val="000000"/>
                <w:sz w:val="18"/>
                <w:szCs w:val="18"/>
              </w:rPr>
            </w:pPr>
            <w:r>
              <w:rPr>
                <w:rFonts w:cs="宋体"/>
                <w:b/>
                <w:bCs/>
                <w:color w:val="000000"/>
                <w:sz w:val="18"/>
                <w:szCs w:val="18"/>
                <w:lang/>
              </w:rPr>
              <w:t>项目名称：</w:t>
            </w:r>
          </w:p>
        </w:tc>
        <w:tc>
          <w:tcPr>
            <w:tcW w:w="150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18"/>
                <w:szCs w:val="18"/>
              </w:rPr>
            </w:pPr>
            <w:r>
              <w:rPr>
                <w:rFonts w:cs="宋体"/>
                <w:color w:val="000000"/>
                <w:sz w:val="18"/>
                <w:szCs w:val="18"/>
                <w:lang/>
              </w:rPr>
              <w:t>购买服务人员工资</w:t>
            </w:r>
          </w:p>
        </w:tc>
        <w:tc>
          <w:tcPr>
            <w:tcW w:w="120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bCs/>
                <w:color w:val="000000"/>
                <w:sz w:val="18"/>
                <w:szCs w:val="18"/>
              </w:rPr>
            </w:pPr>
            <w:r>
              <w:rPr>
                <w:rFonts w:cs="宋体"/>
                <w:b/>
                <w:bCs/>
                <w:color w:val="000000"/>
                <w:sz w:val="18"/>
                <w:szCs w:val="18"/>
                <w:lang/>
              </w:rPr>
              <w:t>项目编码：</w:t>
            </w:r>
          </w:p>
        </w:tc>
        <w:tc>
          <w:tcPr>
            <w:tcW w:w="1320" w:type="dxa"/>
            <w:gridSpan w:val="4"/>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18"/>
                <w:szCs w:val="18"/>
              </w:rPr>
            </w:pPr>
            <w:r>
              <w:rPr>
                <w:rFonts w:cs="宋体"/>
                <w:color w:val="000000"/>
                <w:sz w:val="18"/>
                <w:szCs w:val="18"/>
                <w:lang/>
              </w:rPr>
              <w:t>50023122T000000109535</w:t>
            </w:r>
          </w:p>
        </w:tc>
        <w:tc>
          <w:tcPr>
            <w:tcW w:w="1065"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bCs/>
                <w:color w:val="000000"/>
                <w:sz w:val="18"/>
                <w:szCs w:val="18"/>
              </w:rPr>
            </w:pPr>
            <w:r>
              <w:rPr>
                <w:rFonts w:cs="宋体"/>
                <w:b/>
                <w:bCs/>
                <w:color w:val="000000"/>
                <w:sz w:val="18"/>
                <w:szCs w:val="18"/>
                <w:lang/>
              </w:rPr>
              <w:t>自评总分：</w:t>
            </w:r>
          </w:p>
        </w:tc>
        <w:tc>
          <w:tcPr>
            <w:tcW w:w="930"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18"/>
                <w:szCs w:val="18"/>
              </w:rPr>
            </w:pPr>
            <w:r>
              <w:rPr>
                <w:rFonts w:cs="宋体"/>
                <w:color w:val="000000"/>
                <w:sz w:val="18"/>
                <w:szCs w:val="18"/>
                <w:lang/>
              </w:rPr>
              <w:t>100.00</w:t>
            </w:r>
          </w:p>
        </w:tc>
        <w:tc>
          <w:tcPr>
            <w:tcW w:w="1215" w:type="dxa"/>
            <w:gridSpan w:val="4"/>
            <w:tcBorders>
              <w:top w:val="single" w:color="000000" w:sz="4" w:space="0"/>
              <w:left w:val="single" w:color="000000" w:sz="4" w:space="0"/>
              <w:bottom w:val="single" w:color="000000" w:sz="4" w:space="0"/>
              <w:right w:val="single" w:color="000000" w:sz="4" w:space="0"/>
            </w:tcBorders>
            <w:vAlign w:val="center"/>
          </w:tcPr>
          <w:p>
            <w:pPr>
              <w:jc w:val="right"/>
              <w:rPr>
                <w:rFonts w:hint="default" w:cs="宋体"/>
                <w:b/>
                <w:bCs/>
                <w:color w:val="000000"/>
                <w:sz w:val="18"/>
                <w:szCs w:val="18"/>
              </w:rPr>
            </w:pPr>
          </w:p>
        </w:tc>
        <w:tc>
          <w:tcPr>
            <w:tcW w:w="1350" w:type="dxa"/>
            <w:gridSpan w:val="2"/>
            <w:tcBorders>
              <w:top w:val="single" w:color="000000" w:sz="4" w:space="0"/>
              <w:left w:val="single" w:color="000000" w:sz="4" w:space="0"/>
              <w:bottom w:val="single" w:color="000000" w:sz="4" w:space="0"/>
            </w:tcBorders>
            <w:vAlign w:val="center"/>
          </w:tcPr>
          <w:p>
            <w:pPr>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915" w:type="dxa"/>
            <w:tcBorders>
              <w:top w:val="single" w:color="000000" w:sz="4" w:space="0"/>
              <w:bottom w:val="single" w:color="000000" w:sz="4" w:space="0"/>
              <w:right w:val="single" w:color="000000" w:sz="4" w:space="0"/>
            </w:tcBorders>
            <w:vAlign w:val="center"/>
          </w:tcPr>
          <w:p>
            <w:pPr>
              <w:textAlignment w:val="center"/>
              <w:rPr>
                <w:rFonts w:hint="default" w:cs="宋体"/>
                <w:b/>
                <w:bCs/>
                <w:color w:val="000000"/>
                <w:sz w:val="18"/>
                <w:szCs w:val="18"/>
              </w:rPr>
            </w:pPr>
            <w:r>
              <w:rPr>
                <w:rFonts w:cs="宋体"/>
                <w:b/>
                <w:bCs/>
                <w:color w:val="000000"/>
                <w:sz w:val="18"/>
                <w:szCs w:val="18"/>
                <w:lang/>
              </w:rPr>
              <w:t>项目主管部门：</w:t>
            </w:r>
          </w:p>
        </w:tc>
        <w:tc>
          <w:tcPr>
            <w:tcW w:w="150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18"/>
                <w:szCs w:val="18"/>
              </w:rPr>
            </w:pPr>
            <w:r>
              <w:rPr>
                <w:rFonts w:cs="宋体"/>
                <w:color w:val="000000"/>
                <w:sz w:val="18"/>
                <w:szCs w:val="18"/>
                <w:lang/>
              </w:rPr>
              <w:t>209-垫江县规划和自然资源局</w:t>
            </w:r>
          </w:p>
        </w:tc>
        <w:tc>
          <w:tcPr>
            <w:tcW w:w="120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bCs/>
                <w:color w:val="000000"/>
                <w:sz w:val="18"/>
                <w:szCs w:val="18"/>
              </w:rPr>
            </w:pPr>
            <w:r>
              <w:rPr>
                <w:rFonts w:cs="宋体"/>
                <w:b/>
                <w:bCs/>
                <w:color w:val="000000"/>
                <w:sz w:val="18"/>
                <w:szCs w:val="18"/>
                <w:lang/>
              </w:rPr>
              <w:t>财政归口处室：</w:t>
            </w:r>
          </w:p>
        </w:tc>
        <w:tc>
          <w:tcPr>
            <w:tcW w:w="1320" w:type="dxa"/>
            <w:gridSpan w:val="4"/>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18"/>
                <w:szCs w:val="18"/>
              </w:rPr>
            </w:pPr>
            <w:r>
              <w:rPr>
                <w:rFonts w:cs="宋体"/>
                <w:color w:val="000000"/>
                <w:sz w:val="18"/>
                <w:szCs w:val="18"/>
                <w:lang/>
              </w:rPr>
              <w:t>005-经建科</w:t>
            </w:r>
          </w:p>
        </w:tc>
        <w:tc>
          <w:tcPr>
            <w:tcW w:w="1065"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bCs/>
                <w:color w:val="000000"/>
                <w:sz w:val="18"/>
                <w:szCs w:val="18"/>
              </w:rPr>
            </w:pPr>
            <w:r>
              <w:rPr>
                <w:rFonts w:cs="宋体"/>
                <w:b/>
                <w:bCs/>
                <w:color w:val="000000"/>
                <w:sz w:val="18"/>
                <w:szCs w:val="18"/>
                <w:lang/>
              </w:rPr>
              <w:t>部门联系人：</w:t>
            </w:r>
          </w:p>
        </w:tc>
        <w:tc>
          <w:tcPr>
            <w:tcW w:w="930"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18"/>
                <w:szCs w:val="18"/>
              </w:rPr>
            </w:pPr>
            <w:r>
              <w:rPr>
                <w:rFonts w:cs="宋体"/>
                <w:color w:val="000000"/>
                <w:sz w:val="18"/>
                <w:szCs w:val="18"/>
                <w:lang/>
              </w:rPr>
              <w:t>邬永强</w:t>
            </w:r>
          </w:p>
        </w:tc>
        <w:tc>
          <w:tcPr>
            <w:tcW w:w="1215" w:type="dxa"/>
            <w:gridSpan w:val="4"/>
            <w:tcBorders>
              <w:top w:val="single" w:color="000000" w:sz="4" w:space="0"/>
              <w:left w:val="single" w:color="000000" w:sz="4" w:space="0"/>
              <w:bottom w:val="single" w:color="000000" w:sz="4" w:space="0"/>
              <w:right w:val="single" w:color="000000" w:sz="4" w:space="0"/>
            </w:tcBorders>
            <w:vAlign w:val="center"/>
          </w:tcPr>
          <w:p>
            <w:pPr>
              <w:jc w:val="right"/>
              <w:textAlignment w:val="center"/>
              <w:rPr>
                <w:rFonts w:hint="default" w:cs="宋体"/>
                <w:b/>
                <w:bCs/>
                <w:color w:val="000000"/>
                <w:sz w:val="18"/>
                <w:szCs w:val="18"/>
              </w:rPr>
            </w:pPr>
            <w:r>
              <w:rPr>
                <w:rFonts w:cs="宋体"/>
                <w:b/>
                <w:bCs/>
                <w:color w:val="000000"/>
                <w:sz w:val="18"/>
                <w:szCs w:val="18"/>
                <w:lang/>
              </w:rPr>
              <w:t>联系电话：</w:t>
            </w:r>
          </w:p>
        </w:tc>
        <w:tc>
          <w:tcPr>
            <w:tcW w:w="1350" w:type="dxa"/>
            <w:gridSpan w:val="2"/>
            <w:tcBorders>
              <w:top w:val="single" w:color="000000" w:sz="4" w:space="0"/>
              <w:left w:val="single" w:color="000000" w:sz="4" w:space="0"/>
              <w:bottom w:val="single" w:color="000000" w:sz="4" w:space="0"/>
            </w:tcBorders>
            <w:vAlign w:val="center"/>
          </w:tcPr>
          <w:p>
            <w:pPr>
              <w:textAlignment w:val="center"/>
              <w:rPr>
                <w:rFonts w:hint="default" w:cs="宋体"/>
                <w:color w:val="000000"/>
                <w:sz w:val="18"/>
                <w:szCs w:val="18"/>
              </w:rPr>
            </w:pPr>
            <w:r>
              <w:rPr>
                <w:rFonts w:cs="宋体"/>
                <w:color w:val="000000"/>
                <w:sz w:val="18"/>
                <w:szCs w:val="18"/>
                <w:lang/>
              </w:rPr>
              <w:t>18996775630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600" w:hRule="atLeast"/>
        </w:trPr>
        <w:tc>
          <w:tcPr>
            <w:tcW w:w="9495" w:type="dxa"/>
            <w:gridSpan w:val="22"/>
            <w:tcBorders>
              <w:top w:val="single" w:color="000000" w:sz="4" w:space="0"/>
              <w:bottom w:val="single" w:color="000000" w:sz="4" w:space="0"/>
            </w:tcBorders>
            <w:vAlign w:val="center"/>
          </w:tcPr>
          <w:p>
            <w:pPr>
              <w:jc w:val="center"/>
              <w:textAlignment w:val="center"/>
              <w:rPr>
                <w:rFonts w:hint="default" w:ascii="微软雅黑" w:hAnsi="微软雅黑" w:eastAsia="微软雅黑" w:cs="微软雅黑"/>
                <w:b/>
                <w:bCs/>
                <w:color w:val="808080"/>
                <w:sz w:val="18"/>
                <w:szCs w:val="18"/>
              </w:rPr>
            </w:pPr>
            <w:r>
              <w:rPr>
                <w:rFonts w:ascii="微软雅黑" w:hAnsi="微软雅黑" w:eastAsia="微软雅黑" w:cs="微软雅黑"/>
                <w:b/>
                <w:bCs/>
                <w:color w:val="808080"/>
                <w:sz w:val="18"/>
                <w:szCs w:val="18"/>
                <w:lang/>
              </w:rPr>
              <w:t>资金情况</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96" w:hRule="atLeast"/>
        </w:trPr>
        <w:tc>
          <w:tcPr>
            <w:tcW w:w="1365" w:type="dxa"/>
            <w:gridSpan w:val="2"/>
            <w:tcBorders>
              <w:top w:val="single" w:color="000000" w:sz="4" w:space="0"/>
              <w:bottom w:val="single" w:color="000000" w:sz="4" w:space="0"/>
              <w:right w:val="single" w:color="000000" w:sz="4" w:space="0"/>
            </w:tcBorders>
            <w:vAlign w:val="center"/>
          </w:tcPr>
          <w:p>
            <w:pPr>
              <w:spacing w:line="240" w:lineRule="exact"/>
              <w:jc w:val="center"/>
              <w:rPr>
                <w:rFonts w:hint="default" w:cs="宋体"/>
                <w:color w:val="000000"/>
                <w:sz w:val="18"/>
                <w:szCs w:val="18"/>
              </w:rPr>
            </w:pPr>
          </w:p>
        </w:tc>
        <w:tc>
          <w:tcPr>
            <w:tcW w:w="1814"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年初预算数</w:t>
            </w:r>
          </w:p>
        </w:tc>
        <w:tc>
          <w:tcPr>
            <w:tcW w:w="1337" w:type="dxa"/>
            <w:gridSpan w:val="4"/>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全年（调整）预算数</w:t>
            </w:r>
          </w:p>
        </w:tc>
        <w:tc>
          <w:tcPr>
            <w:tcW w:w="1484" w:type="dxa"/>
            <w:gridSpan w:val="5"/>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全年执行数</w:t>
            </w:r>
          </w:p>
        </w:tc>
        <w:tc>
          <w:tcPr>
            <w:tcW w:w="93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执行率</w:t>
            </w:r>
          </w:p>
        </w:tc>
        <w:tc>
          <w:tcPr>
            <w:tcW w:w="108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b/>
                <w:bCs/>
                <w:color w:val="000000"/>
                <w:sz w:val="18"/>
                <w:szCs w:val="18"/>
              </w:rPr>
            </w:pPr>
            <w:r>
              <w:rPr>
                <w:rFonts w:cs="宋体"/>
                <w:b/>
                <w:bCs/>
                <w:color w:val="000000"/>
                <w:sz w:val="18"/>
                <w:szCs w:val="18"/>
                <w:lang/>
              </w:rPr>
              <w:t>执行率权重</w:t>
            </w:r>
          </w:p>
        </w:tc>
        <w:tc>
          <w:tcPr>
            <w:tcW w:w="1485" w:type="dxa"/>
            <w:gridSpan w:val="3"/>
            <w:tcBorders>
              <w:top w:val="single" w:color="000000" w:sz="4" w:space="0"/>
              <w:left w:val="single" w:color="000000" w:sz="4" w:space="0"/>
              <w:bottom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执行率得分</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365" w:type="dxa"/>
            <w:gridSpan w:val="2"/>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年度总金额</w:t>
            </w:r>
          </w:p>
        </w:tc>
        <w:tc>
          <w:tcPr>
            <w:tcW w:w="1814"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1337" w:type="dxa"/>
            <w:gridSpan w:val="4"/>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1484" w:type="dxa"/>
            <w:gridSpan w:val="5"/>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93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rPr>
                <w:rFonts w:hint="default" w:cs="宋体"/>
                <w:color w:val="000000"/>
                <w:sz w:val="18"/>
                <w:szCs w:val="18"/>
              </w:rPr>
            </w:pPr>
          </w:p>
        </w:tc>
        <w:tc>
          <w:tcPr>
            <w:tcW w:w="108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rPr>
                <w:rFonts w:hint="default" w:cs="宋体"/>
                <w:color w:val="000000"/>
                <w:sz w:val="18"/>
                <w:szCs w:val="18"/>
              </w:rPr>
            </w:pPr>
          </w:p>
        </w:tc>
        <w:tc>
          <w:tcPr>
            <w:tcW w:w="1485" w:type="dxa"/>
            <w:gridSpan w:val="3"/>
            <w:tcBorders>
              <w:top w:val="single" w:color="000000" w:sz="4" w:space="0"/>
              <w:left w:val="single" w:color="000000" w:sz="4" w:space="0"/>
              <w:bottom w:val="single" w:color="000000" w:sz="4" w:space="0"/>
            </w:tcBorders>
            <w:vAlign w:val="center"/>
          </w:tcPr>
          <w:p>
            <w:pPr>
              <w:spacing w:line="240" w:lineRule="exact"/>
              <w:jc w:val="right"/>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365" w:type="dxa"/>
            <w:gridSpan w:val="2"/>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其中：财政拨款</w:t>
            </w:r>
          </w:p>
        </w:tc>
        <w:tc>
          <w:tcPr>
            <w:tcW w:w="1814"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1337" w:type="dxa"/>
            <w:gridSpan w:val="4"/>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1484" w:type="dxa"/>
            <w:gridSpan w:val="5"/>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93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108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10.00</w:t>
            </w:r>
          </w:p>
        </w:tc>
        <w:tc>
          <w:tcPr>
            <w:tcW w:w="1485" w:type="dxa"/>
            <w:gridSpan w:val="3"/>
            <w:tcBorders>
              <w:top w:val="single" w:color="000000" w:sz="4" w:space="0"/>
              <w:left w:val="single" w:color="000000" w:sz="4" w:space="0"/>
              <w:bottom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 xml:space="preserve">10.00 </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365" w:type="dxa"/>
            <w:gridSpan w:val="2"/>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一般公共预算</w:t>
            </w:r>
          </w:p>
        </w:tc>
        <w:tc>
          <w:tcPr>
            <w:tcW w:w="1814"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1337" w:type="dxa"/>
            <w:gridSpan w:val="4"/>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1484" w:type="dxa"/>
            <w:gridSpan w:val="5"/>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color w:val="000000"/>
                <w:sz w:val="18"/>
                <w:szCs w:val="18"/>
              </w:rPr>
            </w:pPr>
            <w:r>
              <w:rPr>
                <w:rFonts w:cs="宋体"/>
                <w:color w:val="000000"/>
                <w:sz w:val="18"/>
                <w:szCs w:val="18"/>
                <w:lang/>
              </w:rPr>
              <w:t xml:space="preserve">432,000.00 </w:t>
            </w:r>
          </w:p>
        </w:tc>
        <w:tc>
          <w:tcPr>
            <w:tcW w:w="93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108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rPr>
                <w:rFonts w:hint="default" w:cs="宋体"/>
                <w:color w:val="000000"/>
                <w:sz w:val="18"/>
                <w:szCs w:val="18"/>
              </w:rPr>
            </w:pPr>
          </w:p>
        </w:tc>
        <w:tc>
          <w:tcPr>
            <w:tcW w:w="1485" w:type="dxa"/>
            <w:gridSpan w:val="3"/>
            <w:tcBorders>
              <w:top w:val="single" w:color="000000" w:sz="4" w:space="0"/>
              <w:left w:val="single" w:color="000000" w:sz="4" w:space="0"/>
              <w:bottom w:val="single" w:color="000000" w:sz="4" w:space="0"/>
            </w:tcBorders>
            <w:vAlign w:val="center"/>
          </w:tcPr>
          <w:p>
            <w:pPr>
              <w:spacing w:line="240" w:lineRule="exact"/>
              <w:jc w:val="right"/>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600" w:hRule="atLeast"/>
        </w:trPr>
        <w:tc>
          <w:tcPr>
            <w:tcW w:w="9495" w:type="dxa"/>
            <w:gridSpan w:val="22"/>
            <w:tcBorders>
              <w:top w:val="single" w:color="000000" w:sz="4" w:space="0"/>
              <w:bottom w:val="single" w:color="000000" w:sz="4" w:space="0"/>
            </w:tcBorders>
            <w:vAlign w:val="center"/>
          </w:tcPr>
          <w:p>
            <w:pPr>
              <w:spacing w:line="240" w:lineRule="exact"/>
              <w:jc w:val="center"/>
              <w:textAlignment w:val="center"/>
              <w:rPr>
                <w:rFonts w:hint="default" w:ascii="微软雅黑" w:hAnsi="微软雅黑" w:eastAsia="微软雅黑" w:cs="微软雅黑"/>
                <w:b/>
                <w:bCs/>
                <w:color w:val="808080"/>
                <w:sz w:val="18"/>
                <w:szCs w:val="18"/>
              </w:rPr>
            </w:pPr>
            <w:r>
              <w:rPr>
                <w:rFonts w:ascii="微软雅黑" w:hAnsi="微软雅黑" w:eastAsia="微软雅黑" w:cs="微软雅黑"/>
                <w:b/>
                <w:bCs/>
                <w:color w:val="808080"/>
                <w:sz w:val="18"/>
                <w:szCs w:val="18"/>
                <w:lang/>
              </w:rPr>
              <w:t>绩效目标</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3179" w:type="dxa"/>
            <w:gridSpan w:val="5"/>
            <w:tcBorders>
              <w:top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年初绩效目标</w:t>
            </w:r>
          </w:p>
        </w:tc>
        <w:tc>
          <w:tcPr>
            <w:tcW w:w="2441" w:type="dxa"/>
            <w:gridSpan w:val="8"/>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全年（调整）绩效目标</w:t>
            </w:r>
          </w:p>
        </w:tc>
        <w:tc>
          <w:tcPr>
            <w:tcW w:w="3875" w:type="dxa"/>
            <w:gridSpan w:val="9"/>
            <w:tcBorders>
              <w:top w:val="single" w:color="000000" w:sz="4" w:space="0"/>
              <w:left w:val="single" w:color="000000" w:sz="4" w:space="0"/>
              <w:bottom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全年目标实际完成情况</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40" w:hRule="atLeast"/>
        </w:trPr>
        <w:tc>
          <w:tcPr>
            <w:tcW w:w="3179" w:type="dxa"/>
            <w:gridSpan w:val="5"/>
            <w:tcBorders>
              <w:top w:val="single" w:color="000000" w:sz="4" w:space="0"/>
              <w:bottom w:val="single" w:color="000000" w:sz="4" w:space="0"/>
              <w:right w:val="single" w:color="000000" w:sz="4" w:space="0"/>
            </w:tcBorders>
            <w:vAlign w:val="top"/>
          </w:tcPr>
          <w:p>
            <w:pPr>
              <w:spacing w:line="240" w:lineRule="exact"/>
              <w:textAlignment w:val="top"/>
              <w:rPr>
                <w:rFonts w:hint="default" w:cs="宋体"/>
                <w:color w:val="000000"/>
                <w:sz w:val="18"/>
                <w:szCs w:val="18"/>
              </w:rPr>
            </w:pPr>
            <w:r>
              <w:rPr>
                <w:rFonts w:cs="宋体"/>
                <w:color w:val="000000"/>
                <w:sz w:val="18"/>
                <w:szCs w:val="18"/>
                <w:lang/>
              </w:rPr>
              <w:t>提升政务服务水平助力优化营商环境。推进不动产办证标准化窗口建设，实行“一网通办”。</w:t>
            </w:r>
          </w:p>
        </w:tc>
        <w:tc>
          <w:tcPr>
            <w:tcW w:w="2441" w:type="dxa"/>
            <w:gridSpan w:val="8"/>
            <w:tcBorders>
              <w:top w:val="single" w:color="000000" w:sz="4" w:space="0"/>
              <w:left w:val="single" w:color="000000" w:sz="4" w:space="0"/>
              <w:bottom w:val="single" w:color="000000" w:sz="4" w:space="0"/>
              <w:right w:val="single" w:color="000000" w:sz="4" w:space="0"/>
            </w:tcBorders>
            <w:vAlign w:val="top"/>
          </w:tcPr>
          <w:p>
            <w:pPr>
              <w:spacing w:line="240" w:lineRule="exact"/>
              <w:rPr>
                <w:rFonts w:hint="default" w:cs="宋体"/>
                <w:color w:val="000000"/>
                <w:sz w:val="18"/>
                <w:szCs w:val="18"/>
              </w:rPr>
            </w:pPr>
          </w:p>
        </w:tc>
        <w:tc>
          <w:tcPr>
            <w:tcW w:w="3875" w:type="dxa"/>
            <w:gridSpan w:val="9"/>
            <w:tcBorders>
              <w:top w:val="single" w:color="000000" w:sz="4" w:space="0"/>
              <w:left w:val="single" w:color="000000" w:sz="4" w:space="0"/>
              <w:bottom w:val="single" w:color="000000" w:sz="4" w:space="0"/>
            </w:tcBorders>
            <w:vAlign w:val="top"/>
          </w:tcPr>
          <w:p>
            <w:pPr>
              <w:spacing w:line="240" w:lineRule="exact"/>
              <w:textAlignment w:val="top"/>
              <w:rPr>
                <w:rFonts w:hint="default" w:cs="宋体"/>
                <w:color w:val="000000"/>
                <w:sz w:val="18"/>
                <w:szCs w:val="18"/>
              </w:rPr>
            </w:pPr>
            <w:r>
              <w:rPr>
                <w:rFonts w:cs="宋体"/>
                <w:color w:val="000000"/>
                <w:sz w:val="18"/>
                <w:szCs w:val="18"/>
                <w:lang/>
              </w:rPr>
              <w:t>完成本年度临聘人员工资等相关支付任务</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304" w:hRule="atLeast"/>
        </w:trPr>
        <w:tc>
          <w:tcPr>
            <w:tcW w:w="9495" w:type="dxa"/>
            <w:gridSpan w:val="22"/>
            <w:tcBorders>
              <w:top w:val="single" w:color="000000" w:sz="4" w:space="0"/>
              <w:bottom w:val="single" w:color="000000" w:sz="4" w:space="0"/>
            </w:tcBorders>
            <w:vAlign w:val="center"/>
          </w:tcPr>
          <w:p>
            <w:pPr>
              <w:spacing w:line="240" w:lineRule="exact"/>
              <w:jc w:val="center"/>
              <w:textAlignment w:val="center"/>
              <w:rPr>
                <w:rFonts w:hint="default" w:ascii="微软雅黑" w:hAnsi="微软雅黑" w:eastAsia="微软雅黑" w:cs="微软雅黑"/>
                <w:b/>
                <w:bCs/>
                <w:color w:val="808080"/>
                <w:sz w:val="18"/>
                <w:szCs w:val="18"/>
              </w:rPr>
            </w:pPr>
            <w:r>
              <w:rPr>
                <w:rFonts w:ascii="微软雅黑" w:hAnsi="微软雅黑" w:eastAsia="微软雅黑" w:cs="微软雅黑"/>
                <w:b/>
                <w:bCs/>
                <w:color w:val="808080"/>
                <w:sz w:val="18"/>
                <w:szCs w:val="18"/>
                <w:lang/>
              </w:rPr>
              <w:t>绩效指标</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545" w:type="dxa"/>
            <w:gridSpan w:val="3"/>
            <w:tcBorders>
              <w:top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指标名称</w:t>
            </w:r>
          </w:p>
        </w:tc>
        <w:tc>
          <w:tcPr>
            <w:tcW w:w="870"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计量单位</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指标性质</w:t>
            </w:r>
          </w:p>
        </w:tc>
        <w:tc>
          <w:tcPr>
            <w:tcW w:w="64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指标值</w:t>
            </w:r>
          </w:p>
        </w:tc>
        <w:tc>
          <w:tcPr>
            <w:tcW w:w="91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全年完成值</w:t>
            </w:r>
          </w:p>
        </w:tc>
        <w:tc>
          <w:tcPr>
            <w:tcW w:w="69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偏离度（%）</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得分系数（%）</w:t>
            </w:r>
          </w:p>
        </w:tc>
        <w:tc>
          <w:tcPr>
            <w:tcW w:w="87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指标权重</w:t>
            </w: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指标得分</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是否核心指标</w:t>
            </w:r>
          </w:p>
        </w:tc>
        <w:tc>
          <w:tcPr>
            <w:tcW w:w="735" w:type="dxa"/>
            <w:tcBorders>
              <w:top w:val="single" w:color="000000" w:sz="4" w:space="0"/>
              <w:left w:val="single" w:color="000000" w:sz="4" w:space="0"/>
              <w:bottom w:val="single" w:color="000000" w:sz="4" w:space="0"/>
            </w:tcBorders>
            <w:vAlign w:val="center"/>
          </w:tcPr>
          <w:p>
            <w:pPr>
              <w:spacing w:line="240" w:lineRule="exact"/>
              <w:jc w:val="center"/>
              <w:textAlignment w:val="center"/>
              <w:rPr>
                <w:rFonts w:hint="default" w:cs="宋体"/>
                <w:b/>
                <w:bCs/>
                <w:color w:val="000000"/>
                <w:sz w:val="18"/>
                <w:szCs w:val="18"/>
              </w:rPr>
            </w:pPr>
            <w:r>
              <w:rPr>
                <w:rFonts w:cs="宋体"/>
                <w:b/>
                <w:bCs/>
                <w:color w:val="000000"/>
                <w:sz w:val="18"/>
                <w:szCs w:val="18"/>
                <w:lang/>
              </w:rPr>
              <w:t>说明</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545" w:type="dxa"/>
            <w:gridSpan w:val="3"/>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临时人员发放人数</w:t>
            </w:r>
          </w:p>
        </w:tc>
        <w:tc>
          <w:tcPr>
            <w:tcW w:w="870" w:type="dxa"/>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人</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64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18</w:t>
            </w:r>
          </w:p>
        </w:tc>
        <w:tc>
          <w:tcPr>
            <w:tcW w:w="91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18</w:t>
            </w:r>
          </w:p>
        </w:tc>
        <w:tc>
          <w:tcPr>
            <w:tcW w:w="69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87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w:t>
            </w: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否</w:t>
            </w:r>
          </w:p>
        </w:tc>
        <w:tc>
          <w:tcPr>
            <w:tcW w:w="735" w:type="dxa"/>
            <w:tcBorders>
              <w:top w:val="single" w:color="000000" w:sz="4" w:space="0"/>
              <w:left w:val="single" w:color="000000" w:sz="4" w:space="0"/>
              <w:bottom w:val="single" w:color="000000" w:sz="4" w:space="0"/>
            </w:tcBorders>
            <w:vAlign w:val="center"/>
          </w:tcPr>
          <w:p>
            <w:pPr>
              <w:spacing w:line="240" w:lineRule="exact"/>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545" w:type="dxa"/>
            <w:gridSpan w:val="3"/>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临时人员工作质量达标率</w:t>
            </w:r>
          </w:p>
        </w:tc>
        <w:tc>
          <w:tcPr>
            <w:tcW w:w="870" w:type="dxa"/>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64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91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69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87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w:t>
            </w: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否</w:t>
            </w:r>
          </w:p>
        </w:tc>
        <w:tc>
          <w:tcPr>
            <w:tcW w:w="735" w:type="dxa"/>
            <w:tcBorders>
              <w:top w:val="single" w:color="000000" w:sz="4" w:space="0"/>
              <w:left w:val="single" w:color="000000" w:sz="4" w:space="0"/>
              <w:bottom w:val="single" w:color="000000" w:sz="4" w:space="0"/>
            </w:tcBorders>
            <w:vAlign w:val="center"/>
          </w:tcPr>
          <w:p>
            <w:pPr>
              <w:spacing w:line="240" w:lineRule="exact"/>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545" w:type="dxa"/>
            <w:gridSpan w:val="3"/>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临时工工资发放及时率</w:t>
            </w:r>
          </w:p>
        </w:tc>
        <w:tc>
          <w:tcPr>
            <w:tcW w:w="870" w:type="dxa"/>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64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91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69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87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w:t>
            </w: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否</w:t>
            </w:r>
          </w:p>
        </w:tc>
        <w:tc>
          <w:tcPr>
            <w:tcW w:w="735" w:type="dxa"/>
            <w:tcBorders>
              <w:top w:val="single" w:color="000000" w:sz="4" w:space="0"/>
              <w:left w:val="single" w:color="000000" w:sz="4" w:space="0"/>
              <w:bottom w:val="single" w:color="000000" w:sz="4" w:space="0"/>
            </w:tcBorders>
            <w:vAlign w:val="center"/>
          </w:tcPr>
          <w:p>
            <w:pPr>
              <w:spacing w:line="240" w:lineRule="exact"/>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680" w:hRule="atLeast"/>
        </w:trPr>
        <w:tc>
          <w:tcPr>
            <w:tcW w:w="1545" w:type="dxa"/>
            <w:gridSpan w:val="3"/>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单位履行职能职责提供保障</w:t>
            </w:r>
          </w:p>
        </w:tc>
        <w:tc>
          <w:tcPr>
            <w:tcW w:w="870" w:type="dxa"/>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64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91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69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87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w:t>
            </w: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否</w:t>
            </w:r>
          </w:p>
        </w:tc>
        <w:tc>
          <w:tcPr>
            <w:tcW w:w="735" w:type="dxa"/>
            <w:tcBorders>
              <w:top w:val="single" w:color="000000" w:sz="4" w:space="0"/>
              <w:left w:val="single" w:color="000000" w:sz="4" w:space="0"/>
              <w:bottom w:val="single" w:color="000000" w:sz="4" w:space="0"/>
            </w:tcBorders>
            <w:vAlign w:val="center"/>
          </w:tcPr>
          <w:p>
            <w:pPr>
              <w:spacing w:line="240" w:lineRule="exact"/>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545" w:type="dxa"/>
            <w:gridSpan w:val="3"/>
            <w:tcBorders>
              <w:top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办事群众满意度</w:t>
            </w:r>
          </w:p>
        </w:tc>
        <w:tc>
          <w:tcPr>
            <w:tcW w:w="870" w:type="dxa"/>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64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95</w:t>
            </w:r>
          </w:p>
        </w:tc>
        <w:tc>
          <w:tcPr>
            <w:tcW w:w="915"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95</w:t>
            </w:r>
          </w:p>
        </w:tc>
        <w:tc>
          <w:tcPr>
            <w:tcW w:w="69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870" w:type="dxa"/>
            <w:gridSpan w:val="2"/>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w:t>
            </w: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w:t>
            </w:r>
          </w:p>
        </w:tc>
        <w:tc>
          <w:tcPr>
            <w:tcW w:w="870" w:type="dxa"/>
            <w:gridSpan w:val="3"/>
            <w:tcBorders>
              <w:top w:val="single" w:color="000000" w:sz="4" w:space="0"/>
              <w:left w:val="single" w:color="000000" w:sz="4" w:space="0"/>
              <w:bottom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否</w:t>
            </w:r>
          </w:p>
        </w:tc>
        <w:tc>
          <w:tcPr>
            <w:tcW w:w="735" w:type="dxa"/>
            <w:tcBorders>
              <w:top w:val="single" w:color="000000" w:sz="4" w:space="0"/>
              <w:left w:val="single" w:color="000000" w:sz="4" w:space="0"/>
              <w:bottom w:val="single" w:color="000000" w:sz="4" w:space="0"/>
            </w:tcBorders>
            <w:vAlign w:val="center"/>
          </w:tcPr>
          <w:p>
            <w:pPr>
              <w:spacing w:line="240" w:lineRule="exact"/>
              <w:rPr>
                <w:rFonts w:hint="default" w:cs="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500" w:hRule="atLeast"/>
        </w:trPr>
        <w:tc>
          <w:tcPr>
            <w:tcW w:w="1545" w:type="dxa"/>
            <w:gridSpan w:val="3"/>
            <w:tcBorders>
              <w:top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临时人员工资</w:t>
            </w:r>
          </w:p>
        </w:tc>
        <w:tc>
          <w:tcPr>
            <w:tcW w:w="870" w:type="dxa"/>
            <w:tcBorders>
              <w:top w:val="single" w:color="000000" w:sz="4" w:space="0"/>
              <w:left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元/人*月</w:t>
            </w:r>
          </w:p>
        </w:tc>
        <w:tc>
          <w:tcPr>
            <w:tcW w:w="840" w:type="dxa"/>
            <w:gridSpan w:val="2"/>
            <w:tcBorders>
              <w:top w:val="single" w:color="000000" w:sz="4" w:space="0"/>
              <w:left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w:t>
            </w:r>
          </w:p>
        </w:tc>
        <w:tc>
          <w:tcPr>
            <w:tcW w:w="645" w:type="dxa"/>
            <w:gridSpan w:val="2"/>
            <w:tcBorders>
              <w:top w:val="single" w:color="000000" w:sz="4" w:space="0"/>
              <w:left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2000</w:t>
            </w:r>
          </w:p>
        </w:tc>
        <w:tc>
          <w:tcPr>
            <w:tcW w:w="915" w:type="dxa"/>
            <w:gridSpan w:val="2"/>
            <w:tcBorders>
              <w:top w:val="single" w:color="000000" w:sz="4" w:space="0"/>
              <w:left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2000</w:t>
            </w:r>
          </w:p>
        </w:tc>
        <w:tc>
          <w:tcPr>
            <w:tcW w:w="690" w:type="dxa"/>
            <w:gridSpan w:val="2"/>
            <w:tcBorders>
              <w:top w:val="single" w:color="000000" w:sz="4" w:space="0"/>
              <w:left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0</w:t>
            </w:r>
          </w:p>
        </w:tc>
        <w:tc>
          <w:tcPr>
            <w:tcW w:w="870" w:type="dxa"/>
            <w:gridSpan w:val="3"/>
            <w:tcBorders>
              <w:top w:val="single" w:color="000000" w:sz="4" w:space="0"/>
              <w:left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100</w:t>
            </w:r>
          </w:p>
        </w:tc>
        <w:tc>
          <w:tcPr>
            <w:tcW w:w="870" w:type="dxa"/>
            <w:gridSpan w:val="2"/>
            <w:tcBorders>
              <w:top w:val="single" w:color="000000" w:sz="4" w:space="0"/>
              <w:left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w:t>
            </w:r>
          </w:p>
        </w:tc>
        <w:tc>
          <w:tcPr>
            <w:tcW w:w="645" w:type="dxa"/>
            <w:tcBorders>
              <w:top w:val="single" w:color="000000" w:sz="4" w:space="0"/>
              <w:left w:val="single" w:color="000000" w:sz="4" w:space="0"/>
              <w:right w:val="single" w:color="000000" w:sz="4" w:space="0"/>
            </w:tcBorders>
            <w:vAlign w:val="center"/>
          </w:tcPr>
          <w:p>
            <w:pPr>
              <w:spacing w:line="240" w:lineRule="exact"/>
              <w:jc w:val="right"/>
              <w:textAlignment w:val="center"/>
              <w:rPr>
                <w:rFonts w:hint="default" w:cs="宋体"/>
                <w:color w:val="000000"/>
                <w:sz w:val="18"/>
                <w:szCs w:val="18"/>
              </w:rPr>
            </w:pPr>
            <w:r>
              <w:rPr>
                <w:rFonts w:cs="宋体"/>
                <w:color w:val="000000"/>
                <w:sz w:val="18"/>
                <w:szCs w:val="18"/>
                <w:lang/>
              </w:rPr>
              <w:t>20</w:t>
            </w:r>
          </w:p>
        </w:tc>
        <w:tc>
          <w:tcPr>
            <w:tcW w:w="870" w:type="dxa"/>
            <w:gridSpan w:val="3"/>
            <w:tcBorders>
              <w:top w:val="single" w:color="000000" w:sz="4" w:space="0"/>
              <w:left w:val="single" w:color="000000" w:sz="4" w:space="0"/>
              <w:right w:val="single" w:color="000000" w:sz="4" w:space="0"/>
            </w:tcBorders>
            <w:vAlign w:val="center"/>
          </w:tcPr>
          <w:p>
            <w:pPr>
              <w:spacing w:line="240" w:lineRule="exact"/>
              <w:textAlignment w:val="center"/>
              <w:rPr>
                <w:rFonts w:hint="default" w:cs="宋体"/>
                <w:color w:val="000000"/>
                <w:sz w:val="18"/>
                <w:szCs w:val="18"/>
              </w:rPr>
            </w:pPr>
            <w:r>
              <w:rPr>
                <w:rFonts w:cs="宋体"/>
                <w:color w:val="000000"/>
                <w:sz w:val="18"/>
                <w:szCs w:val="18"/>
                <w:lang/>
              </w:rPr>
              <w:t>否</w:t>
            </w:r>
          </w:p>
        </w:tc>
        <w:tc>
          <w:tcPr>
            <w:tcW w:w="735" w:type="dxa"/>
            <w:tcBorders>
              <w:top w:val="single" w:color="000000" w:sz="4" w:space="0"/>
              <w:left w:val="single" w:color="000000" w:sz="4" w:space="0"/>
            </w:tcBorders>
            <w:vAlign w:val="center"/>
          </w:tcPr>
          <w:p>
            <w:pPr>
              <w:spacing w:line="240" w:lineRule="exact"/>
              <w:rPr>
                <w:rFonts w:hint="default" w:cs="宋体"/>
                <w:color w:val="000000"/>
                <w:sz w:val="18"/>
                <w:szCs w:val="18"/>
              </w:rPr>
            </w:pPr>
          </w:p>
        </w:tc>
      </w:tr>
    </w:tbl>
    <w:p>
      <w:pPr>
        <w:pStyle w:val="11"/>
        <w:autoSpaceDE w:val="0"/>
        <w:spacing w:before="0" w:beforeAutospacing="0" w:line="600" w:lineRule="exact"/>
        <w:rPr>
          <w:rFonts w:ascii="方正仿宋_GBK" w:hAnsi="方正仿宋_GBK" w:eastAsia="方正仿宋_GBK" w:cs="方正仿宋_GBK"/>
          <w:sz w:val="32"/>
          <w:szCs w:val="32"/>
          <w:shd w:val="clear" w:color="auto" w:fill="FFFFFF"/>
        </w:rPr>
      </w:pPr>
    </w:p>
    <w:p>
      <w:pPr>
        <w:pStyle w:val="10"/>
        <w:autoSpaceDE w:val="0"/>
        <w:ind w:firstLine="640"/>
        <w:rPr>
          <w:rFonts w:ascii="方正仿宋_GBK" w:hAnsi="方正仿宋_GBK" w:eastAsia="方正仿宋_GBK" w:cs="方正仿宋_GBK"/>
          <w:sz w:val="32"/>
          <w:szCs w:val="32"/>
          <w:shd w:val="clear" w:color="auto" w:fill="FFFFFF"/>
        </w:rPr>
      </w:pPr>
    </w:p>
    <w:p>
      <w:pPr>
        <w:pStyle w:val="10"/>
        <w:autoSpaceDE w:val="0"/>
        <w:ind w:firstLine="643"/>
        <w:rPr>
          <w:rFonts w:ascii="楷体" w:hAnsi="楷体" w:eastAsia="楷体" w:cs="楷体"/>
          <w:b/>
          <w:bCs/>
          <w:sz w:val="32"/>
          <w:szCs w:val="32"/>
          <w:shd w:val="clear" w:color="auto" w:fill="FFFFFF"/>
          <w:lang/>
        </w:rPr>
      </w:pPr>
      <w:r>
        <w:rPr>
          <w:rStyle w:val="7"/>
          <w:rFonts w:hint="eastAsia" w:ascii="方正仿宋_GBK" w:hAnsi="方正仿宋_GBK" w:eastAsia="方正仿宋_GBK" w:cs="方正仿宋_GBK"/>
          <w:sz w:val="32"/>
          <w:szCs w:val="32"/>
          <w:shd w:val="clear" w:color="auto" w:fill="FFFFFF"/>
        </w:rPr>
        <w:t> </w:t>
      </w:r>
      <w:r>
        <w:rPr>
          <w:rFonts w:hint="eastAsia" w:ascii="楷体" w:hAnsi="楷体" w:eastAsia="楷体" w:cs="楷体"/>
          <w:b/>
          <w:bCs/>
          <w:sz w:val="32"/>
          <w:szCs w:val="32"/>
          <w:shd w:val="clear" w:color="auto" w:fill="FFFFFF"/>
          <w:lang/>
        </w:rPr>
        <w:t>（二）单位绩效评价情况</w:t>
      </w:r>
    </w:p>
    <w:p>
      <w:pPr>
        <w:pStyle w:val="10"/>
        <w:autoSpaceDE w:val="0"/>
        <w:ind w:firstLine="640"/>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我单位未组织开展绩效评价。</w:t>
      </w:r>
    </w:p>
    <w:p>
      <w:pPr>
        <w:pStyle w:val="10"/>
        <w:autoSpaceDE w:val="0"/>
        <w:ind w:firstLine="643"/>
        <w:rPr>
          <w:rFonts w:ascii="楷体" w:hAnsi="楷体" w:eastAsia="楷体" w:cs="楷体"/>
          <w:b/>
          <w:bCs/>
          <w:sz w:val="32"/>
          <w:szCs w:val="32"/>
          <w:shd w:val="clear" w:color="auto" w:fill="FFFFFF"/>
          <w:lang/>
        </w:rPr>
      </w:pPr>
      <w:r>
        <w:rPr>
          <w:rFonts w:hint="eastAsia" w:ascii="楷体" w:hAnsi="楷体" w:eastAsia="楷体" w:cs="楷体"/>
          <w:b/>
          <w:bCs/>
          <w:sz w:val="32"/>
          <w:szCs w:val="32"/>
          <w:shd w:val="clear" w:color="auto" w:fill="FFFFFF"/>
          <w:lang/>
        </w:rPr>
        <w:t>（三）财政绩效评价情况</w:t>
      </w:r>
    </w:p>
    <w:p>
      <w:pPr>
        <w:pStyle w:val="5"/>
        <w:shd w:val="clear" w:color="auto" w:fill="FFFFFF"/>
        <w:ind w:firstLine="640" w:firstLineChars="200"/>
        <w:rPr>
          <w:rStyle w:val="7"/>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县财政局未委托第三方对我单位开展绩效评价。</w:t>
      </w:r>
    </w:p>
    <w:p>
      <w:pPr>
        <w:pStyle w:val="5"/>
        <w:shd w:val="clear" w:color="auto" w:fill="FFFFFF"/>
        <w:ind w:firstLine="321" w:firstLineChars="100"/>
        <w:rPr>
          <w:rStyle w:val="7"/>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 xml:space="preserve">  </w:t>
      </w:r>
      <w:r>
        <w:rPr>
          <w:rStyle w:val="7"/>
          <w:rFonts w:ascii="黑体" w:hAnsi="黑体" w:eastAsia="黑体" w:cs="黑体"/>
          <w:sz w:val="32"/>
          <w:szCs w:val="32"/>
          <w:shd w:val="clear" w:color="auto" w:fill="FFFFFF"/>
        </w:rPr>
        <w:t>六、专业名词解释</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b/>
          <w:bCs/>
          <w:sz w:val="32"/>
          <w:szCs w:val="32"/>
          <w:shd w:val="clear" w:color="auto" w:fill="FFFFFF"/>
          <w:lang/>
        </w:rPr>
        <w:t> </w:t>
      </w:r>
      <w:r>
        <w:rPr>
          <w:rFonts w:ascii="楷体" w:hAnsi="楷体" w:eastAsia="楷体" w:cs="楷体"/>
          <w:b/>
          <w:bCs/>
          <w:sz w:val="32"/>
          <w:szCs w:val="32"/>
          <w:shd w:val="clear" w:color="auto" w:fill="FFFFFF"/>
          <w:lang/>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（四）其他收入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楷体" w:hAnsi="楷体" w:eastAsia="楷体" w:cs="楷体"/>
          <w:sz w:val="32"/>
          <w:szCs w:val="32"/>
          <w:shd w:val="clear" w:color="auto" w:fill="FFFFFF"/>
        </w:rPr>
        <w:t>（五）使用非财政拨款结余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（七）结余分配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（八）年末结转和结余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（九）基本支出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（十一）经营支出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（十二）“三公”经费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（十三）机关运行经费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（十四）工资福利支出（支出经济分类科目类级）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（十五）商品和服务支出（支出经济分类科目类级）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楷体" w:hAnsi="楷体" w:eastAsia="楷体" w:cs="楷体"/>
          <w:sz w:val="32"/>
          <w:szCs w:val="32"/>
          <w:shd w:val="clear" w:color="auto" w:fill="FFFFFF"/>
        </w:rPr>
        <w:t> （十六）对个人和家庭的补助（支出经济分类科目类级）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（十七）其他资本性支出（支出经济分类科目类级）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5"/>
        <w:shd w:val="clear" w:color="auto" w:fill="FFFFFF"/>
        <w:rPr>
          <w:rStyle w:val="7"/>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 xml:space="preserve">  </w:t>
      </w:r>
      <w:r>
        <w:rPr>
          <w:rStyle w:val="7"/>
          <w:rFonts w:ascii="黑体" w:hAnsi="黑体" w:eastAsia="黑体" w:cs="黑体"/>
          <w:sz w:val="32"/>
          <w:szCs w:val="32"/>
          <w:shd w:val="clear" w:color="auto" w:fill="FFFFFF"/>
        </w:rPr>
        <w:t>七、决算公开联系方式及信息反馈渠道</w:t>
      </w:r>
    </w:p>
    <w:p>
      <w:pPr>
        <w:pStyle w:val="10"/>
        <w:autoSpaceDE w:val="0"/>
        <w:ind w:firstLine="0" w:firstLineChars="0"/>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本单位决算公开信息反馈和联系方式：</w:t>
      </w:r>
    </w:p>
    <w:p>
      <w:pPr>
        <w:pStyle w:val="10"/>
        <w:autoSpaceDE w:val="0"/>
        <w:ind w:firstLine="0" w:firstLineChars="0"/>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吉丽丹  023-74684688</w:t>
      </w:r>
    </w:p>
    <w:p>
      <w:pPr>
        <w:pStyle w:val="10"/>
        <w:autoSpaceDE w:val="0"/>
        <w:ind w:firstLine="0" w:firstLineChars="0"/>
        <w:rPr>
          <w:rStyle w:val="7"/>
          <w:rFonts w:ascii="方正仿宋_GBK" w:hAnsi="方正仿宋_GBK" w:eastAsia="方正仿宋_GBK" w:cs="方正仿宋_GBK"/>
          <w:sz w:val="32"/>
          <w:szCs w:val="32"/>
          <w:shd w:val="clear" w:color="auto" w:fill="FFFF00"/>
        </w:rPr>
      </w:pPr>
    </w:p>
    <w:p>
      <w:pPr>
        <w:pStyle w:val="10"/>
        <w:autoSpaceDE w:val="0"/>
        <w:ind w:firstLine="0" w:firstLineChars="0"/>
        <w:rPr>
          <w:rStyle w:val="7"/>
          <w:rFonts w:ascii="方正仿宋_GBK" w:hAnsi="方正仿宋_GBK" w:eastAsia="方正仿宋_GBK" w:cs="方正仿宋_GBK"/>
          <w:sz w:val="32"/>
          <w:szCs w:val="32"/>
          <w:shd w:val="clear" w:color="auto" w:fill="FFFF00"/>
        </w:rPr>
        <w:sectPr>
          <w:footerReference r:id="rId4" w:type="default"/>
          <w:pgSz w:w="11915" w:h="16840"/>
          <w:pgMar w:top="1440" w:right="1800" w:bottom="1440" w:left="1800" w:header="851" w:footer="992" w:gutter="0"/>
          <w:pgNumType w:fmt="numberInDash"/>
          <w:cols w:space="720" w:num="1"/>
          <w:docGrid w:type="lines" w:linePitch="312" w:charSpace="0"/>
        </w:sectPr>
      </w:pPr>
    </w:p>
    <w:p>
      <w:pPr>
        <w:rPr>
          <w:rFonts w:hint="default" w:cs="宋体"/>
          <w:sz w:val="21"/>
          <w:szCs w:val="21"/>
        </w:rPr>
      </w:pPr>
    </w:p>
    <w:tbl>
      <w:tblPr>
        <w:tblStyle w:val="8"/>
        <w:tblW w:w="2229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581"/>
        <w:gridCol w:w="4358"/>
        <w:gridCol w:w="7536"/>
        <w:gridCol w:w="38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89" w:hRule="atLeast"/>
        </w:trPr>
        <w:tc>
          <w:tcPr>
            <w:tcW w:w="6581"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358"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817"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89" w:hRule="atLeast"/>
        </w:trPr>
        <w:tc>
          <w:tcPr>
            <w:tcW w:w="6581" w:type="dxa"/>
            <w:tcBorders>
              <w:top w:val="nil"/>
              <w:left w:val="nil"/>
              <w:bottom w:val="nil"/>
              <w:right w:val="nil"/>
            </w:tcBorders>
            <w:tcMar>
              <w:top w:w="15" w:type="dxa"/>
              <w:left w:w="15" w:type="dxa"/>
              <w:right w:w="15" w:type="dxa"/>
            </w:tcMar>
            <w:vAlign w:val="bottom"/>
          </w:tcPr>
          <w:p>
            <w:pPr>
              <w:textAlignment w:val="bottom"/>
              <w:rPr>
                <w:rFonts w:hint="default" w:cs="宋体"/>
                <w:color w:val="000000"/>
              </w:rPr>
            </w:pPr>
            <w:r>
              <w:rPr>
                <w:rFonts w:cs="宋体"/>
              </w:rPr>
              <w:t>公开单位：垫江县不动产登记中心</w:t>
            </w:r>
          </w:p>
        </w:tc>
        <w:tc>
          <w:tcPr>
            <w:tcW w:w="4358"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2"/>
                <w:szCs w:val="22"/>
              </w:rPr>
            </w:pPr>
          </w:p>
        </w:tc>
        <w:tc>
          <w:tcPr>
            <w:tcW w:w="75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817"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w:t>
            </w:r>
          </w:p>
        </w:tc>
        <w:tc>
          <w:tcPr>
            <w:tcW w:w="4358"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决算数</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w:t>
            </w:r>
          </w:p>
        </w:tc>
        <w:tc>
          <w:tcPr>
            <w:tcW w:w="3817"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一、一般公共预算财政拨款收入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935.58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一、一般公共服务支出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二、政府性基金预算财政拨款收入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二、外交支出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三、国有资本经营预算财政拨款收入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三、国防支出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四、上级补助收入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四、公共安全支出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五、事业收入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五、教育支出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1.92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六、经营收入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六、科学技术支出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七、附属单位上缴收入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七、文化旅游体育与传媒支出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八、其他收入</w:t>
            </w:r>
          </w:p>
        </w:tc>
        <w:tc>
          <w:tcPr>
            <w:tcW w:w="4358" w:type="dxa"/>
            <w:tcBorders>
              <w:top w:val="nil"/>
              <w:left w:val="nil"/>
              <w:bottom w:val="nil"/>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0.03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八、社会保障和就业支出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104.11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九、卫生健康支出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27.06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十、节能环保支出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十一、城乡社区支出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十二、农林水支出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十三、交通运输支出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十四、资源勘探工业信息等支出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十五、商业服务业等支出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十六、金融支出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十七、援助其他地区支出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十八、自然资源海洋气象等支出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857.53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十九、住房保障支出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44.29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二十、粮油物资储备支出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二十一、国有资本经营预算支出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二十二、灾害防治及应急管理支出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二十三、其他支出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二十四、债务还本支出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二十五、债务付息支出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二十六、抗疫特别国债安排的支出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本年收入合计</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935.62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本年支出合计</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1,034.91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使用非财政拨款结余和专用结余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80.55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结余分配</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年初结转和结余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18.74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年末结转和结余</w:t>
            </w:r>
          </w:p>
        </w:tc>
        <w:tc>
          <w:tcPr>
            <w:tcW w:w="3817" w:type="dxa"/>
            <w:tcBorders>
              <w:top w:val="nil"/>
              <w:left w:val="nil"/>
              <w:bottom w:val="single" w:color="auto"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1,034.91 </w:t>
            </w:r>
          </w:p>
        </w:tc>
        <w:tc>
          <w:tcPr>
            <w:tcW w:w="7536" w:type="dxa"/>
            <w:tcBorders>
              <w:top w:val="nil"/>
              <w:left w:val="nil"/>
              <w:bottom w:val="single" w:color="000000" w:sz="4" w:space="0"/>
              <w:right w:val="single" w:color="auto"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总计</w:t>
            </w:r>
          </w:p>
        </w:tc>
        <w:tc>
          <w:tcPr>
            <w:tcW w:w="381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lang/>
              </w:rPr>
              <w:t xml:space="preserve">1,034.91 </w:t>
            </w:r>
          </w:p>
        </w:tc>
      </w:tr>
    </w:tbl>
    <w:p>
      <w:pPr>
        <w:rPr>
          <w:rFonts w:hint="default" w:cs="宋体"/>
          <w:sz w:val="21"/>
          <w:szCs w:val="21"/>
          <w:lang/>
        </w:rPr>
      </w:pPr>
      <w:r>
        <w:rPr>
          <w:rFonts w:cs="宋体"/>
          <w:sz w:val="21"/>
          <w:szCs w:val="21"/>
          <w:lang/>
        </w:rPr>
        <w:t>备注：1.本表反映单位本年度的总收支和年末结转结余情况。</w:t>
      </w:r>
      <w:r>
        <w:rPr>
          <w:rFonts w:cs="宋体"/>
          <w:sz w:val="21"/>
          <w:szCs w:val="21"/>
          <w:lang/>
        </w:rPr>
        <w:br/>
      </w:r>
      <w:r>
        <w:rPr>
          <w:rFonts w:cs="宋体"/>
          <w:sz w:val="21"/>
          <w:szCs w:val="21"/>
          <w:lang/>
        </w:rPr>
        <w:t xml:space="preserve">      2.本套报表金额单位转换时可能存在尾数误差。</w:t>
      </w:r>
      <w:r>
        <w:rPr>
          <w:rFonts w:cs="宋体"/>
          <w:sz w:val="21"/>
          <w:szCs w:val="21"/>
          <w:lang/>
        </w:rPr>
        <w:br/>
      </w:r>
      <w:r>
        <w:rPr>
          <w:rFonts w:cs="宋体"/>
          <w:sz w:val="21"/>
          <w:szCs w:val="21"/>
        </w:rPr>
        <w:br/>
      </w:r>
    </w:p>
    <w:p>
      <w:pPr>
        <w:rPr>
          <w:rFonts w:hint="default" w:cs="宋体"/>
          <w:sz w:val="21"/>
          <w:szCs w:val="21"/>
          <w:lang/>
        </w:rPr>
      </w:pPr>
      <w:r>
        <w:rPr>
          <w:rFonts w:cs="宋体"/>
          <w:sz w:val="21"/>
          <w:szCs w:val="21"/>
          <w:lang/>
        </w:rPr>
        <w:br w:type="page"/>
      </w:r>
    </w:p>
    <w:p>
      <w:pPr>
        <w:rPr>
          <w:rFonts w:hint="default" w:cs="宋体"/>
          <w:sz w:val="21"/>
          <w:szCs w:val="21"/>
          <w:lang/>
        </w:rPr>
      </w:pPr>
    </w:p>
    <w:tbl>
      <w:tblPr>
        <w:tblStyle w:val="8"/>
        <w:tblW w:w="2222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收入决算表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2"/>
                <w:szCs w:val="22"/>
              </w:rPr>
            </w:pPr>
            <w:r>
              <w:rPr>
                <w:rFonts w:cs="宋体"/>
              </w:rPr>
              <w:t>公开单位：垫江县不动产登记中心</w:t>
            </w:r>
          </w:p>
        </w:tc>
        <w:tc>
          <w:tcPr>
            <w:tcW w:w="241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39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336"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1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39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336"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lang/>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lang/>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功能分类科目编码</w:t>
            </w:r>
          </w:p>
        </w:tc>
        <w:tc>
          <w:tcPr>
            <w:tcW w:w="3317"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2412"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935.62 </w:t>
            </w:r>
          </w:p>
        </w:tc>
        <w:tc>
          <w:tcPr>
            <w:tcW w:w="2399"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935.58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336"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0.03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205</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教育支出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20508</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进修及培训</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2050803</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培训支出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1.92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1.92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208</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社会保障和就业支出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20805</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行政事业单位养老支出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2080505</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41.08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41.08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2080506</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20.51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20.51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2080599</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其他行政事业单位养老支出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42.52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42.52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210</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卫生健康支出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21011</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行政事业单位医疗</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2101102</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事业单位医疗</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27.06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27.06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220</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自然资源海洋气象等支出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758.24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758.21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0.03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22001</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自然资源事务</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758.24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758.21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0.03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2200150</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事业运行</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661.62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661.59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0.03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2200199</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其他自然资源事务支出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96.62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96.62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221</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住房保障支出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22102</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住房改革支出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2210201</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住房公积金</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44.29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44.29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bl>
    <w:p>
      <w:pPr>
        <w:ind w:left="630" w:hanging="630" w:hangingChars="300"/>
        <w:rPr>
          <w:rFonts w:hint="default" w:cs="宋体"/>
          <w:sz w:val="21"/>
          <w:szCs w:val="21"/>
          <w:lang/>
        </w:rPr>
      </w:pPr>
      <w:r>
        <w:rPr>
          <w:rFonts w:cs="宋体"/>
          <w:sz w:val="21"/>
          <w:szCs w:val="21"/>
          <w:lang/>
        </w:rPr>
        <w:t>备注：1.本表反映单位本年度取得的各项收入情况。</w:t>
      </w:r>
      <w:r>
        <w:rPr>
          <w:rFonts w:cs="宋体"/>
          <w:sz w:val="21"/>
          <w:szCs w:val="21"/>
          <w:lang/>
        </w:rPr>
        <w:br/>
      </w:r>
      <w:r>
        <w:rPr>
          <w:rFonts w:cs="宋体"/>
          <w:sz w:val="21"/>
          <w:szCs w:val="21"/>
          <w:lang/>
        </w:rPr>
        <w:t>2.本套报表金额单位转换时可能存在尾数误差。</w:t>
      </w:r>
      <w:r>
        <w:rPr>
          <w:rFonts w:cs="宋体"/>
          <w:sz w:val="21"/>
          <w:szCs w:val="21"/>
          <w:lang/>
        </w:rPr>
        <w:br/>
      </w:r>
      <w:r>
        <w:rPr>
          <w:rFonts w:cs="宋体"/>
          <w:sz w:val="21"/>
          <w:szCs w:val="21"/>
          <w:lang/>
        </w:rPr>
        <w:br/>
      </w:r>
    </w:p>
    <w:p>
      <w:pPr>
        <w:rPr>
          <w:rFonts w:hint="default" w:cs="宋体"/>
          <w:sz w:val="21"/>
          <w:szCs w:val="21"/>
          <w:lang/>
        </w:rPr>
      </w:pPr>
      <w:r>
        <w:rPr>
          <w:rFonts w:cs="宋体"/>
          <w:sz w:val="21"/>
          <w:szCs w:val="21"/>
          <w:lang/>
        </w:rPr>
        <w:br w:type="page"/>
      </w:r>
    </w:p>
    <w:p>
      <w:pPr>
        <w:ind w:left="630" w:hanging="630" w:hangingChars="300"/>
        <w:rPr>
          <w:rFonts w:hint="default" w:cs="宋体"/>
          <w:sz w:val="21"/>
          <w:szCs w:val="21"/>
          <w:lang/>
        </w:rPr>
      </w:pPr>
    </w:p>
    <w:tbl>
      <w:tblPr>
        <w:tblStyle w:val="8"/>
        <w:tblW w:w="221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ascii="宋体" w:hAnsi="宋体" w:eastAsia="宋体" w:cs="宋体"/>
              </w:rPr>
              <w:t>公开单位</w:t>
            </w:r>
            <w:r>
              <w:rPr>
                <w:rFonts w:ascii="宋体" w:hAnsi="宋体" w:eastAsia="宋体" w:cs="宋体"/>
                <w:color w:val="000000"/>
                <w:lang/>
              </w:rPr>
              <w:t xml:space="preserve">： </w:t>
            </w:r>
            <w:r>
              <w:rPr>
                <w:color w:val="000000"/>
              </w:rPr>
              <w:t xml:space="preserve">垫江县不动产登记中心 </w:t>
            </w: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7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公开03表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7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lang/>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功能分类科目编码</w:t>
            </w:r>
          </w:p>
        </w:tc>
        <w:tc>
          <w:tcPr>
            <w:tcW w:w="3528"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1,034.91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938.29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96.62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77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205</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教育支出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20508</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进修及培训</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1.92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2050803</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培训支出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1.92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1.92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208</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社会保障和就业支出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20805</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行政事业单位养老支出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104.11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2080505</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41.08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41.08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2080506</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20.51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20.51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2080599</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其他行政事业单位养老支出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42.52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42.52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210</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卫生健康支出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21011</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行政事业单位医疗</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27.06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2101102</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事业单位医疗</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27.06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27.06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220</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自然资源海洋气象等支出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857.53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760.91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96.62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22001</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自然资源事务</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857.53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760.91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96.62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2200150</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事业运行</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760.91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760.91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2200199</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其他自然资源事务支出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96.62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96.62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221</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住房保障支出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22102</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住房改革支出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lang/>
              </w:rPr>
              <w:t xml:space="preserve">44.29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2210201</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住房公积金</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44.29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44.29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lang/>
              </w:rPr>
              <w:t xml:space="preserve"> </w:t>
            </w:r>
          </w:p>
        </w:tc>
      </w:tr>
    </w:tbl>
    <w:p>
      <w:pPr>
        <w:rPr>
          <w:rFonts w:hint="default" w:cs="宋体"/>
          <w:sz w:val="21"/>
          <w:szCs w:val="21"/>
        </w:rPr>
      </w:pPr>
      <w:r>
        <w:rPr>
          <w:rFonts w:cs="宋体"/>
          <w:sz w:val="21"/>
          <w:szCs w:val="21"/>
          <w:lang/>
        </w:rPr>
        <w:t>备注：1.本表反映单位本年度各项支出情况。</w:t>
      </w:r>
      <w:r>
        <w:rPr>
          <w:rFonts w:cs="宋体"/>
          <w:sz w:val="21"/>
          <w:szCs w:val="21"/>
          <w:lang/>
        </w:rPr>
        <w:br/>
      </w:r>
      <w:r>
        <w:rPr>
          <w:rFonts w:cs="宋体"/>
          <w:sz w:val="21"/>
          <w:szCs w:val="21"/>
          <w:lang/>
        </w:rPr>
        <w:t xml:space="preserve">      2.本套报表金额单位转换时可能存在尾数误差。</w:t>
      </w:r>
      <w:r>
        <w:rPr>
          <w:rFonts w:cs="宋体"/>
          <w:sz w:val="21"/>
          <w:szCs w:val="21"/>
          <w:lang/>
        </w:rPr>
        <w:br/>
      </w:r>
      <w:r>
        <w:rPr>
          <w:rFonts w:cs="宋体"/>
          <w:sz w:val="21"/>
          <w:szCs w:val="21"/>
        </w:rPr>
        <w:br/>
      </w:r>
    </w:p>
    <w:p>
      <w:pPr>
        <w:rPr>
          <w:rFonts w:hint="default" w:cs="宋体"/>
          <w:sz w:val="21"/>
          <w:szCs w:val="21"/>
          <w:lang/>
        </w:rPr>
      </w:pPr>
      <w:r>
        <w:rPr>
          <w:rFonts w:cs="宋体"/>
          <w:sz w:val="21"/>
          <w:szCs w:val="21"/>
          <w:lang/>
        </w:rPr>
        <w:br w:type="page"/>
      </w:r>
    </w:p>
    <w:p>
      <w:pPr>
        <w:rPr>
          <w:rFonts w:hint="default" w:cs="宋体"/>
          <w:sz w:val="21"/>
          <w:szCs w:val="21"/>
          <w:lang/>
        </w:rPr>
      </w:pPr>
    </w:p>
    <w:tbl>
      <w:tblPr>
        <w:tblStyle w:val="8"/>
        <w:tblW w:w="223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4068"/>
        <w:gridCol w:w="2674"/>
        <w:gridCol w:w="3752"/>
        <w:gridCol w:w="2952"/>
        <w:gridCol w:w="2952"/>
        <w:gridCol w:w="2952"/>
        <w:gridCol w:w="30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财政拨款收入支出决算总表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2"/>
                <w:szCs w:val="22"/>
              </w:rPr>
            </w:pPr>
            <w:r>
              <w:rPr>
                <w:rFonts w:ascii="宋体" w:hAnsi="宋体" w:eastAsia="宋体" w:cs="宋体"/>
              </w:rPr>
              <w:t>公开单位</w:t>
            </w:r>
            <w:r>
              <w:rPr>
                <w:rFonts w:ascii="宋体" w:hAnsi="宋体" w:eastAsia="宋体" w:cs="宋体"/>
                <w:color w:val="000000"/>
                <w:lang/>
              </w:rPr>
              <w:t xml:space="preserve">： </w:t>
            </w:r>
            <w:r>
              <w:rPr>
                <w:color w:val="000000"/>
              </w:rPr>
              <w:t>垫江县不动产登记中心</w:t>
            </w:r>
          </w:p>
        </w:tc>
        <w:tc>
          <w:tcPr>
            <w:tcW w:w="37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01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公开04表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7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01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功能分类科目</w:t>
            </w:r>
          </w:p>
        </w:tc>
        <w:tc>
          <w:tcPr>
            <w:tcW w:w="11866" w:type="dxa"/>
            <w:gridSpan w:val="4"/>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国有资本经营预算财政拨款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935.58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一、一般公共服务支出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二、外交支出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三、国防支出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四、公共安全支出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五、教育支出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1.92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1.92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六、科学技术支出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八、社会保障和就业支出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104.11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104.11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九、卫生健康支出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27.06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27.06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十、节能环保支出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十一、城乡社区支出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十二、农林水支出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十三、交通运输支出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十五、商业服务业等支出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十六、金融支出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十七、援助其他地区支出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776.95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776.95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十九、住房保障支出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44.29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44.29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二十、粮油物资储备支出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二十三、其他支出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二十四、债务还本支出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二十五、债务付息支出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935.58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本年支出合计</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954.33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954.33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18.74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18.74 </w:t>
            </w:r>
          </w:p>
        </w:tc>
        <w:tc>
          <w:tcPr>
            <w:tcW w:w="375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954.33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总计</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lang/>
              </w:rPr>
              <w:t xml:space="preserve">954.33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lang/>
              </w:rPr>
              <w:t xml:space="preserve">954.33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lang/>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bl>
    <w:p>
      <w:pPr>
        <w:rPr>
          <w:rFonts w:hint="default" w:cs="宋体"/>
          <w:sz w:val="21"/>
          <w:szCs w:val="21"/>
        </w:rPr>
      </w:pPr>
      <w:r>
        <w:rPr>
          <w:rFonts w:cs="宋体"/>
          <w:sz w:val="21"/>
          <w:szCs w:val="21"/>
          <w:lang/>
        </w:rPr>
        <w:t>备注：1.本表反映单位本年度一般公共预算财政拨款、政府性基金预算财政拨款及国有资本经营预算财政拨款的总收支和年末结转结余情况。</w:t>
      </w:r>
      <w:r>
        <w:rPr>
          <w:rFonts w:cs="宋体"/>
          <w:sz w:val="21"/>
          <w:szCs w:val="21"/>
          <w:lang/>
        </w:rPr>
        <w:br/>
      </w:r>
      <w:r>
        <w:rPr>
          <w:rFonts w:cs="宋体"/>
          <w:sz w:val="21"/>
          <w:szCs w:val="21"/>
          <w:lang/>
        </w:rPr>
        <w:t xml:space="preserve">      2.本套报表金额单位转换时可能存在尾数误差。</w:t>
      </w:r>
      <w:r>
        <w:rPr>
          <w:rFonts w:cs="宋体"/>
          <w:sz w:val="21"/>
          <w:szCs w:val="21"/>
          <w:lang/>
        </w:rPr>
        <w:br/>
      </w:r>
      <w:r>
        <w:rPr>
          <w:rFonts w:cs="宋体"/>
          <w:sz w:val="21"/>
          <w:szCs w:val="21"/>
        </w:rPr>
        <w:br/>
      </w:r>
    </w:p>
    <w:p>
      <w:pPr>
        <w:rPr>
          <w:rFonts w:hint="default" w:cs="宋体"/>
          <w:sz w:val="21"/>
          <w:szCs w:val="21"/>
        </w:rPr>
      </w:pPr>
      <w:r>
        <w:rPr>
          <w:rFonts w:cs="宋体"/>
          <w:sz w:val="21"/>
          <w:szCs w:val="21"/>
        </w:rPr>
        <w:br w:type="page"/>
      </w:r>
    </w:p>
    <w:tbl>
      <w:tblPr>
        <w:tblStyle w:val="8"/>
        <w:tblW w:w="223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694"/>
        <w:gridCol w:w="5151"/>
        <w:gridCol w:w="4817"/>
        <w:gridCol w:w="4817"/>
        <w:gridCol w:w="48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一般公共预算财政拨款支出决算表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ascii="宋体" w:hAnsi="宋体" w:eastAsia="宋体" w:cs="宋体"/>
              </w:rPr>
              <w:t>公开单位</w:t>
            </w:r>
            <w:r>
              <w:rPr>
                <w:rFonts w:ascii="宋体" w:hAnsi="宋体" w:eastAsia="宋体" w:cs="宋体"/>
                <w:color w:val="000000"/>
                <w:lang/>
              </w:rPr>
              <w:t xml:space="preserve">： </w:t>
            </w:r>
            <w:r>
              <w:rPr>
                <w:color w:val="000000"/>
              </w:rPr>
              <w:t>垫江县不动产登记中心</w:t>
            </w: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821"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公开05表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821"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2"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2"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954.33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857.71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96.62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205</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教育支出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1.92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1.92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20508</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进修及培训</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1.92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1.92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2050803</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培训支出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1.92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1.92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208</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社会保障和就业支出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104.11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104.11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20805</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行政事业单位养老支出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104.11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104.11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2080505</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机关事业单位基本养老保险缴费支出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41.08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41.08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2080506</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机关事业单位职业年金缴费支出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20.51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20.51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2080599</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其他行政事业单位养老支出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42.52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42.52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210</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卫生健康支出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27.06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27.06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21011</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行政事业单位医疗</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27.06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27.06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2101102</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事业单位医疗</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27.06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27.06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220</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自然资源海洋气象等支出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776.95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680.33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96.62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22001</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自然资源事务</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776.95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680.33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96.62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2200150</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事业运行</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680.33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680.33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2200199</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其他自然资源事务支出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96.62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96.62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221</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住房保障支出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44.29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44.29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22102</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lang/>
              </w:rPr>
              <w:t>住房改革支出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44.29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lang/>
              </w:rPr>
              <w:t xml:space="preserve">44.29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2210201</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lang/>
              </w:rPr>
              <w:t>住房公积金</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44.29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44.29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lang/>
              </w:rPr>
              <w:t xml:space="preserve"> </w:t>
            </w:r>
          </w:p>
        </w:tc>
      </w:tr>
    </w:tbl>
    <w:p>
      <w:pPr>
        <w:rPr>
          <w:rFonts w:hint="default" w:cs="宋体"/>
          <w:sz w:val="21"/>
          <w:szCs w:val="21"/>
        </w:rPr>
      </w:pPr>
      <w:r>
        <w:rPr>
          <w:rFonts w:cs="宋体"/>
          <w:sz w:val="21"/>
          <w:szCs w:val="21"/>
          <w:lang/>
        </w:rPr>
        <w:t>备注：1.本表反映单位本年度一般公共预算财政拨款支出情况。</w:t>
      </w:r>
      <w:r>
        <w:rPr>
          <w:rFonts w:cs="宋体"/>
          <w:sz w:val="21"/>
          <w:szCs w:val="21"/>
          <w:lang/>
        </w:rPr>
        <w:br/>
      </w:r>
      <w:r>
        <w:rPr>
          <w:rFonts w:cs="宋体"/>
          <w:sz w:val="21"/>
          <w:szCs w:val="21"/>
          <w:lang/>
        </w:rPr>
        <w:t xml:space="preserve">      2.本套报表金额单位转换时可能存在尾数误差。</w:t>
      </w:r>
      <w:r>
        <w:rPr>
          <w:rFonts w:cs="宋体"/>
          <w:sz w:val="21"/>
          <w:szCs w:val="21"/>
          <w:lang/>
        </w:rPr>
        <w:br/>
      </w:r>
      <w:r>
        <w:rPr>
          <w:rFonts w:cs="宋体"/>
          <w:sz w:val="21"/>
          <w:szCs w:val="21"/>
        </w:rPr>
        <w:br/>
      </w:r>
    </w:p>
    <w:p>
      <w:pPr>
        <w:ind w:firstLine="630" w:firstLineChars="300"/>
        <w:rPr>
          <w:rFonts w:hint="default" w:cs="宋体"/>
          <w:sz w:val="21"/>
          <w:szCs w:val="21"/>
        </w:rPr>
      </w:pPr>
      <w:r>
        <w:rPr>
          <w:rFonts w:cs="宋体"/>
          <w:sz w:val="21"/>
          <w:szCs w:val="21"/>
        </w:rPr>
        <w:br w:type="page"/>
      </w:r>
    </w:p>
    <w:tbl>
      <w:tblPr>
        <w:tblStyle w:val="8"/>
        <w:tblW w:w="222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一般公共预算财政拨款基本支出决算表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2"/>
                <w:szCs w:val="22"/>
              </w:rPr>
            </w:pPr>
            <w:r>
              <w:rPr>
                <w:rFonts w:ascii="宋体" w:hAnsi="宋体" w:eastAsia="宋体" w:cs="宋体"/>
              </w:rPr>
              <w:t>公开单位</w:t>
            </w:r>
            <w:r>
              <w:rPr>
                <w:rFonts w:ascii="宋体" w:hAnsi="宋体" w:eastAsia="宋体" w:cs="宋体"/>
                <w:color w:val="000000"/>
                <w:lang/>
              </w:rPr>
              <w:t xml:space="preserve">： </w:t>
            </w:r>
            <w:r>
              <w:rPr>
                <w:color w:val="000000"/>
              </w:rPr>
              <w:t>垫江县不动产登记中心</w:t>
            </w:r>
          </w:p>
        </w:tc>
        <w:tc>
          <w:tcPr>
            <w:tcW w:w="282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12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33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4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50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465"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94"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公开06表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82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12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33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4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50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465"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94"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712.77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102.41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资本性支出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154.08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6.23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5.12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8.36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394.27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0.06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大型修缮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41.08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0.71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20.51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14.80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物资储备</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27.06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土地补偿</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安置补助</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0.42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32.97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44.29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拆迁补偿</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5.64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11.96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42.52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1.73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0.91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对企业补助</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32.59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0.27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费用补贴</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2.60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利息补贴</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3.94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7.34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7.45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其他支出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3.46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29.89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其他支出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人员经费合计</w:t>
            </w:r>
          </w:p>
        </w:tc>
        <w:tc>
          <w:tcPr>
            <w:tcW w:w="2829"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755.29 </w:t>
            </w:r>
          </w:p>
        </w:tc>
        <w:tc>
          <w:tcPr>
            <w:tcW w:w="12173"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公用经费合计</w:t>
            </w:r>
          </w:p>
        </w:tc>
        <w:tc>
          <w:tcPr>
            <w:tcW w:w="2494"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lang/>
              </w:rPr>
              <w:t xml:space="preserve">102.41 </w:t>
            </w:r>
          </w:p>
        </w:tc>
      </w:tr>
    </w:tbl>
    <w:p>
      <w:pPr>
        <w:rPr>
          <w:rFonts w:hint="default" w:cs="宋体"/>
          <w:sz w:val="21"/>
          <w:szCs w:val="21"/>
        </w:rPr>
      </w:pPr>
      <w:r>
        <w:rPr>
          <w:rFonts w:cs="宋体"/>
          <w:sz w:val="21"/>
          <w:szCs w:val="21"/>
          <w:lang/>
        </w:rPr>
        <w:t>备注：1.本表反映单位本年度一般公共预算财政拨款基本支出明细情况。</w:t>
      </w:r>
      <w:r>
        <w:rPr>
          <w:rFonts w:cs="宋体"/>
          <w:sz w:val="21"/>
          <w:szCs w:val="21"/>
          <w:lang/>
        </w:rPr>
        <w:br/>
      </w:r>
      <w:r>
        <w:rPr>
          <w:rFonts w:cs="宋体"/>
          <w:sz w:val="21"/>
          <w:szCs w:val="21"/>
          <w:lang/>
        </w:rPr>
        <w:t xml:space="preserve">      2.本套报表金额单位转换时可能存在尾数误差。</w:t>
      </w:r>
      <w:r>
        <w:rPr>
          <w:rFonts w:cs="宋体"/>
          <w:sz w:val="21"/>
          <w:szCs w:val="21"/>
          <w:lang/>
        </w:rPr>
        <w:br/>
      </w:r>
      <w:r>
        <w:rPr>
          <w:rFonts w:cs="宋体"/>
          <w:sz w:val="21"/>
          <w:szCs w:val="21"/>
        </w:rPr>
        <w:br/>
      </w:r>
    </w:p>
    <w:p>
      <w:pPr>
        <w:rPr>
          <w:rFonts w:hint="default" w:cs="宋体"/>
          <w:sz w:val="21"/>
          <w:szCs w:val="21"/>
        </w:rPr>
      </w:pPr>
      <w:r>
        <w:rPr>
          <w:rFonts w:cs="宋体"/>
          <w:sz w:val="21"/>
          <w:szCs w:val="21"/>
        </w:rPr>
        <w:br w:type="page"/>
      </w:r>
    </w:p>
    <w:tbl>
      <w:tblPr>
        <w:tblStyle w:val="8"/>
        <w:tblW w:w="222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ascii="宋体" w:hAnsi="宋体" w:eastAsia="宋体" w:cs="宋体"/>
              </w:rPr>
              <w:t>公开单位</w:t>
            </w:r>
            <w:r>
              <w:rPr>
                <w:rFonts w:ascii="宋体" w:hAnsi="宋体" w:eastAsia="宋体" w:cs="宋体"/>
                <w:color w:val="000000"/>
                <w:lang/>
              </w:rPr>
              <w:t xml:space="preserve">： </w:t>
            </w:r>
            <w:r>
              <w:rPr>
                <w:color w:val="000000"/>
              </w:rPr>
              <w:t>垫江县不动产登记中心</w:t>
            </w: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558"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639"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558"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639"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558"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2639"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r>
    </w:tbl>
    <w:p>
      <w:pPr>
        <w:rPr>
          <w:rFonts w:hint="default" w:cs="宋体"/>
          <w:sz w:val="21"/>
          <w:szCs w:val="21"/>
        </w:rPr>
      </w:pPr>
      <w:r>
        <w:rPr>
          <w:rFonts w:cs="宋体"/>
          <w:sz w:val="21"/>
          <w:szCs w:val="21"/>
          <w:lang/>
        </w:rPr>
        <w:t>备注：本表反映单位本年度政府性基金预算财政拨款收入支出及结转和结余情况。本单位无政府性基金收支，故本表无数据。</w:t>
      </w:r>
      <w:r>
        <w:rPr>
          <w:rFonts w:cs="宋体"/>
          <w:sz w:val="21"/>
          <w:szCs w:val="21"/>
          <w:lang/>
        </w:rPr>
        <w:br/>
      </w:r>
      <w:r>
        <w:rPr>
          <w:rFonts w:cs="宋体"/>
          <w:sz w:val="21"/>
          <w:szCs w:val="21"/>
        </w:rPr>
        <w:br/>
      </w:r>
    </w:p>
    <w:p>
      <w:pPr>
        <w:rPr>
          <w:rFonts w:hint="default" w:cs="宋体"/>
          <w:sz w:val="21"/>
          <w:szCs w:val="21"/>
        </w:rPr>
      </w:pPr>
      <w:r>
        <w:rPr>
          <w:rFonts w:cs="宋体"/>
          <w:sz w:val="21"/>
          <w:szCs w:val="21"/>
        </w:rPr>
        <w:br w:type="page"/>
      </w:r>
    </w:p>
    <w:tbl>
      <w:tblPr>
        <w:tblStyle w:val="8"/>
        <w:tblW w:w="2222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729"/>
        <w:gridCol w:w="4420"/>
        <w:gridCol w:w="4736"/>
        <w:gridCol w:w="5423"/>
        <w:gridCol w:w="49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ascii="宋体" w:hAnsi="宋体" w:eastAsia="宋体" w:cs="宋体"/>
              </w:rPr>
              <w:t>公开单位</w:t>
            </w:r>
            <w:r>
              <w:rPr>
                <w:rFonts w:ascii="宋体" w:hAnsi="宋体" w:eastAsia="宋体" w:cs="宋体"/>
                <w:color w:val="000000"/>
                <w:lang/>
              </w:rPr>
              <w:t xml:space="preserve">： </w:t>
            </w:r>
            <w:r>
              <w:rPr>
                <w:color w:val="000000"/>
              </w:rPr>
              <w:t>垫江县不动产登记中心</w:t>
            </w:r>
          </w:p>
        </w:tc>
        <w:tc>
          <w:tcPr>
            <w:tcW w:w="47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542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912"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7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542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912"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lang/>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lang/>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合计</w:t>
            </w:r>
          </w:p>
        </w:tc>
        <w:tc>
          <w:tcPr>
            <w:tcW w:w="4736"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c>
          <w:tcPr>
            <w:tcW w:w="542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default" w:cs="宋体"/>
                <w:b/>
                <w:color w:val="000000"/>
                <w:sz w:val="22"/>
                <w:szCs w:val="22"/>
              </w:rPr>
            </w:pPr>
          </w:p>
        </w:tc>
        <w:tc>
          <w:tcPr>
            <w:tcW w:w="4912"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lang/>
              </w:rPr>
              <w:t xml:space="preserve"> </w:t>
            </w:r>
          </w:p>
        </w:tc>
      </w:tr>
    </w:tbl>
    <w:p>
      <w:pPr>
        <w:rPr>
          <w:rFonts w:hint="default" w:cs="宋体"/>
          <w:sz w:val="21"/>
          <w:szCs w:val="21"/>
          <w:lang/>
        </w:rPr>
      </w:pPr>
      <w:r>
        <w:rPr>
          <w:rFonts w:cs="宋体"/>
          <w:sz w:val="21"/>
          <w:szCs w:val="21"/>
          <w:lang/>
        </w:rPr>
        <w:t>备注：本表反映单位本年度国有资本经营预算财政拨款支出情况。本单位无国有资本经营收支，故本表无数据。</w:t>
      </w:r>
      <w:r>
        <w:rPr>
          <w:rFonts w:cs="宋体"/>
          <w:sz w:val="21"/>
          <w:szCs w:val="21"/>
          <w:lang/>
        </w:rPr>
        <w:br/>
      </w:r>
      <w:r>
        <w:rPr>
          <w:rFonts w:cs="宋体"/>
          <w:sz w:val="21"/>
          <w:szCs w:val="21"/>
        </w:rPr>
        <w:br/>
      </w:r>
    </w:p>
    <w:p>
      <w:pPr>
        <w:rPr>
          <w:rFonts w:hint="default" w:cs="宋体"/>
          <w:sz w:val="21"/>
          <w:szCs w:val="21"/>
        </w:rPr>
      </w:pPr>
      <w:r>
        <w:rPr>
          <w:rFonts w:cs="宋体"/>
          <w:sz w:val="21"/>
          <w:szCs w:val="21"/>
        </w:rPr>
        <w:br w:type="page"/>
      </w:r>
    </w:p>
    <w:tbl>
      <w:tblPr>
        <w:tblStyle w:val="8"/>
        <w:tblW w:w="2216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159"/>
        <w:gridCol w:w="3822"/>
        <w:gridCol w:w="3281"/>
        <w:gridCol w:w="6581"/>
        <w:gridCol w:w="33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lang/>
              </w:rPr>
              <w:t>机构运行信息表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55" w:hRule="atLeast"/>
        </w:trPr>
        <w:tc>
          <w:tcPr>
            <w:tcW w:w="515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822" w:type="dxa"/>
            <w:tcBorders>
              <w:top w:val="nil"/>
              <w:left w:val="nil"/>
              <w:bottom w:val="nil"/>
              <w:right w:val="nil"/>
            </w:tcBorders>
            <w:tcMar>
              <w:top w:w="15" w:type="dxa"/>
              <w:left w:w="15" w:type="dxa"/>
              <w:right w:w="15" w:type="dxa"/>
            </w:tcMar>
            <w:vAlign w:val="bottom"/>
          </w:tcPr>
          <w:p>
            <w:pPr>
              <w:jc w:val="center"/>
              <w:rPr>
                <w:rFonts w:hint="default" w:ascii="Arial" w:hAnsi="Arial" w:cs="Arial"/>
                <w:color w:val="000000"/>
                <w:sz w:val="20"/>
                <w:szCs w:val="20"/>
              </w:rPr>
            </w:pPr>
          </w:p>
        </w:tc>
        <w:tc>
          <w:tcPr>
            <w:tcW w:w="3281"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0"/>
                <w:szCs w:val="20"/>
              </w:rPr>
            </w:pPr>
          </w:p>
        </w:tc>
        <w:tc>
          <w:tcPr>
            <w:tcW w:w="6581"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325"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85" w:hRule="atLeast"/>
        </w:trPr>
        <w:tc>
          <w:tcPr>
            <w:tcW w:w="5159" w:type="dxa"/>
            <w:tcBorders>
              <w:top w:val="nil"/>
              <w:left w:val="nil"/>
              <w:bottom w:val="nil"/>
              <w:right w:val="nil"/>
            </w:tcBorders>
            <w:tcMar>
              <w:top w:w="15" w:type="dxa"/>
              <w:left w:w="15" w:type="dxa"/>
              <w:right w:w="15" w:type="dxa"/>
            </w:tcMar>
            <w:vAlign w:val="bottom"/>
          </w:tcPr>
          <w:p>
            <w:pPr>
              <w:textAlignment w:val="bottom"/>
              <w:rPr>
                <w:rFonts w:hint="default" w:ascii="Arial" w:hAnsi="Arial" w:cs="Arial"/>
                <w:color w:val="000000"/>
                <w:sz w:val="22"/>
                <w:szCs w:val="22"/>
              </w:rPr>
            </w:pPr>
            <w:r>
              <w:rPr>
                <w:rFonts w:ascii="宋体" w:hAnsi="宋体" w:eastAsia="宋体" w:cs="宋体"/>
              </w:rPr>
              <w:t>公开单位</w:t>
            </w:r>
            <w:r>
              <w:rPr>
                <w:rFonts w:ascii="宋体" w:hAnsi="宋体" w:eastAsia="宋体" w:cs="宋体"/>
                <w:color w:val="000000"/>
                <w:lang/>
              </w:rPr>
              <w:t xml:space="preserve">： </w:t>
            </w:r>
            <w:r>
              <w:rPr>
                <w:color w:val="000000"/>
              </w:rPr>
              <w:t>垫江县不动产登记中心</w:t>
            </w:r>
          </w:p>
        </w:tc>
        <w:tc>
          <w:tcPr>
            <w:tcW w:w="3822" w:type="dxa"/>
            <w:tcBorders>
              <w:top w:val="nil"/>
              <w:left w:val="nil"/>
              <w:bottom w:val="nil"/>
              <w:right w:val="nil"/>
            </w:tcBorders>
            <w:tcMar>
              <w:top w:w="15" w:type="dxa"/>
              <w:left w:w="15" w:type="dxa"/>
              <w:right w:w="15" w:type="dxa"/>
            </w:tcMar>
            <w:vAlign w:val="bottom"/>
          </w:tcPr>
          <w:p>
            <w:pPr>
              <w:jc w:val="center"/>
              <w:rPr>
                <w:rFonts w:hint="default" w:cs="宋体"/>
                <w:color w:val="000000"/>
                <w:sz w:val="22"/>
                <w:szCs w:val="22"/>
              </w:rPr>
            </w:pPr>
          </w:p>
        </w:tc>
        <w:tc>
          <w:tcPr>
            <w:tcW w:w="3281"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2"/>
                <w:szCs w:val="22"/>
              </w:rPr>
            </w:pPr>
          </w:p>
        </w:tc>
        <w:tc>
          <w:tcPr>
            <w:tcW w:w="6581"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325"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lang/>
              </w:rPr>
              <w:t>单位：</w:t>
            </w:r>
            <w:r>
              <w:rPr>
                <w:rFonts w:cs="宋体"/>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预算数</w:t>
            </w:r>
          </w:p>
        </w:tc>
        <w:tc>
          <w:tcPr>
            <w:tcW w:w="3281"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决算数</w:t>
            </w:r>
          </w:p>
        </w:tc>
        <w:tc>
          <w:tcPr>
            <w:tcW w:w="6581"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项  目</w:t>
            </w:r>
          </w:p>
        </w:tc>
        <w:tc>
          <w:tcPr>
            <w:tcW w:w="3325"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lang/>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一、“三公”经费支出</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四、机关运行经费</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3.46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3.46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3.46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3.46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五、资产信息</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3.46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3.46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（1）国内接待费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其中：外事接待费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（2）国（境）外接待费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（二）相关统计数</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1．因公出国（境）团组数（个）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2．因公出国（境）人次数（人）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3．公务用车购置数（辆）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4．公务用车保有量（辆）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1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六、政府采购支出信息</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5．国内公务接待批次（个）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其中：外事接待批次（个）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6．国内公务接待人次（人）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其中：外事接待人次（人）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7．国（境）外公务接待批次（个）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8．国（境）外公务接待人次（人）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二、会议费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jc w:val="right"/>
              <w:rPr>
                <w:rFonts w:hint="default" w:ascii="Arial" w:hAnsi="Arial" w:cs="Arial"/>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lang/>
              </w:rPr>
              <w:t>三、培训费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lang/>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lang/>
              </w:rPr>
              <w:t xml:space="preserve">1.73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jc w:val="right"/>
              <w:rPr>
                <w:rFonts w:hint="default" w:ascii="Arial" w:hAnsi="Arial" w:cs="Arial"/>
                <w:color w:val="000000"/>
                <w:sz w:val="20"/>
                <w:szCs w:val="20"/>
              </w:rPr>
            </w:pPr>
          </w:p>
        </w:tc>
      </w:tr>
    </w:tbl>
    <w:p>
      <w:pPr>
        <w:rPr>
          <w:rFonts w:hint="default" w:cs="宋体"/>
          <w:sz w:val="21"/>
          <w:szCs w:val="21"/>
        </w:rPr>
      </w:pPr>
      <w:r>
        <w:rPr>
          <w:rFonts w:cs="宋体"/>
          <w:sz w:val="21"/>
          <w:szCs w:val="21"/>
          <w:lang/>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lang/>
        </w:rPr>
        <w:br/>
      </w:r>
      <w:r>
        <w:rPr>
          <w:rFonts w:cs="宋体"/>
          <w:sz w:val="21"/>
          <w:szCs w:val="21"/>
          <w:lang/>
        </w:rPr>
        <w:t xml:space="preserve">      2.本套报表金额单位转换时可能存在尾数误差。</w:t>
      </w:r>
      <w:r>
        <w:rPr>
          <w:rFonts w:cs="宋体"/>
          <w:sz w:val="21"/>
          <w:szCs w:val="21"/>
          <w:lang/>
        </w:rPr>
        <w:br/>
      </w:r>
      <w:r>
        <w:rPr>
          <w:rFonts w:cs="宋体"/>
          <w:sz w:val="21"/>
          <w:szCs w:val="21"/>
        </w:rPr>
        <w:br/>
      </w:r>
    </w:p>
    <w:p>
      <w:pPr>
        <w:rPr>
          <w:rFonts w:hint="default" w:cs="宋体"/>
          <w:color w:val="000000"/>
          <w:sz w:val="21"/>
          <w:szCs w:val="21"/>
          <w:lang/>
        </w:rPr>
      </w:pPr>
    </w:p>
    <w:p>
      <w:pPr>
        <w:rPr>
          <w:rFonts w:hint="default" w:cs="宋体"/>
          <w:color w:val="000000"/>
          <w:sz w:val="21"/>
          <w:szCs w:val="21"/>
          <w:lang/>
        </w:rPr>
      </w:pPr>
    </w:p>
    <w:p>
      <w:pPr>
        <w:rPr>
          <w:rFonts w:hint="default" w:cs="宋体"/>
          <w:color w:val="000000"/>
          <w:sz w:val="21"/>
          <w:szCs w:val="21"/>
          <w:lang/>
        </w:rPr>
      </w:pPr>
    </w:p>
    <w:p>
      <w:pPr>
        <w:rPr>
          <w:rFonts w:hint="default" w:cs="宋体"/>
          <w:color w:val="000000"/>
          <w:sz w:val="21"/>
          <w:szCs w:val="21"/>
          <w:lang/>
        </w:rPr>
      </w:pPr>
    </w:p>
    <w:p>
      <w:pPr>
        <w:rPr>
          <w:rFonts w:hint="default" w:cs="宋体"/>
          <w:color w:val="000000"/>
          <w:sz w:val="21"/>
          <w:szCs w:val="21"/>
          <w:lang/>
        </w:rPr>
      </w:pPr>
    </w:p>
    <w:p>
      <w:pPr>
        <w:rPr>
          <w:rFonts w:hint="default" w:cs="宋体"/>
          <w:color w:val="000000"/>
          <w:sz w:val="21"/>
          <w:szCs w:val="21"/>
          <w:lang/>
        </w:rPr>
      </w:pPr>
    </w:p>
    <w:p>
      <w:pPr>
        <w:rPr>
          <w:rFonts w:hint="default" w:cs="宋体"/>
          <w:color w:val="000000"/>
          <w:sz w:val="21"/>
          <w:szCs w:val="21"/>
          <w:lang/>
        </w:rPr>
      </w:pPr>
    </w:p>
    <w:p>
      <w:pPr>
        <w:rPr>
          <w:rFonts w:hint="default" w:cs="宋体"/>
          <w:color w:val="000000"/>
          <w:sz w:val="21"/>
          <w:szCs w:val="21"/>
          <w:lang/>
        </w:rPr>
      </w:pPr>
    </w:p>
    <w:p>
      <w:pPr>
        <w:rPr>
          <w:rFonts w:hint="default" w:cs="宋体"/>
          <w:color w:val="000000"/>
          <w:sz w:val="21"/>
          <w:szCs w:val="21"/>
          <w:lang/>
        </w:rPr>
      </w:pPr>
    </w:p>
    <w:p>
      <w:pPr>
        <w:pStyle w:val="10"/>
        <w:autoSpaceDE w:val="0"/>
        <w:ind w:firstLine="0" w:firstLineChars="0"/>
        <w:rPr>
          <w:rFonts w:cs="宋体"/>
          <w:sz w:val="21"/>
          <w:szCs w:val="21"/>
        </w:rPr>
      </w:pPr>
    </w:p>
    <w:sectPr>
      <w:headerReference r:id="rId5" w:type="default"/>
      <w:footerReference r:id="rId6"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rPr>
        <w:rFonts w:hint="default"/>
      </w:rPr>
    </w:pPr>
    <w:r>
      <w:rPr>
        <w:rFonts w:hint="eastAsia" w:ascii="宋体" w:hAnsi="宋体" w:eastAsia="宋体" w:cs="Times New Roman"/>
        <w:sz w:val="18"/>
        <w:szCs w:val="18"/>
        <w:lang w:val="en-US" w:eastAsia="zh-CN" w:bidi="ar-SA"/>
      </w:rPr>
      <w:pict>
        <v:rect id="文本框 1" o:spid="_x0000_s1025" style="position:absolute;left:0;margin-top:0pt;height:144pt;width:144pt;mso-position-horizontal:center;mso-position-horizontal-relative:margin;mso-wrap-style:none;rotation:0f;z-index:251660288;"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2"/>
                  <w:rPr>
                    <w:rFonts w:hint="default"/>
                  </w:rPr>
                </w:pPr>
                <w:r>
                  <w:fldChar w:fldCharType="begin"/>
                </w:r>
                <w:r>
                  <w:instrText xml:space="preserve"> PAGE  \* MERGEFORMAT </w:instrText>
                </w:r>
                <w:r>
                  <w:fldChar w:fldCharType="separate"/>
                </w:r>
                <w:r>
                  <w:rPr>
                    <w:rFonts w:hint="default"/>
                  </w:rPr>
                  <w:t>- 10 -</w:t>
                </w:r>
                <w: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jc w:val="both"/>
      <w:rPr>
        <w:rFonts w:hint="default"/>
      </w:rPr>
    </w:pPr>
    <w:r>
      <w:rPr>
        <w:rFonts w:hint="eastAsia" w:ascii="宋体" w:hAnsi="宋体" w:eastAsia="宋体" w:cs="Times New Roman"/>
        <w:sz w:val="18"/>
        <w:szCs w:val="18"/>
        <w:lang w:val="en-US" w:eastAsia="zh-CN" w:bidi="ar-SA"/>
      </w:rPr>
      <w:pict>
        <v:rect id="文本框 127" o:spid="_x0000_s1026" style="position:absolute;left:0;margin-top:0pt;height:144pt;width:144pt;mso-position-horizontal:center;mso-position-horizontal-relative:margin;mso-wrap-style:none;rotation:0f;z-index:251659264;" o:ole="f" fillcolor="#FFFFFF" filled="f" o:preferrelative="t" stroked="f" coordsize="21600,21600" o:allowoverlap="f">
          <v:fill on="f" color2="#FFFFFF" focus="0%"/>
          <v:imagedata gain="65536f" blacklevel="0f" gamma="0"/>
          <o:lock v:ext="edit" position="f" selection="f" grouping="f" rotation="f" cropping="f" text="f" aspectratio="f"/>
          <v:textbox inset="0.00pt,0.00pt,0.00pt,0.00pt" style="mso-fit-shape-to-text:t;">
            <w:txbxContent>
              <w:p>
                <w:pPr>
                  <w:pStyle w:val="2"/>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20 -</w:t>
                </w:r>
                <w:r>
                  <w:fldChar w:fldCharType="end"/>
                </w:r>
                <w:r>
                  <w:t xml:space="preserve"> </w:t>
                </w:r>
              </w:p>
            </w:txbxContent>
          </v:textbox>
        </v:rect>
      </w:pict>
    </w:r>
    <w:r>
      <w:rPr>
        <w:rFonts w:hint="eastAsia" w:ascii="宋体" w:hAnsi="宋体" w:eastAsia="宋体" w:cs="Times New Roman"/>
        <w:sz w:val="18"/>
        <w:szCs w:val="18"/>
        <w:lang w:val="en-US" w:eastAsia="zh-CN" w:bidi="ar-SA"/>
      </w:rPr>
      <w:pict>
        <v:rect id="文本框 126" o:spid="_x0000_s1027" style="position:absolute;left:0;margin-top:1160.4pt;height:17.4pt;width:144pt;mso-position-horizontal:center;mso-position-horizontal-relative:margin;mso-position-vertical-relative:page;mso-wrap-style:none;rotation:0f;z-index:251658240;" o:ole="f" fillcolor="#FFFFFF" filled="f" o:preferrelative="t" stroked="f" coordsize="21600,21600" o:allowoverlap="f">
          <v:fill on="f" color2="#FFFFFF" focus="0%"/>
          <v:imagedata gain="65536f" blacklevel="0f" gamma="0"/>
          <o:lock v:ext="edit" position="f" selection="f" grouping="f" rotation="f" cropping="f" text="f" aspectratio="f"/>
          <v:textbox inset="0.00pt,0.00pt,0.00pt,0.00pt">
            <w:txbxContent>
              <w:p>
                <w:pPr>
                  <w:pStyle w:val="2"/>
                  <w:jc w:val="both"/>
                  <w:rPr>
                    <w:rFonts w:hint="default" w:cs="宋体"/>
                  </w:rPr>
                </w:pPr>
                <w:r>
                  <w:rPr>
                    <w:rFonts w:cs="宋体"/>
                  </w:rPr>
                  <w:t>— 27.1 —</w:t>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docVars>
    <w:docVar w:name="commondata" w:val="eyJoZGlkIjoiOTUzNzMzY2RkMmM1ZDhiNTI5NTNiZDJmMTAyNmVjNmQifQ=="/>
  </w:docVars>
  <w:rsids>
    <w:rsidRoot w:val="00B03CCD"/>
    <w:rsid w:val="004F4469"/>
    <w:rsid w:val="00550ABE"/>
    <w:rsid w:val="007B419D"/>
    <w:rsid w:val="009B67B8"/>
    <w:rsid w:val="00B03CCD"/>
    <w:rsid w:val="00CA3EFB"/>
    <w:rsid w:val="00E1556D"/>
    <w:rsid w:val="00F73F90"/>
    <w:rsid w:val="00FF08CD"/>
    <w:rsid w:val="01474EBF"/>
    <w:rsid w:val="01F3521E"/>
    <w:rsid w:val="03B87EA0"/>
    <w:rsid w:val="03E3214F"/>
    <w:rsid w:val="044C50BA"/>
    <w:rsid w:val="05BC6D49"/>
    <w:rsid w:val="06194FF1"/>
    <w:rsid w:val="067A4BD5"/>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2E64F1"/>
    <w:rsid w:val="0B9335CE"/>
    <w:rsid w:val="0BF2311A"/>
    <w:rsid w:val="0C7927C4"/>
    <w:rsid w:val="0C9B098C"/>
    <w:rsid w:val="0D673E11"/>
    <w:rsid w:val="0DDA54E4"/>
    <w:rsid w:val="0E3A5F83"/>
    <w:rsid w:val="0F836721"/>
    <w:rsid w:val="0FA25D96"/>
    <w:rsid w:val="0FCC090D"/>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6667EB7"/>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1A8041E"/>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6A219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4F13FCC"/>
    <w:rsid w:val="45CB699A"/>
    <w:rsid w:val="465B470D"/>
    <w:rsid w:val="469D6AD4"/>
    <w:rsid w:val="46DA7828"/>
    <w:rsid w:val="471E6C84"/>
    <w:rsid w:val="4748792B"/>
    <w:rsid w:val="475D719D"/>
    <w:rsid w:val="47674801"/>
    <w:rsid w:val="48225EF7"/>
    <w:rsid w:val="488F422B"/>
    <w:rsid w:val="48E36915"/>
    <w:rsid w:val="48EB6572"/>
    <w:rsid w:val="495C4A24"/>
    <w:rsid w:val="497135DF"/>
    <w:rsid w:val="4A263DF2"/>
    <w:rsid w:val="4A6F6675"/>
    <w:rsid w:val="4B135857"/>
    <w:rsid w:val="4B6C1096"/>
    <w:rsid w:val="4B7951CB"/>
    <w:rsid w:val="4B7C315C"/>
    <w:rsid w:val="4D7A2950"/>
    <w:rsid w:val="4DAC4ACA"/>
    <w:rsid w:val="4DBE01D2"/>
    <w:rsid w:val="4F0C6BA3"/>
    <w:rsid w:val="4F186D58"/>
    <w:rsid w:val="50F06B6E"/>
    <w:rsid w:val="51AD6837"/>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914522F"/>
    <w:rsid w:val="5A3B59D6"/>
    <w:rsid w:val="5AD134D8"/>
    <w:rsid w:val="5C263CE4"/>
    <w:rsid w:val="5C5D2777"/>
    <w:rsid w:val="5CF66BF3"/>
    <w:rsid w:val="5D290C69"/>
    <w:rsid w:val="5F2D4A41"/>
    <w:rsid w:val="60101BE9"/>
    <w:rsid w:val="60C74F6C"/>
    <w:rsid w:val="61025A59"/>
    <w:rsid w:val="613D5BBC"/>
    <w:rsid w:val="61536C39"/>
    <w:rsid w:val="62944DD7"/>
    <w:rsid w:val="6319381F"/>
    <w:rsid w:val="63C25DC5"/>
    <w:rsid w:val="63C62057"/>
    <w:rsid w:val="64571EF5"/>
    <w:rsid w:val="64FB113D"/>
    <w:rsid w:val="656152C6"/>
    <w:rsid w:val="6587477F"/>
    <w:rsid w:val="658C3A08"/>
    <w:rsid w:val="65901C86"/>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C8C2518"/>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 w:val="F35B7702"/>
  </w:rsids>
  <w:doNotAutoCompressPicture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6">
    <w:name w:val="Default Paragraph Font"/>
    <w:unhideWhenUsed/>
    <w:uiPriority w:val="1"/>
  </w:style>
  <w:style w:type="table" w:default="1" w:styleId="8">
    <w:name w:val="Normal Table"/>
    <w:unhideWhenUsed/>
    <w:uiPriority w:val="99"/>
    <w:tblPr>
      <w:tblStyle w:val="8"/>
      <w:tblLayout w:type="fixed"/>
      <w:tblCellMar>
        <w:top w:w="0" w:type="dxa"/>
        <w:left w:w="108" w:type="dxa"/>
        <w:bottom w:w="0" w:type="dxa"/>
        <w:right w:w="108" w:type="dxa"/>
      </w:tblCellMar>
    </w:tblPr>
    <w:tcPr>
      <w:textDirection w:val="lrTb"/>
    </w:tcPr>
  </w:style>
  <w:style w:type="paragraph" w:styleId="2">
    <w:name w:val="footer"/>
    <w:basedOn w:val="1"/>
    <w:qFormat/>
    <w:uiPriority w:val="0"/>
    <w:pPr>
      <w:tabs>
        <w:tab w:val="center" w:pos="4153"/>
        <w:tab w:val="right" w:pos="8306"/>
      </w:tabs>
      <w:snapToGrid w:val="0"/>
    </w:pPr>
    <w:rPr>
      <w:sz w:val="18"/>
      <w:szCs w:val="18"/>
    </w:rPr>
  </w:style>
  <w:style w:type="paragraph" w:styleId="3">
    <w:name w:val="header"/>
    <w:basedOn w:val="1"/>
    <w:qFormat/>
    <w:uiPriority w:val="0"/>
    <w:pPr>
      <w:tabs>
        <w:tab w:val="center" w:pos="4153"/>
        <w:tab w:val="right" w:pos="8306"/>
      </w:tabs>
      <w:snapToGrid w:val="0"/>
      <w:jc w:val="center"/>
    </w:pPr>
    <w:rPr>
      <w:sz w:val="18"/>
      <w:szCs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5">
    <w:name w:val="Normal (Web)"/>
    <w:basedOn w:val="1"/>
    <w:unhideWhenUsed/>
    <w:qFormat/>
    <w:uiPriority w:val="0"/>
    <w:pPr>
      <w:spacing w:before="100" w:beforeAutospacing="1" w:after="100" w:afterAutospacing="1"/>
    </w:pPr>
  </w:style>
  <w:style w:type="character" w:styleId="7">
    <w:name w:val="Strong"/>
    <w:qFormat/>
    <w:uiPriority w:val="0"/>
    <w:rPr>
      <w:b/>
    </w:rPr>
  </w:style>
  <w:style w:type="table" w:styleId="9">
    <w:name w:val="Table Grid"/>
    <w:basedOn w:val="8"/>
    <w:qFormat/>
    <w:uiPriority w:val="0"/>
    <w:pPr>
      <w:widowControl w:val="0"/>
      <w:jc w:val="both"/>
    </w:pPr>
    <w:tblPr>
      <w:tblStyle w:val="8"/>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10">
    <w:name w:val="列出段落1"/>
    <w:basedOn w:val="1"/>
    <w:qFormat/>
    <w:uiPriority w:val="99"/>
    <w:pPr>
      <w:ind w:firstLine="420" w:firstLineChars="200"/>
    </w:pPr>
    <w:rPr>
      <w:rFonts w:hint="default"/>
    </w:rPr>
  </w:style>
  <w:style w:type="paragraph" w:customStyle="1" w:styleId="11">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paragraph" w:customStyle="1" w:styleId="12">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1.xml"/><Relationship Id="rId4" Type="http://schemas.openxmlformats.org/officeDocument/2006/relationships/footer" Target="foot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5" textRotate="1"/>
    <customShpInfo spid="_x0000_s1026" textRotate="1"/>
    <customShpInfo spid="_x0000_s102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22</Pages>
  <Words>2118</Words>
  <Characters>12076</Characters>
  <Lines>100</Lines>
  <Paragraphs>28</Paragraphs>
  <TotalTime>0</TotalTime>
  <ScaleCrop>false</ScaleCrop>
  <LinksUpToDate>false</LinksUpToDate>
  <CharactersWithSpaces>0</CharactersWithSpaces>
  <Application>WPS Office 专业版_9.1.0.5012_F1E327BC-269C-435d-A152-05C5408002CA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2024-07-11T10:00:00Z</dcterms:created>
  <dc:creator>Administrator</dc:creator>
  <cp:lastModifiedBy>Administrator</cp:lastModifiedBy>
  <dcterms:modified xsi:type="dcterms:W3CDTF">2024-09-23T01:49:34Z</dcterms:modified>
  <dc:title>垫江县不动产登记中心2023年度决算公开说明</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2052-9.1.0.5012</vt:lpwstr>
  </property>
  <property fmtid="{D5CDD505-2E9C-101B-9397-08002B2CF9AE}" pid="3" name="ICV">
    <vt:lpwstr>BAEBDA9468BF47C4A53AB2D63EF923DD_13</vt:lpwstr>
  </property>
</Properties>
</file>