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垫江县规划和自然资源局高安规划自然资源所</w:t>
      </w:r>
      <w:r>
        <w:rPr>
          <w:rFonts w:ascii="方正小标宋_GBK" w:hAnsi="方正小标宋_GBK" w:eastAsia="方正小标宋_GBK" w:cs="方正小标宋_GBK"/>
          <w:sz w:val="36"/>
          <w:szCs w:val="36"/>
          <w:shd w:val="clear" w:color="auto" w:fill="FFFFFF"/>
        </w:rPr>
        <w:t>2023年度决算公开说明</w:t>
      </w:r>
    </w:p>
    <w:p>
      <w:pPr>
        <w:pStyle w:val="5"/>
        <w:numPr>
          <w:ilvl w:val="0"/>
          <w:numId w:val="1"/>
        </w:numPr>
        <w:shd w:val="clear" w:color="auto" w:fill="FFFFFF"/>
        <w:ind w:firstLine="643" w:firstLineChars="200"/>
        <w:rPr>
          <w:ins w:id="0" w:author="冯阅" w:date="2024-09-12T16:35: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单位基本情况</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pStyle w:val="5"/>
        <w:shd w:val="clear" w:color="auto" w:fill="FFFFFF"/>
        <w:ind w:firstLine="640" w:firstLineChars="200"/>
        <w:jc w:val="both"/>
        <w:rPr>
          <w:rFonts w:hint="eastAsia" w:ascii="仿宋" w:hAnsi="仿宋" w:eastAsia="仿宋"/>
          <w:sz w:val="32"/>
          <w:szCs w:val="32"/>
          <w:shd w:val="clear" w:color="auto" w:fill="FFFFFF"/>
          <w:lang w:eastAsia="zh-CN"/>
        </w:rPr>
      </w:pPr>
      <w:r>
        <w:rPr>
          <w:rFonts w:ascii="仿宋" w:hAnsi="仿宋"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1" w:author="冯阅" w:date="2024-09-12T16:35:00Z">
        <w:r>
          <w:rPr>
            <w:rFonts w:hint="eastAsia" w:eastAsia="仿宋"/>
            <w:sz w:val="32"/>
            <w:szCs w:val="32"/>
            <w:shd w:val="clear" w:color="auto" w:fill="FFFFFF"/>
            <w:lang w:val="en-US" w:eastAsia="zh-CN"/>
          </w:rPr>
          <w:t>。</w:t>
        </w:r>
      </w:ins>
    </w:p>
    <w:p>
      <w:pPr>
        <w:pStyle w:val="5"/>
        <w:shd w:val="clear" w:color="auto" w:fill="FFFFFF"/>
        <w:ind w:firstLine="630" w:firstLineChars="196"/>
        <w:rPr>
          <w:rFonts w:hint="default" w:ascii="仿宋" w:hAnsi="仿宋" w:eastAsia="仿宋"/>
          <w:sz w:val="32"/>
          <w:szCs w:val="32"/>
          <w:shd w:val="clear" w:color="auto" w:fill="FFFFFF"/>
        </w:rPr>
      </w:pPr>
      <w:r>
        <w:rPr>
          <w:rStyle w:val="14"/>
          <w:rFonts w:hint="eastAsia" w:ascii="仿宋" w:hAnsi="仿宋" w:eastAsia="仿宋" w:cs="宋体"/>
          <w:sz w:val="32"/>
          <w:szCs w:val="32"/>
          <w:shd w:val="clear" w:color="auto" w:fill="FFFFFF"/>
        </w:rPr>
        <w:t>（二）机构设置</w:t>
      </w:r>
    </w:p>
    <w:p>
      <w:pPr>
        <w:pStyle w:val="5"/>
        <w:shd w:val="clear" w:color="auto" w:fill="FFFFFF"/>
        <w:ind w:firstLine="640" w:firstLineChars="200"/>
        <w:rPr>
          <w:rFonts w:hint="default" w:ascii="仿宋" w:hAnsi="仿宋" w:eastAsia="仿宋" w:cs="仿宋_GB2312"/>
          <w:sz w:val="32"/>
          <w:szCs w:val="32"/>
          <w:shd w:val="clear" w:color="auto" w:fill="FFFFFF"/>
        </w:rPr>
      </w:pPr>
      <w:r>
        <w:rPr>
          <w:rFonts w:eastAsia="仿宋"/>
          <w:color w:val="FF0000"/>
          <w:sz w:val="32"/>
          <w:szCs w:val="32"/>
          <w:shd w:val="clear" w:color="auto" w:fill="FFFFFF"/>
        </w:rPr>
        <w:t xml:space="preserve"> </w:t>
      </w:r>
      <w:r>
        <w:rPr>
          <w:rFonts w:ascii="仿宋" w:hAnsi="仿宋" w:eastAsia="仿宋"/>
          <w:sz w:val="32"/>
          <w:szCs w:val="32"/>
          <w:shd w:val="clear" w:color="auto" w:fill="FFFFFF"/>
        </w:rPr>
        <w:t>本单位属财政全额拨款的事业单位，为股所级单位，未设置独立的内设科室。</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2023年度收入总计170.17万元，支出总计</w:t>
      </w:r>
      <w:r>
        <w:rPr>
          <w:rFonts w:ascii="方正仿宋_GBK" w:hAnsi="方正仿宋_GBK" w:eastAsia="方正仿宋_GBK" w:cs="方正仿宋_GBK"/>
          <w:sz w:val="32"/>
          <w:szCs w:val="32"/>
        </w:rPr>
        <w:t>170.17</w:t>
      </w:r>
      <w:r>
        <w:rPr>
          <w:rFonts w:ascii="方正仿宋_GBK" w:hAnsi="方正仿宋_GBK" w:eastAsia="方正仿宋_GBK" w:cs="方正仿宋_GBK"/>
          <w:sz w:val="32"/>
          <w:szCs w:val="32"/>
          <w:shd w:val="clear" w:color="auto" w:fill="FFFFFF"/>
        </w:rPr>
        <w:t>万元。收支较上年决算数增加27.85万元，增长19.57%，主要原因是工资正常晋升和补发以前年度绩效工资。</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2023年度收入合计165.16万元，较上年决算数增加24.64万元，增长17.53%，主要原因是工资正常晋升和补发以前年度绩效工资。其中：财政拨款收入</w:t>
      </w:r>
      <w:r>
        <w:rPr>
          <w:rFonts w:ascii="方正仿宋_GBK" w:hAnsi="方正仿宋_GBK" w:eastAsia="方正仿宋_GBK" w:cs="方正仿宋_GBK"/>
          <w:sz w:val="32"/>
          <w:szCs w:val="32"/>
        </w:rPr>
        <w:t>157.79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95.54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7.37</w:t>
      </w:r>
      <w:r>
        <w:rPr>
          <w:rFonts w:ascii="方正仿宋_GBK" w:hAnsi="方正仿宋_GBK" w:eastAsia="方正仿宋_GBK" w:cs="方正仿宋_GBK"/>
          <w:sz w:val="32"/>
          <w:szCs w:val="32"/>
          <w:shd w:val="clear" w:color="auto" w:fill="FFFFFF"/>
        </w:rPr>
        <w:t>万元，占4.46%。此外，使用非财政拨款结余和专用结余</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3.71</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170.17</w:t>
      </w:r>
      <w:r>
        <w:rPr>
          <w:rFonts w:ascii="方正仿宋_GBK" w:hAnsi="方正仿宋_GBK" w:eastAsia="方正仿宋_GBK" w:cs="方正仿宋_GBK"/>
          <w:sz w:val="32"/>
          <w:szCs w:val="32"/>
          <w:shd w:val="clear" w:color="auto" w:fill="FFFFFF"/>
        </w:rPr>
        <w:t>万元，较上年决算数增加27.85万元，增长19.57%，主要原因是在职人员正常晋升及补发以前年度绩效工资。其中：基本支出</w:t>
      </w:r>
      <w:r>
        <w:rPr>
          <w:rFonts w:ascii="方正仿宋_GBK" w:hAnsi="方正仿宋_GBK" w:eastAsia="方正仿宋_GBK" w:cs="方正仿宋_GBK"/>
          <w:sz w:val="32"/>
          <w:szCs w:val="32"/>
        </w:rPr>
        <w:t>170.17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Fonts w:hint="default" w:ascii="仿宋" w:hAnsi="仿宋" w:eastAsia="仿宋"/>
          <w:sz w:val="32"/>
          <w:szCs w:val="32"/>
          <w:shd w:val="clear" w:color="auto" w:fill="FFFFFF"/>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仿宋" w:hAnsi="仿宋" w:eastAsia="仿宋" w:cs="方正仿宋_GBK"/>
          <w:color w:val="000000"/>
          <w:sz w:val="32"/>
          <w:szCs w:val="32"/>
          <w:shd w:val="clear" w:color="auto" w:fill="FFFFFF"/>
        </w:rPr>
        <w:t>本年无结转结余。</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2023年度财政拨款收、支总计161.50万元。与2022年相比，财政拨款收、支总计各增加20.96万元，增长14.91%。主要原因是在职人员正常晋升及补发以前年度绩效工资。</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157.79</w:t>
      </w:r>
      <w:r>
        <w:rPr>
          <w:rFonts w:ascii="方正仿宋_GBK" w:hAnsi="方正仿宋_GBK" w:eastAsia="方正仿宋_GBK" w:cs="方正仿宋_GBK"/>
          <w:sz w:val="32"/>
          <w:szCs w:val="32"/>
          <w:shd w:val="clear" w:color="auto" w:fill="FFFFFF"/>
        </w:rPr>
        <w:t>万元，较上年决算数增加17.27万元，增长12.29%。较年初预算数增加20.97万元，增长15.33%。主要原因是在职人员正常晋升及补发以前年度绩效工资。此外，年初财政拨款结转和结余</w:t>
      </w:r>
      <w:r>
        <w:rPr>
          <w:rFonts w:ascii="方正仿宋_GBK" w:hAnsi="方正仿宋_GBK" w:eastAsia="方正仿宋_GBK" w:cs="方正仿宋_GBK"/>
          <w:sz w:val="32"/>
          <w:szCs w:val="32"/>
        </w:rPr>
        <w:t>3.71</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161.50</w:t>
      </w:r>
      <w:r>
        <w:rPr>
          <w:rFonts w:ascii="方正仿宋_GBK" w:hAnsi="方正仿宋_GBK" w:eastAsia="方正仿宋_GBK" w:cs="方正仿宋_GBK"/>
          <w:sz w:val="32"/>
          <w:szCs w:val="32"/>
          <w:shd w:val="clear" w:color="auto" w:fill="FFFFFF"/>
        </w:rPr>
        <w:t>万元，较上年决算数增加20.96万元，增长14.91%。较年初预算数增加24.68万元，增长18.04%。主要原因是在职人员正常晋升及补发以前年度绩效工资。</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仿宋" w:hAnsi="仿宋" w:eastAsia="仿宋" w:cs="方正仿宋_GBK"/>
          <w:sz w:val="32"/>
          <w:szCs w:val="32"/>
          <w:shd w:val="clear" w:color="auto" w:fill="FFFFFF"/>
        </w:rPr>
        <w:t>主要原因是本年无结转结余。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%，较年初预算数减少0.43万元，下降100.00%，主要原因是</w:t>
      </w:r>
      <w:r>
        <w:rPr>
          <w:rFonts w:ascii="方正仿宋_GBK" w:hAnsi="方正仿宋_GBK" w:eastAsia="方正仿宋_GBK" w:cs="方正仿宋_GBK"/>
          <w:color w:val="000000"/>
          <w:sz w:val="32"/>
          <w:szCs w:val="32"/>
          <w:shd w:val="clear" w:color="auto" w:fill="FFFFFF"/>
        </w:rPr>
        <w:t>本年未安排职工培训支出。</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7.65</w:t>
      </w:r>
      <w:r>
        <w:rPr>
          <w:rFonts w:ascii="方正仿宋_GBK" w:hAnsi="方正仿宋_GBK" w:eastAsia="方正仿宋_GBK" w:cs="方正仿宋_GBK"/>
          <w:sz w:val="32"/>
          <w:szCs w:val="32"/>
          <w:shd w:val="clear" w:color="auto" w:fill="FFFFFF"/>
        </w:rPr>
        <w:t>%，较年初预算数减少0.72万元，下降5.51%，主要原因是人员缴费基数调减。</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（3）卫生健康支出5.15万元，占3.19%，较年初预算数减少0.30万元，下降5.50%，主要原因是人员缴费基数调减。</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（4）自然资源海洋气象等支出135.96万元，占84.19%，较年初预算数增加24.63万元，增长22.12%，主要原因是工资正常晋升及补发以前年度绩效工资。</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（5）住房保障支出8.04万元，占4.98%，较年初预算数增加1.50万元，增长22.94%，主要原因是工资正常晋升缴费基数调高。</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仿宋" w:hAnsi="仿宋" w:eastAsia="仿宋"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161.50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141.16</w:t>
      </w:r>
      <w:r>
        <w:rPr>
          <w:rFonts w:ascii="方正仿宋_GBK" w:hAnsi="方正仿宋_GBK" w:eastAsia="方正仿宋_GBK" w:cs="方正仿宋_GBK"/>
          <w:sz w:val="32"/>
          <w:szCs w:val="32"/>
          <w:shd w:val="clear" w:color="auto" w:fill="FFFFFF"/>
        </w:rPr>
        <w:t>万元，较上年决算数增加19.12万元，增长15.67%，主要原因是在职人员正常晋升及补发以前年度绩效工资。人员经费用途主要包括</w:t>
      </w:r>
      <w:r>
        <w:rPr>
          <w:rFonts w:ascii="仿宋" w:hAnsi="仿宋" w:eastAsia="仿宋" w:cs="方正仿宋_GBK"/>
          <w:sz w:val="32"/>
          <w:szCs w:val="32"/>
        </w:rPr>
        <w:t>基本工资、津贴补贴、绩效工资、机关事业单位基本养老保险缴费、职业年金缴费、职工基本医疗保险缴费、其他社会保障费、住房公积金、医疗费、其他工资福利支出。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20.34</w:t>
      </w:r>
      <w:r>
        <w:rPr>
          <w:rFonts w:ascii="方正仿宋_GBK" w:hAnsi="方正仿宋_GBK" w:eastAsia="方正仿宋_GBK" w:cs="方正仿宋_GBK"/>
          <w:sz w:val="32"/>
          <w:szCs w:val="32"/>
          <w:shd w:val="clear" w:color="auto" w:fill="FFFFFF"/>
        </w:rPr>
        <w:t>万元，较上年决算数增加1.83万元，增长9.89%，主要原因是</w:t>
      </w:r>
      <w:r>
        <w:rPr>
          <w:rFonts w:ascii="仿宋" w:hAnsi="仿宋" w:eastAsia="仿宋" w:cs="方正仿宋_GBK"/>
          <w:sz w:val="32"/>
          <w:szCs w:val="32"/>
          <w:shd w:val="clear" w:color="auto" w:fill="FFFFFF"/>
        </w:rPr>
        <w:t>本年度增加耕地监测图斑调查举证等相关公用经费。</w:t>
      </w:r>
      <w:r>
        <w:rPr>
          <w:rFonts w:ascii="方正仿宋_GBK" w:hAnsi="方正仿宋_GBK" w:eastAsia="方正仿宋_GBK" w:cs="方正仿宋_GBK"/>
          <w:sz w:val="32"/>
          <w:szCs w:val="32"/>
          <w:shd w:val="clear" w:color="auto" w:fill="FFFFFF"/>
        </w:rPr>
        <w:t>公用经费用途主要包括</w:t>
      </w:r>
      <w:r>
        <w:rPr>
          <w:rFonts w:ascii="仿宋" w:hAnsi="仿宋" w:eastAsia="仿宋" w:cs="方正仿宋_GBK"/>
          <w:sz w:val="32"/>
          <w:szCs w:val="32"/>
        </w:rPr>
        <w:t>办公费、电费、邮电费、印刷费、差旅费、公务用车运行维护费、劳务费、其他商品和服务支出。</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ind w:firstLine="640" w:firstLineChars="200"/>
        <w:rPr>
          <w:rFonts w:hint="default" w:ascii="仿宋" w:hAnsi="仿宋" w:eastAsia="仿宋" w:cs="方正仿宋_GBK"/>
          <w:sz w:val="32"/>
          <w:szCs w:val="32"/>
        </w:rPr>
      </w:pPr>
      <w:r>
        <w:rPr>
          <w:rFonts w:ascii="仿宋" w:hAnsi="仿宋" w:eastAsia="仿宋" w:cs="方正仿宋_GBK"/>
          <w:sz w:val="32"/>
          <w:szCs w:val="32"/>
        </w:rPr>
        <w:t>本单位2023年度无国有资本经营预算财政拨款支出。</w:t>
      </w:r>
    </w:p>
    <w:p>
      <w:pPr>
        <w:pStyle w:val="5"/>
        <w:shd w:val="clear" w:color="auto" w:fill="FFFFFF"/>
        <w:ind w:firstLine="630" w:firstLineChars="196"/>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仿宋" w:hAnsi="仿宋" w:eastAsia="仿宋"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万元，较年初预算数减少1.89万元，下降47.25%，主要原因是</w:t>
      </w:r>
      <w:r>
        <w:rPr>
          <w:rFonts w:ascii="仿宋" w:hAnsi="仿宋" w:eastAsia="仿宋" w:cs="方正仿宋_GBK"/>
          <w:sz w:val="32"/>
          <w:szCs w:val="32"/>
          <w:shd w:val="clear" w:color="auto" w:fill="FFFFFF"/>
        </w:rPr>
        <w:t>认真贯彻落实中央八项规定精神和厉行节约要求，按照只减不增的要求从严控制三公经费。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较上年支出数增加0.87万元，增长70.16%，主要原因</w:t>
      </w:r>
      <w:r>
        <w:rPr>
          <w:rFonts w:ascii="仿宋" w:hAnsi="仿宋" w:eastAsia="仿宋" w:cs="方正仿宋_GBK"/>
          <w:sz w:val="32"/>
          <w:szCs w:val="32"/>
          <w:shd w:val="clear" w:color="auto" w:fill="FFFFFF"/>
        </w:rPr>
        <w:t>是本年度增加公务用车运行维护费。</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autoSpaceDE w:val="0"/>
        <w:spacing w:line="600" w:lineRule="exact"/>
        <w:ind w:firstLine="640" w:firstLineChars="200"/>
        <w:rPr>
          <w:rFonts w:hint="default" w:ascii="仿宋" w:hAnsi="仿宋" w:eastAsia="仿宋"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万元，主要用于</w:t>
      </w:r>
      <w:r>
        <w:rPr>
          <w:rStyle w:val="7"/>
          <w:rFonts w:hint="default" w:ascii="方正仿宋_GBK" w:hAnsi="方正仿宋_GBK" w:eastAsia="方正仿宋_GBK" w:cs="方正仿宋_GBK"/>
          <w:b w:val="0"/>
          <w:bCs/>
          <w:sz w:val="32"/>
          <w:szCs w:val="32"/>
        </w:rPr>
        <w:t>下乡排查住房安全和巡查地质灾害隐患点</w:t>
      </w:r>
      <w:r>
        <w:rPr>
          <w:rStyle w:val="7"/>
          <w:rFonts w:ascii="方正仿宋_GBK" w:hAnsi="方正仿宋_GBK" w:eastAsia="方正仿宋_GBK" w:cs="方正仿宋_GBK"/>
          <w:b w:val="0"/>
          <w:bCs/>
          <w:sz w:val="32"/>
          <w:szCs w:val="32"/>
        </w:rPr>
        <w:t>等</w:t>
      </w:r>
      <w:r>
        <w:rPr>
          <w:rStyle w:val="7"/>
          <w:rFonts w:hint="default" w:ascii="方正仿宋_GBK" w:hAnsi="方正仿宋_GBK" w:eastAsia="方正仿宋_GBK" w:cs="方正仿宋_GBK"/>
          <w:b w:val="0"/>
          <w:bCs/>
          <w:sz w:val="32"/>
          <w:szCs w:val="32"/>
        </w:rPr>
        <w:t>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费用支出较年初预算数减少1.89万元，下降47.25%，</w:t>
      </w:r>
      <w:r>
        <w:rPr>
          <w:rFonts w:ascii="方正仿宋_GBK" w:eastAsia="方正仿宋_GBK"/>
          <w:sz w:val="32"/>
          <w:szCs w:val="32"/>
        </w:rPr>
        <w:t>主要原因是严格落实公车使用规定，厉行节约，严禁公车私用，公车运行维护成本大幅下降。</w:t>
      </w:r>
      <w:r>
        <w:rPr>
          <w:rFonts w:ascii="方正仿宋_GBK" w:hAnsi="方正仿宋_GBK" w:eastAsia="方正仿宋_GBK" w:cs="方正仿宋_GBK"/>
          <w:sz w:val="32"/>
          <w:szCs w:val="32"/>
          <w:shd w:val="clear" w:color="auto" w:fill="FFFFFF"/>
        </w:rPr>
        <w:t>较上年支出数增加0.87万元，增长70.16%，主要原因是</w:t>
      </w:r>
      <w:r>
        <w:rPr>
          <w:rFonts w:ascii="方正仿宋_GBK" w:eastAsia="方正仿宋_GBK"/>
          <w:sz w:val="32"/>
          <w:szCs w:val="32"/>
        </w:rPr>
        <w:t>本年度增加耕地监测图斑调查举证、地灾巡查等，导致公车出行次数增加，公车耗油量增加；同时公车使用年限较长、车辆老</w:t>
      </w:r>
      <w:r>
        <w:rPr>
          <w:rFonts w:ascii="仿宋" w:hAnsi="仿宋" w:eastAsia="仿宋" w:cs="方正仿宋_GBK"/>
          <w:sz w:val="32"/>
          <w:szCs w:val="32"/>
          <w:shd w:val="clear" w:color="auto" w:fill="FFFFFF"/>
        </w:rPr>
        <w:t>化致公车运行维修费用增加。</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费用支出较年初预算数无增减，与</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持平。较上年支出数无增减，与上年持平。主要原因是</w:t>
      </w:r>
      <w:r>
        <w:rPr>
          <w:rFonts w:ascii="方正仿宋_GBK" w:eastAsia="方正仿宋_GBK"/>
          <w:sz w:val="32"/>
          <w:szCs w:val="32"/>
        </w:rPr>
        <w:t>本单位2023年度未发生公务接待费。</w:t>
      </w:r>
    </w:p>
    <w:p>
      <w:pPr>
        <w:pStyle w:val="5"/>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2.11</w:t>
      </w:r>
      <w:r>
        <w:rPr>
          <w:rFonts w:ascii="方正仿宋_GBK" w:hAnsi="方正仿宋_GBK" w:eastAsia="方正仿宋_GBK" w:cs="方正仿宋_GBK"/>
          <w:sz w:val="32"/>
          <w:szCs w:val="32"/>
          <w:shd w:val="clear" w:color="auto" w:fill="FFFFFF"/>
        </w:rPr>
        <w:t>万元。</w:t>
      </w:r>
    </w:p>
    <w:p>
      <w:pPr>
        <w:pStyle w:val="5"/>
        <w:shd w:val="clear" w:color="auto" w:fill="FFFFFF"/>
        <w:ind w:firstLine="630" w:firstLineChars="196"/>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eastAsia="方正仿宋_GBK"/>
          <w:sz w:val="32"/>
          <w:szCs w:val="32"/>
        </w:rPr>
        <w:t>本单位本年和上年度未发生会议费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万元，与上年持平，</w:t>
      </w:r>
      <w:r>
        <w:rPr>
          <w:rFonts w:ascii="方正仿宋_GBK" w:hAnsi="方正仿宋_GBK" w:eastAsia="方正仿宋_GBK" w:cs="方正仿宋_GBK"/>
          <w:sz w:val="32"/>
          <w:szCs w:val="32"/>
        </w:rPr>
        <w:t>主要用于在职人员继续教育培训。</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（二）机关运行经费情况说明</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五、预算绩效管理情况说明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0"/>
        <w:autoSpaceDE w:val="0"/>
        <w:ind w:firstLine="627" w:firstLineChars="196"/>
        <w:rPr>
          <w:rFonts w:ascii="方正仿宋_GBK" w:hAnsi="方正仿宋_GBK" w:eastAsia="方正仿宋_GBK" w:cs="方正仿宋_GBK"/>
          <w:sz w:val="32"/>
          <w:szCs w:val="32"/>
          <w:shd w:val="clear" w:color="auto" w:fill="FFFFFF"/>
        </w:rPr>
      </w:pPr>
      <w:r>
        <w:rPr>
          <w:rFonts w:ascii="仿宋" w:hAnsi="仿宋" w:eastAsia="仿宋" w:cs="方正仿宋_GBK"/>
          <w:sz w:val="32"/>
          <w:szCs w:val="32"/>
        </w:rPr>
        <w:t>根据预算绩效管理要求，我单位</w:t>
      </w:r>
      <w:r>
        <w:rPr>
          <w:rFonts w:ascii="方正仿宋_GBK" w:hAnsi="方正仿宋_GBK" w:eastAsia="方正仿宋_GBK" w:cs="方正仿宋_GBK"/>
          <w:sz w:val="32"/>
          <w:szCs w:val="32"/>
          <w:shd w:val="clear" w:color="auto" w:fill="FFFFFF"/>
        </w:rPr>
        <w:t>未开展绩效自评。</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0"/>
        <w:autoSpaceDE w:val="0"/>
        <w:ind w:firstLine="640"/>
        <w:rPr>
          <w:rFonts w:ascii="方正仿宋_GBK" w:hAnsi="方正仿宋_GBK" w:eastAsia="方正仿宋_GBK" w:cs="方正仿宋_GBK"/>
          <w:color w:val="000000"/>
          <w:sz w:val="32"/>
          <w:szCs w:val="32"/>
          <w:shd w:val="clear" w:color="auto" w:fill="FFFFFF"/>
        </w:rPr>
      </w:pPr>
      <w:r>
        <w:rPr>
          <w:rFonts w:hint="eastAsia" w:ascii="楷体" w:hAnsi="楷体" w:eastAsia="楷体" w:cs="楷体"/>
          <w:bCs/>
          <w:color w:val="000000"/>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ind w:firstLine="640"/>
        <w:rPr>
          <w:ins w:id="2" w:author="冯阅" w:date="2024-09-12T16:38:00Z"/>
          <w:rFonts w:hint="eastAsia"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县财政局未委托第三方对我单位开展绩效评价。</w:t>
      </w:r>
    </w:p>
    <w:p>
      <w:pPr>
        <w:pStyle w:val="10"/>
        <w:autoSpaceDE w:val="0"/>
        <w:ind w:firstLine="64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bookmarkStart w:id="0" w:name="_GoBack"/>
      <w:bookmarkEnd w:id="0"/>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ins w:id="3" w:author="冯阅" w:date="2024-09-12T16:39:00Z"/>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5"/>
        <w:snapToGrid w:val="0"/>
        <w:spacing w:before="0" w:beforeAutospacing="0" w:after="0" w:afterAutospacing="0" w:line="600" w:lineRule="exact"/>
        <w:ind w:firstLine="640" w:firstLineChars="200"/>
        <w:jc w:val="both"/>
        <w:rPr>
          <w:ins w:id="4" w:author="冯阅" w:date="2024-09-12T16:39:00Z"/>
          <w:rFonts w:ascii="方正仿宋_GBK" w:hAnsi="方正仿宋_GBK" w:eastAsia="方正仿宋_GBK" w:cs="方正仿宋_GBK"/>
          <w:sz w:val="32"/>
          <w:szCs w:val="32"/>
          <w:shd w:val="clear" w:color="auto" w:fill="FFFFFF"/>
        </w:rPr>
      </w:pPr>
      <w:ins w:id="5" w:author="冯阅" w:date="2024-09-12T16:40:00Z">
        <w:r>
          <w:rPr>
            <w:rFonts w:hint="default" w:ascii="Times New Roman" w:hAnsi="Times New Roman" w:eastAsia="方正仿宋_GBK" w:cs="Times New Roman"/>
            <w:sz w:val="32"/>
            <w:szCs w:val="32"/>
            <w:shd w:val="clear" w:color="auto" w:fill="FFFFFF"/>
            <w:lang w:eastAsia="zh-CN"/>
          </w:rPr>
          <w:t>联系人：邹老师</w:t>
        </w:r>
      </w:ins>
      <w:ins w:id="6" w:author="冯阅" w:date="2024-09-12T16:40:00Z">
        <w:r>
          <w:rPr>
            <w:rFonts w:hint="default" w:ascii="Times New Roman" w:hAnsi="Times New Roman" w:eastAsia="方正仿宋_GBK" w:cs="Times New Roman"/>
            <w:sz w:val="32"/>
            <w:szCs w:val="32"/>
            <w:shd w:val="clear" w:color="auto" w:fill="FFFFFF"/>
            <w:lang w:val="en-US" w:eastAsia="zh-CN"/>
          </w:rPr>
          <w:t xml:space="preserve">            联系电话：</w:t>
        </w:r>
      </w:ins>
      <w:ins w:id="7" w:author="冯阅" w:date="2024-09-12T16:40:00Z">
        <w:r>
          <w:rPr>
            <w:rFonts w:hint="default" w:ascii="Times New Roman" w:hAnsi="Times New Roman" w:eastAsia="方正仿宋_GBK" w:cs="Times New Roman"/>
            <w:color w:val="000000"/>
            <w:sz w:val="32"/>
            <w:szCs w:val="32"/>
            <w:shd w:val="clear" w:color="auto" w:fill="FFFFFF"/>
          </w:rPr>
          <w:t>023</w:t>
        </w:r>
      </w:ins>
      <w:ins w:id="8" w:author="冯阅" w:date="2024-09-12T16:40:00Z">
        <w:r>
          <w:rPr>
            <w:rFonts w:hint="default" w:ascii="Times New Roman" w:hAnsi="Times New Roman" w:eastAsia="方正仿宋_GBK" w:cs="Times New Roman"/>
            <w:color w:val="000000"/>
            <w:sz w:val="32"/>
            <w:szCs w:val="32"/>
            <w:shd w:val="clear" w:color="auto" w:fill="FFFFFF"/>
            <w:lang w:val="en-US" w:eastAsia="zh-CN"/>
          </w:rPr>
          <w:t>-</w:t>
        </w:r>
      </w:ins>
      <w:ins w:id="9" w:author="冯阅" w:date="2024-09-12T16:40:00Z">
        <w:r>
          <w:rPr>
            <w:rFonts w:hint="default" w:ascii="Times New Roman" w:hAnsi="Times New Roman" w:eastAsia="方正仿宋_GBK" w:cs="Times New Roman"/>
            <w:color w:val="000000"/>
            <w:sz w:val="32"/>
            <w:szCs w:val="32"/>
            <w:shd w:val="clear" w:color="auto" w:fill="FFFFFF"/>
          </w:rPr>
          <w:t>74684688</w:t>
        </w:r>
      </w:ins>
    </w:p>
    <w:p>
      <w:pPr>
        <w:pStyle w:val="10"/>
        <w:autoSpaceDE w:val="0"/>
        <w:ind w:firstLine="0" w:firstLineChars="0"/>
        <w:rPr>
          <w:rStyle w:val="7"/>
          <w:rFonts w:ascii="方正仿宋_GBK" w:hAnsi="方正仿宋_GBK" w:eastAsia="方正仿宋_GBK" w:cs="方正仿宋_GBK"/>
          <w:sz w:val="32"/>
          <w:szCs w:val="32"/>
          <w:highlight w:val="yellow"/>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公开单位：垫江县规划和自然资源局高安规划自然资源所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157.79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165.16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3.71</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170.17</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170.17</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公开单位：垫江县规划和自然资源局高安规划自然资源所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165.16</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157.79</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139.63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132.26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139.63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132.26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139.63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132.26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170.17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170.17</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12.35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157.79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12.35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12.35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5.15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5.15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135.96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135.96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8.04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8.04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157.79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161.50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161.50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3.71</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3.71</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161.50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161.50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161.50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161.50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161.50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12.35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12.35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12.35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12.35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8.23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8.23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4.12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4.12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5.15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5.15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5.15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5.15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135.96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135.96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135.96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135.96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135.96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135.96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141.16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20.34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29.56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78.34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8.23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4.12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5.15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9.46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2.11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141.16</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20.34</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垫江县规划和自然资源局高安规划自然资源所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2.11</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rPr>
                    <w:rFonts w:hint="default"/>
                  </w:rPr>
                  <w:fldChar w:fldCharType="begin"/>
                </w:r>
                <w:r>
                  <w:instrText xml:space="preserve"> PAGE  \* MERGEFORMAT </w:instrText>
                </w:r>
                <w:r>
                  <w:rPr>
                    <w:rFonts w:hint="default"/>
                  </w:rPr>
                  <w:fldChar w:fldCharType="separate"/>
                </w:r>
                <w: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rPr>
                    <w:rFonts w:hint="default"/>
                  </w:rPr>
                  <w:fldChar w:fldCharType="begin"/>
                </w:r>
                <w:r>
                  <w:instrText xml:space="preserve">PAGE   \* MERGEFORMAT</w:instrText>
                </w:r>
                <w:r>
                  <w:rPr>
                    <w:rFonts w:hint="default"/>
                  </w:rPr>
                  <w:fldChar w:fldCharType="separate"/>
                </w:r>
                <w:r>
                  <w:t>- 12 -</w:t>
                </w:r>
                <w:r>
                  <w:rPr>
                    <w:rFonts w:hint="default"/>
                  </w:rP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84377525">
    <w:nsid w:val="CFAF61B5"/>
    <w:multiLevelType w:val="singleLevel"/>
    <w:tmpl w:val="CFAF61B5"/>
    <w:lvl w:ilvl="0" w:tentative="1">
      <w:start w:val="1"/>
      <w:numFmt w:val="chineseCounting"/>
      <w:suff w:val="nothing"/>
      <w:lvlText w:val="%1、"/>
      <w:lvlJc w:val="left"/>
      <w:rPr>
        <w:rFonts w:hint="eastAsia"/>
      </w:rPr>
    </w:lvl>
  </w:abstractNum>
  <w:num w:numId="1">
    <w:abstractNumId w:val="34843775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041521"/>
    <w:rsid w:val="000B2ECB"/>
    <w:rsid w:val="000C344F"/>
    <w:rsid w:val="00125672"/>
    <w:rsid w:val="00144576"/>
    <w:rsid w:val="001551E7"/>
    <w:rsid w:val="00222D27"/>
    <w:rsid w:val="00241FA7"/>
    <w:rsid w:val="0024503F"/>
    <w:rsid w:val="002B4AB7"/>
    <w:rsid w:val="003133CF"/>
    <w:rsid w:val="00333689"/>
    <w:rsid w:val="003F6F6D"/>
    <w:rsid w:val="004A3FCF"/>
    <w:rsid w:val="004E5691"/>
    <w:rsid w:val="00550ABE"/>
    <w:rsid w:val="005F7022"/>
    <w:rsid w:val="006A58DE"/>
    <w:rsid w:val="00751F4E"/>
    <w:rsid w:val="00754856"/>
    <w:rsid w:val="00772469"/>
    <w:rsid w:val="0078452A"/>
    <w:rsid w:val="00784BD4"/>
    <w:rsid w:val="007B419D"/>
    <w:rsid w:val="008160F6"/>
    <w:rsid w:val="008445C6"/>
    <w:rsid w:val="0085037D"/>
    <w:rsid w:val="0085720A"/>
    <w:rsid w:val="008A4FD5"/>
    <w:rsid w:val="008A519B"/>
    <w:rsid w:val="009347A1"/>
    <w:rsid w:val="00946B86"/>
    <w:rsid w:val="00956DED"/>
    <w:rsid w:val="009B67B8"/>
    <w:rsid w:val="009E61C2"/>
    <w:rsid w:val="00AC7056"/>
    <w:rsid w:val="00B03CCD"/>
    <w:rsid w:val="00B108E4"/>
    <w:rsid w:val="00B305B9"/>
    <w:rsid w:val="00B340CB"/>
    <w:rsid w:val="00B6597B"/>
    <w:rsid w:val="00B720EB"/>
    <w:rsid w:val="00BD6785"/>
    <w:rsid w:val="00BF18F9"/>
    <w:rsid w:val="00C818FF"/>
    <w:rsid w:val="00C91F58"/>
    <w:rsid w:val="00CC2A98"/>
    <w:rsid w:val="00CE3C02"/>
    <w:rsid w:val="00D61238"/>
    <w:rsid w:val="00DF5E11"/>
    <w:rsid w:val="00E313B1"/>
    <w:rsid w:val="00F41B60"/>
    <w:rsid w:val="00F73F90"/>
    <w:rsid w:val="00F74EEA"/>
    <w:rsid w:val="00F8009F"/>
    <w:rsid w:val="00FF60D2"/>
    <w:rsid w:val="00FF7E6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E31638"/>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E294717"/>
    <w:rsid w:val="2FCA4B37"/>
    <w:rsid w:val="2FE029D7"/>
    <w:rsid w:val="2FF06E00"/>
    <w:rsid w:val="30586FEC"/>
    <w:rsid w:val="315F0B22"/>
    <w:rsid w:val="319502CA"/>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2D4461"/>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004F0F"/>
    <w:rsid w:val="4DAC4ACA"/>
    <w:rsid w:val="4DBE01D2"/>
    <w:rsid w:val="4DD46560"/>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B82D77"/>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8499</Words>
  <Characters>10054</Characters>
  <Lines>87</Lines>
  <Paragraphs>24</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2024-09-23T02:42:23Z</dcterms:modified>
  <dc:title>垫江县规划和自然资源局高安规划自然资源所2023年度决算公开说明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