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Autospacing="0" w:afterAutospacing="0" w:line="6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垫江县土地整治中心</w:t>
      </w:r>
    </w:p>
    <w:p>
      <w:pPr>
        <w:pStyle w:val="5"/>
        <w:spacing w:beforeAutospacing="0" w:afterAutospacing="0" w:line="66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2023年度决算情况说明</w:t>
      </w:r>
    </w:p>
    <w:p>
      <w:pPr>
        <w:pStyle w:val="5"/>
        <w:spacing w:beforeAutospacing="0" w:afterAutospacing="0" w:line="660" w:lineRule="exact"/>
        <w:jc w:val="center"/>
        <w:rPr>
          <w:rFonts w:hint="default" w:ascii="方正小标宋_GBK" w:hAnsi="方正小标宋_GBK" w:eastAsia="方正小标宋_GBK" w:cs="方正小标宋_GBK"/>
          <w:sz w:val="44"/>
          <w:szCs w:val="44"/>
        </w:rPr>
      </w:pPr>
    </w:p>
    <w:p>
      <w:pPr>
        <w:pStyle w:val="5"/>
        <w:snapToGrid w:val="0"/>
        <w:spacing w:beforeAutospacing="0" w:afterAutospacing="0" w:line="560" w:lineRule="exact"/>
        <w:ind w:firstLine="640" w:firstLineChars="200"/>
        <w:rPr>
          <w:rFonts w:hint="default" w:ascii="方正黑体_GBK" w:hAnsi="方正黑体_GBK" w:eastAsia="方正黑体_GBK" w:cs="方正黑体_GBK"/>
          <w:sz w:val="32"/>
          <w:szCs w:val="32"/>
        </w:rPr>
      </w:pPr>
      <w:r>
        <w:rPr>
          <w:rStyle w:val="14"/>
          <w:rFonts w:hint="eastAsia" w:ascii="方正黑体_GBK" w:hAnsi="方正黑体_GBK" w:eastAsia="方正黑体_GBK" w:cs="方正黑体_GBK"/>
          <w:b w:val="0"/>
          <w:bCs/>
          <w:sz w:val="32"/>
          <w:szCs w:val="32"/>
          <w:shd w:val="clear" w:color="auto" w:fill="FFFFFF"/>
        </w:rPr>
        <w:t>一、单位基本情况</w:t>
      </w:r>
    </w:p>
    <w:p>
      <w:pPr>
        <w:pStyle w:val="5"/>
        <w:snapToGrid w:val="0"/>
        <w:spacing w:beforeAutospacing="0" w:afterAutospacing="0" w:line="560" w:lineRule="exact"/>
        <w:ind w:firstLine="643" w:firstLineChars="200"/>
        <w:rPr>
          <w:rFonts w:hint="default" w:ascii="方正楷体_GBK" w:hAnsi="方正楷体_GBK" w:eastAsia="方正楷体_GBK" w:cs="方正楷体_GBK"/>
          <w:b/>
          <w:sz w:val="32"/>
          <w:szCs w:val="32"/>
        </w:rPr>
      </w:pPr>
      <w:r>
        <w:rPr>
          <w:rStyle w:val="14"/>
          <w:rFonts w:hint="eastAsia" w:ascii="方正楷体_GBK" w:hAnsi="方正楷体_GBK" w:eastAsia="方正楷体_GBK" w:cs="方正楷体_GBK"/>
          <w:b/>
          <w:bCs w:val="0"/>
          <w:sz w:val="32"/>
          <w:szCs w:val="32"/>
          <w:shd w:val="clear" w:color="auto" w:fill="FFFFFF"/>
        </w:rPr>
        <w:t>（一）职能职责</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负责全县的土地开发、土地复垦、土地成片整理，协助编制征用土地的占补平衡方案；负责全县建设用地总量占补平衡工作的实施和闲置土地的收购、整理；各类业务报表、数据的收集、统计和上报。</w:t>
      </w:r>
    </w:p>
    <w:p>
      <w:pPr>
        <w:pStyle w:val="5"/>
        <w:snapToGrid w:val="0"/>
        <w:spacing w:beforeAutospacing="0" w:afterAutospacing="0" w:line="560" w:lineRule="exact"/>
        <w:ind w:firstLine="643" w:firstLineChars="200"/>
        <w:rPr>
          <w:rFonts w:hint="default" w:ascii="方正仿宋_GBK" w:hAnsi="方正仿宋_GBK" w:eastAsia="方正仿宋_GBK" w:cs="方正仿宋_GBK"/>
          <w:b/>
          <w:sz w:val="32"/>
          <w:szCs w:val="32"/>
        </w:rPr>
      </w:pPr>
      <w:r>
        <w:rPr>
          <w:rStyle w:val="14"/>
          <w:rFonts w:hint="eastAsia" w:ascii="方正楷体_GBK" w:hAnsi="方正楷体_GBK" w:eastAsia="方正楷体_GBK" w:cs="方正楷体_GBK"/>
          <w:b/>
          <w:bCs w:val="0"/>
          <w:sz w:val="32"/>
          <w:szCs w:val="32"/>
          <w:shd w:val="clear" w:color="auto" w:fill="FFFFFF"/>
        </w:rPr>
        <w:t>（二）机构设置</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本单位属财政全额拨款的事业单位，为股所级单位，未设置独立的内设科室。</w:t>
      </w:r>
    </w:p>
    <w:p>
      <w:pPr>
        <w:pStyle w:val="5"/>
        <w:snapToGrid w:val="0"/>
        <w:spacing w:beforeAutospacing="0" w:afterAutospacing="0" w:line="560" w:lineRule="exact"/>
        <w:ind w:firstLine="640" w:firstLineChars="200"/>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二、单位决算情况说明</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（一）收入支出决算总体情况说明</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Style w:val="7"/>
          <w:rFonts w:ascii="方正仿宋_GBK" w:hAnsi="方正仿宋_GBK" w:eastAsia="方正仿宋_GBK" w:cs="方正仿宋_GBK"/>
          <w:b w:val="0"/>
          <w:sz w:val="32"/>
          <w:szCs w:val="32"/>
        </w:rPr>
        <w:t>1.总体情况。</w:t>
      </w:r>
      <w:r>
        <w:rPr>
          <w:rFonts w:ascii="方正仿宋_GBK" w:hAnsi="方正仿宋_GBK" w:eastAsia="方正仿宋_GBK" w:cs="方正仿宋_GBK"/>
          <w:sz w:val="32"/>
          <w:szCs w:val="32"/>
          <w:shd w:val="clear" w:color="auto" w:fill="FFFFFF"/>
        </w:rPr>
        <w:t>2023年度收入总计4954.01万元，支出总计</w:t>
      </w:r>
      <w:r>
        <w:rPr>
          <w:rFonts w:ascii="方正仿宋_GBK" w:hAnsi="方正仿宋_GBK" w:eastAsia="方正仿宋_GBK" w:cs="方正仿宋_GBK"/>
          <w:sz w:val="32"/>
          <w:szCs w:val="32"/>
        </w:rPr>
        <w:t>4954.01</w:t>
      </w:r>
      <w:r>
        <w:rPr>
          <w:rFonts w:ascii="方正仿宋_GBK" w:hAnsi="方正仿宋_GBK" w:eastAsia="方正仿宋_GBK" w:cs="方正仿宋_GBK"/>
          <w:sz w:val="32"/>
          <w:szCs w:val="32"/>
          <w:shd w:val="clear" w:color="auto" w:fill="FFFFFF"/>
        </w:rPr>
        <w:t>万元。收支较上年决算数减少307.49万元，下降5.84%，主要原因是</w:t>
      </w:r>
      <w:r>
        <w:rPr>
          <w:rFonts w:ascii="方正仿宋_GBK" w:hAnsi="方正仿宋_GBK" w:eastAsia="方正仿宋_GBK" w:cs="方正仿宋_GBK"/>
          <w:kern w:val="2"/>
          <w:sz w:val="32"/>
          <w:szCs w:val="32"/>
        </w:rPr>
        <w:t>上年结转结余减少，实施的项目减少，项目支出减少。</w:t>
      </w:r>
    </w:p>
    <w:p>
      <w:pPr>
        <w:pStyle w:val="5"/>
        <w:snapToGrid w:val="0"/>
        <w:spacing w:beforeAutospacing="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b w:val="0"/>
          <w:sz w:val="32"/>
          <w:szCs w:val="32"/>
        </w:rPr>
        <w:t>2.收入情况。</w:t>
      </w:r>
      <w:r>
        <w:rPr>
          <w:rFonts w:ascii="方正仿宋_GBK" w:hAnsi="方正仿宋_GBK" w:eastAsia="方正仿宋_GBK" w:cs="方正仿宋_GBK"/>
          <w:sz w:val="32"/>
          <w:szCs w:val="32"/>
          <w:shd w:val="clear" w:color="auto" w:fill="FFFFFF"/>
        </w:rPr>
        <w:t>2023年度收入合计1325.49万元，较上年决算数增加726.96万元，增长121.46%，主要原因是</w:t>
      </w:r>
      <w:r>
        <w:rPr>
          <w:rFonts w:ascii="方正仿宋_GBK" w:hAnsi="方正仿宋_GBK" w:eastAsia="方正仿宋_GBK" w:cs="方正仿宋_GBK"/>
          <w:kern w:val="2"/>
          <w:sz w:val="32"/>
          <w:szCs w:val="32"/>
        </w:rPr>
        <w:t>市规资局划入市级土地整理项目专项收入增加。其中：</w:t>
      </w:r>
      <w:r>
        <w:rPr>
          <w:rFonts w:ascii="方正仿宋_GBK" w:hAnsi="方正仿宋_GBK" w:eastAsia="方正仿宋_GBK" w:cs="方正仿宋_GBK"/>
          <w:sz w:val="32"/>
          <w:szCs w:val="32"/>
          <w:shd w:val="clear" w:color="auto" w:fill="FFFFFF"/>
        </w:rPr>
        <w:t>财政拨款收入</w:t>
      </w:r>
      <w:r>
        <w:rPr>
          <w:rFonts w:ascii="方正仿宋_GBK" w:hAnsi="方正仿宋_GBK" w:eastAsia="方正仿宋_GBK" w:cs="方正仿宋_GBK"/>
          <w:sz w:val="32"/>
          <w:szCs w:val="32"/>
        </w:rPr>
        <w:t>2020.02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99.82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3.61</w:t>
      </w:r>
      <w:r>
        <w:rPr>
          <w:rFonts w:ascii="方正仿宋_GBK" w:hAnsi="方正仿宋_GBK" w:eastAsia="方正仿宋_GBK" w:cs="方正仿宋_GBK"/>
          <w:sz w:val="32"/>
          <w:szCs w:val="32"/>
          <w:shd w:val="clear" w:color="auto" w:fill="FFFFFF"/>
        </w:rPr>
        <w:t>万元，占0.18%。此外，使用非财政拨款结余和专用结余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83.19</w:t>
      </w:r>
      <w:r>
        <w:rPr>
          <w:rFonts w:ascii="方正仿宋_GBK" w:hAnsi="方正仿宋_GBK" w:eastAsia="方正仿宋_GBK" w:cs="方正仿宋_GBK"/>
          <w:sz w:val="32"/>
          <w:szCs w:val="32"/>
          <w:shd w:val="clear" w:color="auto" w:fill="FFFFFF"/>
        </w:rPr>
        <w:t>万元。</w:t>
      </w:r>
    </w:p>
    <w:p>
      <w:pPr>
        <w:pStyle w:val="5"/>
        <w:spacing w:beforeAutospacing="0" w:afterAutospacing="0"/>
        <w:ind w:firstLine="640"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b w:val="0"/>
          <w:sz w:val="32"/>
          <w:szCs w:val="32"/>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1370.18</w:t>
      </w:r>
      <w:r>
        <w:rPr>
          <w:rFonts w:ascii="方正仿宋_GBK" w:hAnsi="方正仿宋_GBK" w:eastAsia="方正仿宋_GBK" w:cs="方正仿宋_GBK"/>
          <w:sz w:val="32"/>
          <w:szCs w:val="32"/>
          <w:shd w:val="clear" w:color="auto" w:fill="FFFFFF"/>
        </w:rPr>
        <w:t>万元，较上年决算数增加479.83万元，增长53.89%，主要原因是</w:t>
      </w:r>
      <w:r>
        <w:rPr>
          <w:rFonts w:ascii="方正仿宋_GBK" w:hAnsi="方正仿宋_GBK" w:eastAsia="方正仿宋_GBK" w:cs="方正仿宋_GBK"/>
          <w:kern w:val="2"/>
          <w:sz w:val="32"/>
          <w:szCs w:val="32"/>
        </w:rPr>
        <w:t>实施的市级土地整理项目支出增加。其中：</w:t>
      </w:r>
      <w:r>
        <w:rPr>
          <w:rFonts w:ascii="方正仿宋_GBK" w:hAnsi="方正仿宋_GBK" w:eastAsia="方正仿宋_GBK" w:cs="方正仿宋_GBK"/>
          <w:sz w:val="32"/>
          <w:szCs w:val="32"/>
          <w:shd w:val="clear" w:color="auto" w:fill="FFFFFF"/>
        </w:rPr>
        <w:t>基本支出</w:t>
      </w:r>
      <w:r>
        <w:rPr>
          <w:rFonts w:ascii="方正仿宋_GBK" w:hAnsi="方正仿宋_GBK" w:eastAsia="方正仿宋_GBK" w:cs="方正仿宋_GBK"/>
          <w:sz w:val="32"/>
          <w:szCs w:val="32"/>
        </w:rPr>
        <w:t>285.73</w:t>
      </w:r>
      <w:r>
        <w:rPr>
          <w:rFonts w:ascii="方正仿宋_GBK" w:hAnsi="方正仿宋_GBK" w:eastAsia="方正仿宋_GBK" w:cs="方正仿宋_GBK"/>
          <w:sz w:val="32"/>
          <w:szCs w:val="32"/>
          <w:shd w:val="clear" w:color="auto" w:fill="FFFFFF"/>
        </w:rPr>
        <w:t>万元，占20.85%；项目支出</w:t>
      </w:r>
      <w:r>
        <w:rPr>
          <w:rFonts w:ascii="方正仿宋_GBK" w:hAnsi="方正仿宋_GBK" w:eastAsia="方正仿宋_GBK" w:cs="方正仿宋_GBK"/>
          <w:sz w:val="32"/>
          <w:szCs w:val="32"/>
        </w:rPr>
        <w:t>1084.45</w:t>
      </w:r>
      <w:r>
        <w:rPr>
          <w:rFonts w:ascii="方正仿宋_GBK" w:hAnsi="方正仿宋_GBK" w:eastAsia="方正仿宋_GBK" w:cs="方正仿宋_GBK"/>
          <w:sz w:val="32"/>
          <w:szCs w:val="32"/>
          <w:shd w:val="clear" w:color="auto" w:fill="FFFFFF"/>
        </w:rPr>
        <w:t>万元，占79.15%；经营支出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Style w:val="7"/>
          <w:rFonts w:ascii="方正仿宋_GBK" w:hAnsi="方正仿宋_GBK" w:eastAsia="方正仿宋_GBK" w:cs="方正仿宋_GBK"/>
          <w:b w:val="0"/>
          <w:sz w:val="32"/>
          <w:szCs w:val="32"/>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3583.83</w:t>
      </w:r>
      <w:r>
        <w:rPr>
          <w:rFonts w:ascii="方正仿宋_GBK" w:hAnsi="方正仿宋_GBK" w:eastAsia="方正仿宋_GBK" w:cs="方正仿宋_GBK"/>
          <w:sz w:val="32"/>
          <w:szCs w:val="32"/>
          <w:shd w:val="clear" w:color="auto" w:fill="FFFFFF"/>
        </w:rPr>
        <w:t>万元，较上年决算数减少787.32万元，下降18.01%，主要原因是</w:t>
      </w:r>
      <w:r>
        <w:rPr>
          <w:rFonts w:ascii="方正仿宋_GBK" w:hAnsi="方正仿宋_GBK" w:eastAsia="方正仿宋_GBK" w:cs="方正仿宋_GBK"/>
          <w:kern w:val="2"/>
          <w:sz w:val="32"/>
          <w:szCs w:val="32"/>
        </w:rPr>
        <w:t>支付以前年度实施的项目成本，动用上年结转结余。</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（二）财政拨款收入支出决算总体情况说明</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sz w:val="32"/>
          <w:szCs w:val="32"/>
          <w:shd w:val="clear" w:color="auto" w:fill="FFFFFF"/>
        </w:rPr>
        <w:t>2023年度财政拨款收、支总计241.43万元。与2022年相比，财政拨款收、支总计各减少10.34万元，下降4.11%。主要原因是</w:t>
      </w:r>
      <w:r>
        <w:rPr>
          <w:rFonts w:ascii="方正仿宋_GBK" w:hAnsi="方正仿宋_GBK" w:eastAsia="方正仿宋_GBK" w:cs="方正仿宋_GBK"/>
          <w:kern w:val="2"/>
          <w:sz w:val="32"/>
          <w:szCs w:val="32"/>
        </w:rPr>
        <w:t>压减一般性支出，减少公用经费支出。</w:t>
      </w:r>
    </w:p>
    <w:p>
      <w:pPr>
        <w:pStyle w:val="5"/>
        <w:spacing w:beforeAutospacing="0" w:afterAutospacing="0"/>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（三）一般公共预算财政拨款收入支出决算情况说明</w:t>
      </w:r>
    </w:p>
    <w:p>
      <w:pPr>
        <w:pStyle w:val="5"/>
        <w:widowControl w:val="0"/>
        <w:snapToGrid w:val="0"/>
        <w:spacing w:beforeAutospacing="0" w:afterAutospacing="0" w:line="600" w:lineRule="exact"/>
        <w:ind w:firstLine="640"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b w:val="0"/>
          <w:sz w:val="32"/>
          <w:szCs w:val="32"/>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236.98</w:t>
      </w:r>
      <w:r>
        <w:rPr>
          <w:rFonts w:ascii="方正仿宋_GBK" w:hAnsi="方正仿宋_GBK" w:eastAsia="方正仿宋_GBK" w:cs="方正仿宋_GBK"/>
          <w:sz w:val="32"/>
          <w:szCs w:val="32"/>
          <w:shd w:val="clear" w:color="auto" w:fill="FFFFFF"/>
        </w:rPr>
        <w:t>万元，较上年决算数减少14.79万元，下降5.87%。主要原因是</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较年初预算数增加33.00万元，增长16.18%。主要原因是</w:t>
      </w:r>
      <w:r>
        <w:rPr>
          <w:rFonts w:ascii="方正仿宋_GBK" w:hAnsi="方正仿宋_GBK" w:eastAsia="方正仿宋_GBK" w:cs="方正仿宋_GBK"/>
          <w:kern w:val="2"/>
          <w:sz w:val="32"/>
          <w:szCs w:val="32"/>
        </w:rPr>
        <w:t>人员晋升增加人员经费。</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4.45</w:t>
      </w:r>
      <w:r>
        <w:rPr>
          <w:rFonts w:ascii="方正仿宋_GBK" w:hAnsi="方正仿宋_GBK" w:eastAsia="方正仿宋_GBK" w:cs="方正仿宋_GBK"/>
          <w:sz w:val="32"/>
          <w:szCs w:val="32"/>
          <w:shd w:val="clear" w:color="auto" w:fill="FFFFFF"/>
        </w:rPr>
        <w:t>万元。</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Style w:val="7"/>
          <w:rFonts w:ascii="方正仿宋_GBK" w:hAnsi="方正仿宋_GBK" w:eastAsia="方正仿宋_GBK" w:cs="方正仿宋_GBK"/>
          <w:b w:val="0"/>
          <w:sz w:val="32"/>
          <w:szCs w:val="32"/>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241.43</w:t>
      </w:r>
      <w:r>
        <w:rPr>
          <w:rFonts w:ascii="方正仿宋_GBK" w:hAnsi="方正仿宋_GBK" w:eastAsia="方正仿宋_GBK" w:cs="方正仿宋_GBK"/>
          <w:sz w:val="32"/>
          <w:szCs w:val="32"/>
          <w:shd w:val="clear" w:color="auto" w:fill="FFFFFF"/>
        </w:rPr>
        <w:t>万元，较上年决算数减少10.34万元，下降4.11%。主要原因是</w:t>
      </w:r>
      <w:r>
        <w:rPr>
          <w:rFonts w:ascii="方正仿宋_GBK" w:hAnsi="方正仿宋_GBK" w:eastAsia="方正仿宋_GBK" w:cs="方正仿宋_GBK"/>
          <w:kern w:val="2"/>
          <w:sz w:val="32"/>
          <w:szCs w:val="32"/>
        </w:rPr>
        <w:t>压减一般性支出，减少公用经费支出。</w:t>
      </w:r>
      <w:r>
        <w:rPr>
          <w:rFonts w:ascii="方正仿宋_GBK" w:hAnsi="方正仿宋_GBK" w:eastAsia="方正仿宋_GBK" w:cs="方正仿宋_GBK"/>
          <w:sz w:val="32"/>
          <w:szCs w:val="32"/>
          <w:shd w:val="clear" w:color="auto" w:fill="FFFFFF"/>
        </w:rPr>
        <w:t>较年初预算数增加37.45万元，增长18.36%。主要原因是</w:t>
      </w:r>
      <w:r>
        <w:rPr>
          <w:rFonts w:ascii="方正仿宋_GBK" w:hAnsi="方正仿宋_GBK" w:eastAsia="方正仿宋_GBK" w:cs="方正仿宋_GBK"/>
          <w:kern w:val="2"/>
          <w:sz w:val="32"/>
          <w:szCs w:val="32"/>
        </w:rPr>
        <w:t>人员晋升增加人员经费。</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Style w:val="7"/>
          <w:rFonts w:ascii="方正仿宋_GBK" w:hAnsi="方正仿宋_GBK" w:eastAsia="方正仿宋_GBK" w:cs="方正仿宋_GBK"/>
          <w:b w:val="0"/>
          <w:sz w:val="32"/>
          <w:szCs w:val="32"/>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方正仿宋_GBK" w:hAnsi="方正仿宋_GBK" w:eastAsia="方正仿宋_GBK" w:cs="方正仿宋_GBK"/>
          <w:sz w:val="32"/>
          <w:szCs w:val="32"/>
          <w:shd w:val="clear" w:color="auto" w:fill="FFFFFF"/>
        </w:rPr>
        <w:t>主要原因是本年度无结转结余</w:t>
      </w:r>
      <w:r>
        <w:rPr>
          <w:rFonts w:ascii="方正仿宋_GBK" w:hAnsi="方正仿宋_GBK" w:eastAsia="方正仿宋_GBK" w:cs="方正仿宋_GBK"/>
          <w:kern w:val="2"/>
          <w:sz w:val="32"/>
          <w:szCs w:val="32"/>
        </w:rPr>
        <w:t>。</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Style w:val="7"/>
          <w:rFonts w:ascii="方正仿宋_GBK" w:hAnsi="方正仿宋_GBK" w:eastAsia="方正仿宋_GBK" w:cs="方正仿宋_GBK"/>
          <w:b w:val="0"/>
          <w:sz w:val="32"/>
          <w:szCs w:val="32"/>
        </w:rPr>
        <w:t>4.比较情况。</w:t>
      </w:r>
      <w:r>
        <w:rPr>
          <w:rFonts w:ascii="方正仿宋_GBK" w:hAnsi="方正仿宋_GBK" w:eastAsia="方正仿宋_GBK" w:cs="方正仿宋_GBK"/>
          <w:kern w:val="2"/>
          <w:sz w:val="32"/>
          <w:szCs w:val="32"/>
        </w:rPr>
        <w:t>本单位2023年度一般公共预算财政拨款支出主要用于以下几个方面：</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%，较年初预算数减少0.60万元，下降100.00%，主要原因是</w:t>
      </w:r>
      <w:r>
        <w:rPr>
          <w:rFonts w:ascii="方正仿宋_GBK" w:hAnsi="方正仿宋_GBK" w:eastAsia="方正仿宋_GBK" w:cs="方正仿宋_GBK"/>
          <w:kern w:val="2"/>
          <w:sz w:val="32"/>
          <w:szCs w:val="32"/>
        </w:rPr>
        <w:t>本年未安排职工培训。</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26.12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10.82</w:t>
      </w:r>
      <w:r>
        <w:rPr>
          <w:rFonts w:ascii="方正仿宋_GBK" w:hAnsi="方正仿宋_GBK" w:eastAsia="方正仿宋_GBK" w:cs="方正仿宋_GBK"/>
          <w:sz w:val="32"/>
          <w:szCs w:val="32"/>
          <w:shd w:val="clear" w:color="auto" w:fill="FFFFFF"/>
        </w:rPr>
        <w:t>%，较年初预算数减少0.06万元，下降0.23%，主要原因是</w:t>
      </w:r>
      <w:r>
        <w:rPr>
          <w:rFonts w:ascii="方正仿宋_GBK" w:hAnsi="方正仿宋_GBK" w:eastAsia="方正仿宋_GBK" w:cs="方正仿宋_GBK"/>
          <w:kern w:val="2"/>
          <w:sz w:val="32"/>
          <w:szCs w:val="32"/>
        </w:rPr>
        <w:t>职工退休，缴费支出减少。</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7.36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%，较年初预算数增加0.03万元，增长0.41%，主要原因是</w:t>
      </w:r>
      <w:r>
        <w:rPr>
          <w:rFonts w:ascii="方正仿宋_GBK" w:hAnsi="方正仿宋_GBK" w:eastAsia="方正仿宋_GBK" w:cs="方正仿宋_GBK"/>
          <w:kern w:val="2"/>
          <w:sz w:val="32"/>
          <w:szCs w:val="32"/>
        </w:rPr>
        <w:t>人员工资正常晋升，缴费基数调高。</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（4）</w:t>
      </w:r>
      <w:r>
        <w:rPr>
          <w:rFonts w:ascii="方正仿宋_GBK" w:hAnsi="方正仿宋_GBK" w:eastAsia="方正仿宋_GBK" w:cs="方正仿宋_GBK"/>
          <w:sz w:val="32"/>
          <w:szCs w:val="32"/>
        </w:rPr>
        <w:t>自然资源海洋气象等支出197.96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82.00</w:t>
      </w:r>
      <w:r>
        <w:rPr>
          <w:rFonts w:ascii="方正仿宋_GBK" w:hAnsi="方正仿宋_GBK" w:eastAsia="方正仿宋_GBK" w:cs="方正仿宋_GBK"/>
          <w:sz w:val="32"/>
          <w:szCs w:val="32"/>
          <w:shd w:val="clear" w:color="auto" w:fill="FFFFFF"/>
        </w:rPr>
        <w:t>%，较年初预算数增加36.90万元，增长22.91%，主要原因是</w:t>
      </w:r>
      <w:r>
        <w:rPr>
          <w:rFonts w:ascii="方正仿宋_GBK" w:hAnsi="方正仿宋_GBK" w:eastAsia="方正仿宋_GBK" w:cs="方正仿宋_GBK"/>
          <w:kern w:val="2"/>
          <w:sz w:val="32"/>
          <w:szCs w:val="32"/>
        </w:rPr>
        <w:t>人员晋升和人员费用标准调高。</w:t>
      </w:r>
    </w:p>
    <w:p>
      <w:pPr>
        <w:pStyle w:val="5"/>
        <w:spacing w:beforeAutospacing="0" w:afterAutospacing="0"/>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（5）</w:t>
      </w:r>
      <w:r>
        <w:rPr>
          <w:rFonts w:ascii="方正仿宋_GBK" w:hAnsi="方正仿宋_GBK" w:eastAsia="方正仿宋_GBK" w:cs="方正仿宋_GBK"/>
          <w:sz w:val="32"/>
          <w:szCs w:val="32"/>
        </w:rPr>
        <w:t>住房保障支出9.99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%，较年初预算数增加1.19万元，增长13.52%，主要原因是</w:t>
      </w:r>
      <w:r>
        <w:rPr>
          <w:rFonts w:ascii="方正仿宋_GBK" w:hAnsi="方正仿宋_GBK" w:eastAsia="方正仿宋_GBK" w:cs="方正仿宋_GBK"/>
          <w:kern w:val="2"/>
          <w:sz w:val="32"/>
          <w:szCs w:val="32"/>
        </w:rPr>
        <w:t>缴费基数调高。</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（四）一般公共预算财政拨款基本支出决算情况说明</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241.43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210.84</w:t>
      </w:r>
      <w:r>
        <w:rPr>
          <w:rFonts w:ascii="方正仿宋_GBK" w:hAnsi="方正仿宋_GBK" w:eastAsia="方正仿宋_GBK" w:cs="方正仿宋_GBK"/>
          <w:sz w:val="32"/>
          <w:szCs w:val="32"/>
          <w:shd w:val="clear" w:color="auto" w:fill="FFFFFF"/>
        </w:rPr>
        <w:t>万元，较上年决算数减少0.93万元，下降0.44%，主要原因是</w:t>
      </w:r>
      <w:r>
        <w:rPr>
          <w:rFonts w:ascii="方正仿宋_GBK" w:hAnsi="方正仿宋_GBK" w:eastAsia="方正仿宋_GBK" w:cs="方正仿宋_GBK"/>
          <w:sz w:val="32"/>
          <w:szCs w:val="32"/>
        </w:rPr>
        <w:t>人员退休，工资福利支出减少。人员经费用途主要包括基本工资、津贴补贴、奖金、绩效工资、社会保障缴费、公积金缴费。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30.59</w:t>
      </w:r>
      <w:r>
        <w:rPr>
          <w:rFonts w:ascii="方正仿宋_GBK" w:hAnsi="方正仿宋_GBK" w:eastAsia="方正仿宋_GBK" w:cs="方正仿宋_GBK"/>
          <w:sz w:val="32"/>
          <w:szCs w:val="32"/>
          <w:shd w:val="clear" w:color="auto" w:fill="FFFFFF"/>
        </w:rPr>
        <w:t>万元，较上年决算数减少5.34万元，下降14.86%，主要原因是</w:t>
      </w:r>
      <w:r>
        <w:rPr>
          <w:rFonts w:ascii="方正仿宋_GBK" w:hAnsi="方正仿宋_GBK" w:eastAsia="方正仿宋_GBK" w:cs="方正仿宋_GBK"/>
          <w:kern w:val="2"/>
          <w:sz w:val="32"/>
          <w:szCs w:val="32"/>
        </w:rPr>
        <w:t>压减一般性支出，减少公用经费</w:t>
      </w:r>
      <w:r>
        <w:rPr>
          <w:rFonts w:ascii="方正仿宋_GBK" w:hAnsi="方正仿宋_GBK" w:eastAsia="方正仿宋_GBK" w:cs="方正仿宋_GBK"/>
          <w:sz w:val="32"/>
          <w:szCs w:val="32"/>
        </w:rPr>
        <w:t>预算，本年未调整公用经费预算。公用经费用途主要包括办公费、印刷费、咨询费、手续费、水电费、电话费、差旅费、劳务费、培训费、公务用车运行维护费、其他交通费用等。</w:t>
      </w:r>
    </w:p>
    <w:p>
      <w:pPr>
        <w:pStyle w:val="5"/>
        <w:snapToGrid w:val="0"/>
        <w:spacing w:beforeAutospacing="0" w:afterAutospacing="0" w:line="560" w:lineRule="exact"/>
        <w:ind w:firstLine="643" w:firstLineChars="200"/>
        <w:rPr>
          <w:rFonts w:hint="default" w:ascii="方正楷体_GBK" w:hAnsi="方正楷体_GBK" w:eastAsia="方正楷体_GBK" w:cs="方正楷体_GBK"/>
          <w:b/>
          <w:bCs w:val="0"/>
          <w:sz w:val="32"/>
          <w:szCs w:val="32"/>
        </w:rPr>
      </w:pPr>
      <w:r>
        <w:rPr>
          <w:rStyle w:val="14"/>
          <w:rFonts w:hint="eastAsia" w:ascii="方正楷体_GBK" w:hAnsi="方正楷体_GBK" w:eastAsia="方正楷体_GBK" w:cs="方正楷体_GBK"/>
          <w:b/>
          <w:bCs w:val="0"/>
          <w:sz w:val="32"/>
          <w:szCs w:val="32"/>
          <w:shd w:val="clear" w:color="auto" w:fill="FFFFFF"/>
        </w:rPr>
        <w:t>（五）政府性基金预算收支决算情况说明</w:t>
      </w:r>
    </w:p>
    <w:p>
      <w:pPr>
        <w:pStyle w:val="5"/>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5"/>
        <w:snapToGrid w:val="0"/>
        <w:spacing w:beforeAutospacing="0" w:afterAutospacing="0" w:line="560" w:lineRule="exact"/>
        <w:ind w:firstLine="643" w:firstLineChars="200"/>
        <w:rPr>
          <w:rFonts w:hint="default" w:ascii="方正楷体_GBK" w:hAnsi="方正楷体_GBK" w:eastAsia="方正楷体_GBK" w:cs="方正楷体_GBK"/>
          <w:b/>
          <w:bCs w:val="0"/>
          <w:sz w:val="32"/>
          <w:szCs w:val="32"/>
        </w:rPr>
      </w:pPr>
      <w:r>
        <w:rPr>
          <w:rStyle w:val="14"/>
          <w:rFonts w:hint="eastAsia" w:ascii="方正楷体_GBK" w:hAnsi="方正楷体_GBK" w:eastAsia="方正楷体_GBK" w:cs="方正楷体_GBK"/>
          <w:b/>
          <w:bCs w:val="0"/>
          <w:sz w:val="32"/>
          <w:szCs w:val="32"/>
          <w:shd w:val="clear" w:color="auto" w:fill="FFFFFF"/>
        </w:rPr>
        <w:t>（六）国有资本经营预算财政拨款支出决算情况说明</w:t>
      </w:r>
    </w:p>
    <w:p>
      <w:pPr>
        <w:pStyle w:val="5"/>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本单位2023年度无国有资本经营预算财政拨款支出。</w:t>
      </w:r>
    </w:p>
    <w:p>
      <w:pPr>
        <w:pStyle w:val="5"/>
        <w:snapToGrid w:val="0"/>
        <w:spacing w:beforeAutospacing="0" w:afterAutospacing="0" w:line="560" w:lineRule="exact"/>
        <w:ind w:firstLine="640" w:firstLineChars="200"/>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三、“三公”经费情况说明</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（一）“三公”经费支出总体情况说明</w:t>
      </w:r>
    </w:p>
    <w:p>
      <w:pPr>
        <w:spacing w:line="560" w:lineRule="exact"/>
        <w:ind w:firstLine="640" w:firstLineChars="200"/>
        <w:rPr>
          <w:rFonts w:hint="default"/>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万元，较年初预算数减少0.22万元，下降22.00%，主要原因是</w:t>
      </w:r>
      <w:r>
        <w:rPr>
          <w:rFonts w:ascii="方正仿宋_GBK" w:hAnsi="方正仿宋_GBK" w:eastAsia="方正仿宋_GBK" w:cs="方正仿宋_GBK"/>
          <w:sz w:val="32"/>
          <w:szCs w:val="32"/>
        </w:rPr>
        <w:t>一是认真贯彻落实中央八项规定精神和厉行节约要求，按照只减不增的要求从严控制三公经费，全年实际支出较预算有所下降。二是严格落实公车使用规定，严禁公车私用，公车运行维护成本大幅下降。三是强化公务接待支出管理，严格遵守公务接待开支范围和开支标准，严格控制陪餐人数。四是进一步规范因公出国（境）活动，2023年未安排单位人员出国出访。</w:t>
      </w:r>
      <w:r>
        <w:rPr>
          <w:rFonts w:ascii="方正仿宋_GBK" w:hAnsi="方正仿宋_GBK" w:eastAsia="方正仿宋_GBK" w:cs="方正仿宋_GBK"/>
          <w:sz w:val="32"/>
          <w:szCs w:val="32"/>
          <w:shd w:val="clear" w:color="auto" w:fill="FFFFFF"/>
        </w:rPr>
        <w:t>较上年支出数减少0.07万元，下降8.24%，主要原因是</w:t>
      </w:r>
      <w:r>
        <w:rPr>
          <w:rFonts w:ascii="方正仿宋_GBK" w:hAnsi="方正仿宋_GBK" w:eastAsia="方正仿宋_GBK" w:cs="方正仿宋_GBK"/>
          <w:sz w:val="32"/>
          <w:szCs w:val="32"/>
        </w:rPr>
        <w:t>压减一般性支出，本年公务活动较上年减少，公务接待费用减少。</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（二）“三公”经费分项支出情况</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2023年度本单位因公出国（境）费用0.00万元。费用支出较年初预算数增加0.00万元，与预算持平；较上年支出数增加0.00万元，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公务车购置0.00万元。费用支出较年初预算数增加0.00万元，与预算持平；较上年支出数增加0.00万元，与上年持平。主要原因是今年和去年未购置公务车辆，2023年未发生公务车购置费。</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公务车运行维护费0.00万元，主要用于市内因公出行和下乡察看项目现场所需车辆的燃料费、维修费、过桥过路费、保险费等。费用支出较年初预算数增加0.00万元，与预算持平；较上年支出数增加0.00万元，与上年持平，主要原因是公车于2020年4月全部上交车改办，本单位无公务用车，也未发生车辆运行维护费。</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项目检查和验收的专家，以及接受相关部门检查指导工作发生的接待支出。</w:t>
      </w:r>
      <w:r>
        <w:rPr>
          <w:rFonts w:ascii="方正仿宋_GBK" w:hAnsi="方正仿宋_GBK" w:eastAsia="方正仿宋_GBK" w:cs="方正仿宋_GBK"/>
          <w:sz w:val="32"/>
          <w:szCs w:val="32"/>
          <w:shd w:val="clear" w:color="auto" w:fill="FFFFFF"/>
        </w:rPr>
        <w:t>费用支出较年初预算数减少0.22万元，下降22.00%</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较上年支出数减少0.07万元，下降8.24%</w:t>
      </w:r>
      <w:r>
        <w:rPr>
          <w:rFonts w:ascii="方正仿宋_GBK" w:hAnsi="方正仿宋_GBK" w:eastAsia="方正仿宋_GBK" w:cs="方正仿宋_GBK"/>
          <w:sz w:val="32"/>
          <w:szCs w:val="32"/>
        </w:rPr>
        <w:t>，主要原因是压减一般性支出，本年公务活动较上年减少，公务接待费用减少。</w:t>
      </w:r>
    </w:p>
    <w:p>
      <w:pPr>
        <w:spacing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（三）“三公”经费实物量情况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80.16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Autospacing="0" w:afterAutospacing="0" w:line="560" w:lineRule="exact"/>
        <w:ind w:firstLine="640" w:firstLineChars="200"/>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四、其他需要说明的事项</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（一）财政拨款会议费和培训费情况说明</w:t>
      </w:r>
    </w:p>
    <w:p>
      <w:pPr>
        <w:pStyle w:val="5"/>
        <w:snapToGrid w:val="0"/>
        <w:spacing w:beforeAutospacing="0" w:afterAutospacing="0" w:line="560" w:lineRule="exact"/>
        <w:ind w:firstLine="640" w:firstLineChars="200"/>
        <w:rPr>
          <w:rFonts w:hint="default"/>
        </w:rPr>
      </w:pPr>
      <w:r>
        <w:rPr>
          <w:rFonts w:ascii="方正仿宋_GBK" w:hAnsi="方正仿宋_GBK" w:eastAsia="方正仿宋_GBK" w:cs="方正仿宋_GBK"/>
          <w:kern w:val="2"/>
          <w:sz w:val="32"/>
          <w:szCs w:val="32"/>
        </w:rPr>
        <w:t>本年度会议费支出0万元，与上年持平，主要原因是单位上年和当年未举办大型的会议活动。</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万元，较上年决算数增加0.08万元，增长100.00%，主要原因是</w:t>
      </w:r>
      <w:r>
        <w:rPr>
          <w:rFonts w:ascii="方正仿宋_GBK" w:hAnsi="方正仿宋_GBK" w:eastAsia="方正仿宋_GBK" w:cs="方正仿宋_GBK"/>
          <w:kern w:val="2"/>
          <w:sz w:val="32"/>
          <w:szCs w:val="32"/>
        </w:rPr>
        <w:t>本年度增加职工继续教育培训。</w:t>
      </w:r>
    </w:p>
    <w:p>
      <w:pPr>
        <w:pStyle w:val="5"/>
        <w:snapToGrid w:val="0"/>
        <w:spacing w:beforeAutospacing="0" w:afterAutospacing="0" w:line="560" w:lineRule="exact"/>
        <w:ind w:firstLine="643" w:firstLineChars="200"/>
        <w:rPr>
          <w:rFonts w:hint="default" w:cs="宋体"/>
          <w:b/>
          <w:sz w:val="32"/>
          <w:szCs w:val="32"/>
        </w:rPr>
      </w:pPr>
      <w:r>
        <w:rPr>
          <w:rStyle w:val="14"/>
          <w:rFonts w:hint="eastAsia" w:ascii="方正楷体_GBK" w:hAnsi="方正楷体_GBK" w:eastAsia="方正楷体_GBK" w:cs="方正楷体_GBK"/>
          <w:b/>
          <w:bCs w:val="0"/>
          <w:sz w:val="32"/>
          <w:szCs w:val="32"/>
          <w:shd w:val="clear" w:color="auto" w:fill="FFFFFF"/>
        </w:rPr>
        <w:t>（二）机关运行经费情况说明</w:t>
      </w:r>
    </w:p>
    <w:p>
      <w:pPr>
        <w:pStyle w:val="5"/>
        <w:snapToGrid w:val="0"/>
        <w:spacing w:beforeAutospacing="0" w:afterAutospacing="0" w:line="560" w:lineRule="exact"/>
        <w:ind w:firstLine="640" w:firstLineChars="200"/>
        <w:rPr>
          <w:rFonts w:hint="default" w:ascii="方正仿宋_GBK" w:hAnsi="方正仿宋_GBK" w:eastAsia="方正仿宋_GBK" w:cs="方正仿宋_GBK"/>
          <w:kern w:val="2"/>
          <w:sz w:val="32"/>
          <w:szCs w:val="32"/>
        </w:rPr>
      </w:pPr>
      <w:r>
        <w:rPr>
          <w:rFonts w:ascii="方正仿宋_GBK" w:hAnsi="方正仿宋_GBK" w:eastAsia="方正仿宋_GBK" w:cs="方正仿宋_GBK"/>
          <w:kern w:val="2"/>
          <w:sz w:val="32"/>
          <w:szCs w:val="32"/>
        </w:rPr>
        <w:t xml:space="preserve">2023年度本单位机关运行经费支出0.00万元，机关运行经费较上年支出数无增减，主要原因是按照部门决算列报口径，我单位不在机关运行经费统计范围之内。  </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（三）国有资产占用情况说明</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val="0"/>
          <w:sz w:val="32"/>
          <w:szCs w:val="32"/>
          <w:shd w:val="clear" w:color="auto" w:fill="FFFFFF"/>
        </w:rPr>
      </w:pPr>
      <w:r>
        <w:rPr>
          <w:rStyle w:val="14"/>
          <w:rFonts w:hint="eastAsia" w:ascii="方正楷体_GBK" w:hAnsi="方正楷体_GBK" w:eastAsia="方正楷体_GBK" w:cs="方正楷体_GBK"/>
          <w:b/>
          <w:bCs w:val="0"/>
          <w:sz w:val="32"/>
          <w:szCs w:val="32"/>
          <w:shd w:val="clear" w:color="auto" w:fill="FFFFFF"/>
        </w:rPr>
        <w:t>（四）政府采购支出说明</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napToGrid w:val="0"/>
        <w:spacing w:beforeAutospacing="0" w:afterAutospacing="0" w:line="560" w:lineRule="exact"/>
        <w:ind w:firstLine="640" w:firstLineChars="200"/>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五、预算绩效管理情况说明</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sz w:val="32"/>
          <w:szCs w:val="32"/>
        </w:rPr>
      </w:pPr>
      <w:r>
        <w:rPr>
          <w:rStyle w:val="14"/>
          <w:rFonts w:hint="eastAsia" w:ascii="方正楷体_GBK" w:hAnsi="方正楷体_GBK" w:eastAsia="方正楷体_GBK" w:cs="方正楷体_GBK"/>
          <w:b/>
          <w:bCs/>
          <w:sz w:val="32"/>
          <w:szCs w:val="32"/>
        </w:rPr>
        <w:t>（一）单位自评情况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sz w:val="32"/>
          <w:szCs w:val="32"/>
        </w:rPr>
      </w:pPr>
      <w:r>
        <w:rPr>
          <w:rStyle w:val="14"/>
          <w:rFonts w:hint="eastAsia" w:ascii="方正楷体_GBK" w:hAnsi="方正楷体_GBK" w:eastAsia="方正楷体_GBK" w:cs="方正楷体_GBK"/>
          <w:b/>
          <w:bCs/>
          <w:sz w:val="32"/>
          <w:szCs w:val="32"/>
        </w:rPr>
        <w:t>（二）单位绩效评价情况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5"/>
        <w:snapToGrid w:val="0"/>
        <w:spacing w:beforeAutospacing="0" w:afterAutospacing="0" w:line="560" w:lineRule="exact"/>
        <w:ind w:firstLine="643" w:firstLineChars="200"/>
        <w:rPr>
          <w:rStyle w:val="14"/>
          <w:rFonts w:hint="eastAsia" w:ascii="方正楷体_GBK" w:hAnsi="方正楷体_GBK" w:eastAsia="方正楷体_GBK" w:cs="方正楷体_GBK"/>
          <w:b/>
          <w:bCs/>
          <w:sz w:val="32"/>
          <w:szCs w:val="32"/>
        </w:rPr>
      </w:pPr>
      <w:r>
        <w:rPr>
          <w:rStyle w:val="14"/>
          <w:rFonts w:hint="eastAsia" w:ascii="方正楷体_GBK" w:hAnsi="方正楷体_GBK" w:eastAsia="方正楷体_GBK" w:cs="方正楷体_GBK"/>
          <w:b/>
          <w:bCs/>
          <w:sz w:val="32"/>
          <w:szCs w:val="32"/>
        </w:rPr>
        <w:t>（三）财政绩效评价情况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pPr>
        <w:pStyle w:val="5"/>
        <w:snapToGrid w:val="0"/>
        <w:spacing w:beforeAutospacing="0" w:afterAutospacing="0" w:line="560" w:lineRule="exact"/>
        <w:ind w:firstLine="640" w:firstLineChars="200"/>
        <w:rPr>
          <w:rStyle w:val="14"/>
          <w:rFonts w:hint="eastAsia"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六、专业名词解释</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（一）财政拨款收入</w:t>
      </w:r>
      <w:r>
        <w:rPr>
          <w:rFonts w:ascii="方正楷体_GBK" w:hAnsi="方正楷体_GBK" w:eastAsia="方正楷体_GBK" w:cs="方正楷体_GBK"/>
          <w:b/>
          <w:bCs w:val="0"/>
          <w:sz w:val="32"/>
          <w:szCs w:val="32"/>
        </w:rPr>
        <w:t>：</w:t>
      </w:r>
      <w:r>
        <w:rPr>
          <w:rFonts w:ascii="Times New Roman" w:hAnsi="Times New Roman" w:eastAsia="方正仿宋_GBK"/>
          <w:kern w:val="2"/>
          <w:sz w:val="32"/>
          <w:szCs w:val="32"/>
        </w:rPr>
        <w:t>指本年度从本级财政部门取得的财政拨款，包括一般公共预算财政拨款和政府性基金预算财政拨款。</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（二）事业收入：</w:t>
      </w:r>
      <w:r>
        <w:rPr>
          <w:rFonts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（三）经营收入：</w:t>
      </w:r>
      <w:r>
        <w:rPr>
          <w:rFonts w:ascii="Times New Roman" w:hAnsi="Times New Roman" w:eastAsia="方正仿宋_GBK"/>
          <w:kern w:val="2"/>
          <w:sz w:val="32"/>
          <w:szCs w:val="32"/>
        </w:rPr>
        <w:t>指事业单位在专业业务活动及其辅助活动之外开展非独立核算经营活动取得的现金流入。</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（四）其他收入：</w:t>
      </w:r>
      <w:r>
        <w:rPr>
          <w:rFonts w:ascii="Times New Roman" w:hAnsi="Times New Roman" w:eastAsia="方正仿宋_GBK"/>
          <w:kern w:val="2"/>
          <w:sz w:val="32"/>
          <w:szCs w:val="32"/>
        </w:rPr>
        <w:t>指单位取得的除“财政拨款收入”、“事业收入”、“经营收入”等以 外的收入，包括未纳入财政预算或财政专户管理的投资收益、银行存款利息收入、租金收入、捐赠收入，现金盘盈收入、存货盘盈收入、收回已核销的应收及预付款 项、无法偿付的应付及预收款项等。各单位从本级财政部门以外的同级单位取得的经费、从非本级财政部门取得的经费，以及行政单位收到的财政专户管理资金反映 在本项内。</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（五）使用非财政拨款结余：</w:t>
      </w:r>
      <w:r>
        <w:rPr>
          <w:rFonts w:ascii="Times New Roman" w:hAnsi="Times New Roman" w:eastAsia="方正仿宋_GBK"/>
          <w:kern w:val="2"/>
          <w:sz w:val="32"/>
          <w:szCs w:val="32"/>
        </w:rPr>
        <w:t>指单位在当年的“财政拨款收入”、“事业收入”、“经营收入”、“其他收入”等不足以安排当年支出的情况下，使用以前年度积累的非财政拨款结余弥补本年度收支缺口的资金。</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（六）年初结转和结余：</w:t>
      </w:r>
      <w:r>
        <w:rPr>
          <w:rFonts w:ascii="Times New Roman" w:hAnsi="Times New Roman" w:eastAsia="方正仿宋_GBK"/>
          <w:kern w:val="2"/>
          <w:sz w:val="32"/>
          <w:szCs w:val="32"/>
        </w:rPr>
        <w:t>指单位上年结转本年使用的基本支出结转、项目支出结转和结余、经营结余。</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（七）结余分配：</w:t>
      </w:r>
      <w:r>
        <w:rPr>
          <w:rFonts w:ascii="Times New Roman" w:hAnsi="Times New Roman" w:eastAsia="方正仿宋_GBK"/>
          <w:kern w:val="2"/>
          <w:sz w:val="32"/>
          <w:szCs w:val="32"/>
        </w:rPr>
        <w:t>指单位按照国家有关规定，缴纳所得税、提取专用基金、转入非财政拨款结余等当年结余的分配情况。</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（八）年末结转和结余：</w:t>
      </w:r>
      <w:r>
        <w:rPr>
          <w:rFonts w:ascii="Times New Roman" w:hAnsi="Times New Roman" w:eastAsia="方正仿宋_GBK"/>
          <w:kern w:val="2"/>
          <w:sz w:val="32"/>
          <w:szCs w:val="32"/>
        </w:rPr>
        <w:t>指单位结转下年的基本支出结转、项目支出结转和结余、经营结余。</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（九）基本支出：</w:t>
      </w:r>
      <w:r>
        <w:rPr>
          <w:rFonts w:ascii="Times New Roman" w:hAnsi="Times New Roman" w:eastAsia="方正仿宋_GBK"/>
          <w:kern w:val="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（十）项目支出：</w:t>
      </w:r>
      <w:r>
        <w:rPr>
          <w:rFonts w:ascii="Times New Roman" w:hAnsi="Times New Roman" w:eastAsia="方正仿宋_GBK"/>
          <w:kern w:val="2"/>
          <w:sz w:val="32"/>
          <w:szCs w:val="32"/>
        </w:rPr>
        <w:t>指在基本支出之外为完成特定行政任务和事业发展目标所发生的支出。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（十一）经营支出：</w:t>
      </w:r>
      <w:r>
        <w:rPr>
          <w:rFonts w:ascii="Times New Roman" w:hAnsi="Times New Roman" w:eastAsia="方正仿宋_GBK"/>
          <w:kern w:val="2"/>
          <w:sz w:val="32"/>
          <w:szCs w:val="32"/>
        </w:rPr>
        <w:t>指事业单位在专业业务活动及其辅助活动之外开展非独立核算经营活动发生的支出。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（十二）“三公”经费：</w:t>
      </w:r>
      <w:r>
        <w:rPr>
          <w:rFonts w:ascii="Times New Roman" w:hAnsi="Times New Roman" w:eastAsia="方正仿宋_GBK"/>
          <w:kern w:val="2"/>
          <w:sz w:val="32"/>
          <w:szCs w:val="32"/>
        </w:rPr>
        <w:t>指用财政拨款安排的因公出国（境）费、公务用车购置及运行维护费、公务接待费。其中，因公出国（境）费反映单位公务出国（境）的国际旅费、国外城市间交通 费、住宿费、伙食费、培训费、公杂费等支出；公务用车购置费反映单位公务用车购置支出（含车辆购置税）；公务用车运行维护费反映单位按规定保留的公务用车 燃料费、维修费、过路过桥费、保险费、安全奖励费用等支出；公务接待费反映单位按规定开支的各类公务接待（含外宾接待）支出。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（十三）机关运行经费：</w:t>
      </w:r>
      <w:r>
        <w:rPr>
          <w:rFonts w:ascii="Times New Roman" w:hAnsi="Times New Roman" w:eastAsia="方正仿宋_GBK"/>
          <w:kern w:val="2"/>
          <w:sz w:val="32"/>
          <w:szCs w:val="32"/>
        </w:rPr>
        <w:t>为保障行政单位（含参照公务员法管理的事业单位）运行用于购 买货物和服务等的各项公用经费，包括办公及印刷费、邮电费、差旅费、会议费、福利费、日常维护费、专用材料及一般设备购置费、办公用房水电费、办公用房取 暖费、办公用房物业管理费、公务用车运行维护费以及其他费用。</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（十四）工资福利支出（支出经济分类科目类级）：</w:t>
      </w:r>
      <w:r>
        <w:rPr>
          <w:rFonts w:ascii="Times New Roman" w:hAnsi="Times New Roman" w:eastAsia="方正仿宋_GBK"/>
          <w:kern w:val="2"/>
          <w:sz w:val="32"/>
          <w:szCs w:val="32"/>
        </w:rPr>
        <w:t>反</w:t>
      </w:r>
      <w:bookmarkStart w:id="0" w:name="_GoBack"/>
      <w:bookmarkEnd w:id="0"/>
      <w:r>
        <w:rPr>
          <w:rFonts w:ascii="Times New Roman" w:hAnsi="Times New Roman" w:eastAsia="方正仿宋_GBK"/>
          <w:kern w:val="2"/>
          <w:sz w:val="32"/>
          <w:szCs w:val="32"/>
        </w:rPr>
        <w:t>映单位开支的在职职工和编制外长期聘用人员的各类劳动报酬，以及为上述人员缴纳的各项社会保险费等。</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（十五）商品和服务支出（支出经济分类科目类级）：</w:t>
      </w:r>
      <w:r>
        <w:rPr>
          <w:rFonts w:ascii="Times New Roman" w:hAnsi="Times New Roman" w:eastAsia="方正仿宋_GBK"/>
          <w:kern w:val="2"/>
          <w:sz w:val="32"/>
          <w:szCs w:val="32"/>
        </w:rPr>
        <w:t>反映单位购买商品和服务的支出（不包括用于购置固定资产的支出、战略性和应急储备支出）。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（十六）对个人和家庭的补助（支出经济分类科目类级）：</w:t>
      </w:r>
      <w:r>
        <w:rPr>
          <w:rFonts w:ascii="Times New Roman" w:hAnsi="Times New Roman" w:eastAsia="方正仿宋_GBK"/>
          <w:kern w:val="2"/>
          <w:sz w:val="32"/>
          <w:szCs w:val="32"/>
        </w:rPr>
        <w:t>反映用于对个人和家庭的补助支出。</w:t>
      </w:r>
    </w:p>
    <w:p>
      <w:pPr>
        <w:pStyle w:val="5"/>
        <w:spacing w:beforeAutospacing="0" w:afterAutospacing="0"/>
        <w:ind w:firstLine="643" w:firstLineChars="200"/>
        <w:rPr>
          <w:rFonts w:hint="default" w:ascii="Times New Roman" w:hAnsi="Times New Roman" w:eastAsia="方正仿宋_GBK"/>
          <w:kern w:val="2"/>
          <w:sz w:val="32"/>
          <w:szCs w:val="32"/>
        </w:rPr>
      </w:pPr>
      <w:r>
        <w:rPr>
          <w:rStyle w:val="7"/>
          <w:rFonts w:ascii="方正楷体_GBK" w:hAnsi="方正楷体_GBK" w:eastAsia="方正楷体_GBK" w:cs="方正楷体_GBK"/>
          <w:b/>
          <w:bCs w:val="0"/>
          <w:sz w:val="32"/>
          <w:szCs w:val="32"/>
        </w:rPr>
        <w:t>（十七）其他资本性支出（支出经济分类科目类级）</w:t>
      </w:r>
      <w:r>
        <w:rPr>
          <w:rFonts w:ascii="方正楷体_GBK" w:hAnsi="方正楷体_GBK" w:eastAsia="方正楷体_GBK" w:cs="方正楷体_GBK"/>
          <w:b/>
          <w:bCs w:val="0"/>
          <w:sz w:val="32"/>
          <w:szCs w:val="32"/>
        </w:rPr>
        <w:t>：</w:t>
      </w:r>
      <w:r>
        <w:rPr>
          <w:rFonts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pStyle w:val="5"/>
        <w:spacing w:beforeAutospacing="0" w:afterAutospacing="0"/>
        <w:ind w:firstLine="640" w:firstLineChars="200"/>
        <w:rPr>
          <w:rFonts w:hint="default" w:ascii="方正黑体_GBK" w:hAnsi="方正黑体_GBK" w:eastAsia="方正黑体_GBK" w:cs="方正黑体_GBK"/>
          <w:bCs/>
          <w:sz w:val="32"/>
          <w:szCs w:val="32"/>
        </w:rPr>
      </w:pPr>
      <w:r>
        <w:rPr>
          <w:rStyle w:val="7"/>
          <w:rFonts w:ascii="方正黑体_GBK" w:hAnsi="方正黑体_GBK" w:eastAsia="方正黑体_GBK" w:cs="方正黑体_GBK"/>
          <w:b w:val="0"/>
          <w:bCs/>
          <w:sz w:val="32"/>
          <w:szCs w:val="32"/>
        </w:rPr>
        <w:t>七、决算公开联系方式及信息反馈渠道</w:t>
      </w:r>
    </w:p>
    <w:p>
      <w:pPr>
        <w:pStyle w:val="10"/>
        <w:autoSpaceDE w:val="0"/>
        <w:ind w:firstLine="640"/>
        <w:rPr>
          <w:ins w:id="0" w:author="冯阅" w:date="2024-09-12T16:00:00Z"/>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0"/>
        <w:autoSpaceDE w:val="0"/>
        <w:ind w:firstLine="640"/>
        <w:rPr>
          <w:rStyle w:val="7"/>
          <w:rFonts w:ascii="方正仿宋_GBK" w:hAnsi="方正仿宋_GBK" w:eastAsia="方正仿宋_GBK" w:cs="方正仿宋_GBK"/>
          <w:sz w:val="32"/>
          <w:szCs w:val="32"/>
          <w:shd w:val="clear" w:color="auto" w:fill="FFFF00"/>
        </w:rPr>
      </w:pPr>
      <w:ins w:id="1" w:author="冯阅" w:date="2024-09-12T16:00:00Z">
        <w:r>
          <w:rPr>
            <w:rFonts w:hint="eastAsia" w:ascii="方正仿宋_GBK" w:hAnsi="方正仿宋_GBK" w:eastAsia="方正仿宋_GBK" w:cs="方正仿宋_GBK"/>
            <w:sz w:val="32"/>
            <w:szCs w:val="32"/>
            <w:shd w:val="clear" w:color="auto" w:fill="FFFFFF"/>
            <w:lang w:eastAsia="zh-CN"/>
          </w:rPr>
          <w:t>联系人：谭老师</w:t>
        </w:r>
      </w:ins>
      <w:ins w:id="2" w:author="冯阅" w:date="2024-09-12T16:00:00Z">
        <w:r>
          <w:rPr>
            <w:rFonts w:hint="eastAsia" w:ascii="方正仿宋_GBK" w:hAnsi="方正仿宋_GBK" w:eastAsia="方正仿宋_GBK" w:cs="方正仿宋_GBK"/>
            <w:sz w:val="32"/>
            <w:szCs w:val="32"/>
            <w:shd w:val="clear" w:color="auto" w:fill="FFFFFF"/>
            <w:lang w:val="en-US" w:eastAsia="zh-CN"/>
          </w:rPr>
          <w:t xml:space="preserve">            联系电话：</w:t>
        </w:r>
      </w:ins>
      <w:r>
        <w:rPr>
          <w:rFonts w:hint="eastAsia" w:ascii="方正仿宋_GBK" w:hAnsi="方正仿宋_GBK" w:eastAsia="方正仿宋_GBK" w:cs="方正仿宋_GBK"/>
          <w:sz w:val="32"/>
          <w:szCs w:val="32"/>
          <w:shd w:val="clear" w:color="auto" w:fill="FFFFFF"/>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公开单位：垫江县土地整治中心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236.98</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1,088.51</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1,326.71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1,325.49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1,370.18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8.74</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3,619.79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3,583.83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4,954.01</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4,954.01</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公开单位：垫江县土地整治中心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1,325.49</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236.98</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1,088.51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6.30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6.30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1,282.02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193.51</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1,282.02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193.51</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1,088.51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1,052.94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1,052.94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229.08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193.51</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9.99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9.99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1,370.18</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285.73</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1,084.45</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26.12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12.57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6.30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6.30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1,326.71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242.26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1,084.45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1,326.71</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242.26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1,084.45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1,084.45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1,084.45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242.26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242.26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9.99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236.98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26.12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26.12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197.96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197.96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9.99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9.99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236.98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241.43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241.43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4.45</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4.45</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241.43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241.43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241.43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241.43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241.43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26.12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26.12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26.12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26.12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12.57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12.57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6.30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6.30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7.25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7.25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197.96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197.96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197.96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197.96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197.96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197.96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9.99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9.99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203.59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30.59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41.28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2.15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116.79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6.30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9.99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0.78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5.68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210.84</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30.59</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垫江县土地整治中心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0.78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0.78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0.78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0.78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0.78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97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016BCF"/>
    <w:rsid w:val="000B23ED"/>
    <w:rsid w:val="000B3C32"/>
    <w:rsid w:val="003F09FF"/>
    <w:rsid w:val="004121E2"/>
    <w:rsid w:val="00550ABE"/>
    <w:rsid w:val="00641AC1"/>
    <w:rsid w:val="006454B0"/>
    <w:rsid w:val="006521AE"/>
    <w:rsid w:val="00780941"/>
    <w:rsid w:val="007B019B"/>
    <w:rsid w:val="007B419D"/>
    <w:rsid w:val="007F66B9"/>
    <w:rsid w:val="00931608"/>
    <w:rsid w:val="00980FAB"/>
    <w:rsid w:val="009B67B8"/>
    <w:rsid w:val="00AA044B"/>
    <w:rsid w:val="00AD0E3C"/>
    <w:rsid w:val="00B03CCD"/>
    <w:rsid w:val="00CB48A4"/>
    <w:rsid w:val="00CE2470"/>
    <w:rsid w:val="00E37198"/>
    <w:rsid w:val="00EF4031"/>
    <w:rsid w:val="00F2502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C72A65"/>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AD3A33"/>
    <w:rsid w:val="1DBD6767"/>
    <w:rsid w:val="1DC52125"/>
    <w:rsid w:val="1DD26311"/>
    <w:rsid w:val="1E374ACB"/>
    <w:rsid w:val="1ECF0A66"/>
    <w:rsid w:val="1EF67CA4"/>
    <w:rsid w:val="1F020D3A"/>
    <w:rsid w:val="1F2C5189"/>
    <w:rsid w:val="1F4B0B02"/>
    <w:rsid w:val="1FBB35CD"/>
    <w:rsid w:val="1FCD26AF"/>
    <w:rsid w:val="20642787"/>
    <w:rsid w:val="20C57161"/>
    <w:rsid w:val="21425C40"/>
    <w:rsid w:val="21556F04"/>
    <w:rsid w:val="22403BD3"/>
    <w:rsid w:val="24B92327"/>
    <w:rsid w:val="24C14514"/>
    <w:rsid w:val="2533755C"/>
    <w:rsid w:val="25791755"/>
    <w:rsid w:val="26396DF4"/>
    <w:rsid w:val="266D22E8"/>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D49B5"/>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7B5618"/>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BE5DF3"/>
    <w:rsid w:val="7F446A19"/>
    <w:rsid w:val="7F7452B9"/>
    <w:rsid w:val="DF3B0D15"/>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5"/>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character" w:customStyle="1" w:styleId="14">
    <w:name w:val="15"/>
    <w:basedOn w:val="6"/>
    <w:qFormat/>
    <w:uiPriority w:val="0"/>
    <w:rPr>
      <w:rFonts w:hint="default" w:ascii="Times New Roman" w:hAnsi="Times New Roman" w:cs="Times New Roman"/>
      <w:b/>
    </w:rPr>
  </w:style>
  <w:style w:type="character" w:customStyle="1" w:styleId="15">
    <w:name w:val="页脚 字符"/>
    <w:basedOn w:val="6"/>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21</Pages>
  <Words>1839</Words>
  <Characters>10485</Characters>
  <Lines>87</Lines>
  <Paragraphs>24</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2024-09-23T03:17:15Z</dcterms:modified>
  <dc:title>垫江县土地整治中心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