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垫江县不动产登记中心</w:t>
      </w:r>
    </w:p>
    <w:p>
      <w:pPr>
        <w:pStyle w:val="11"/>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p>
    <w:p>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一、单位基本情况</w:t>
      </w:r>
    </w:p>
    <w:p>
      <w:pPr>
        <w:pStyle w:val="11"/>
        <w:shd w:val="clear" w:color="auto" w:fill="FFFFFF"/>
        <w:spacing w:beforeAutospacing="0" w:afterAutospacing="0" w:line="596" w:lineRule="exact"/>
        <w:ind w:firstLine="420"/>
        <w:rPr>
          <w:rFonts w:hint="default" w:ascii="方正仿宋_GBK" w:hAnsi="方正仿宋_GBK" w:eastAsia="方正仿宋_GBK" w:cs="方正仿宋_GBK"/>
          <w:sz w:val="32"/>
          <w:szCs w:val="32"/>
        </w:rPr>
      </w:pPr>
      <w:r>
        <w:rPr>
          <w:rStyle w:val="15"/>
          <w:rFonts w:ascii="楷体" w:hAnsi="楷体" w:eastAsia="楷体" w:cs="楷体"/>
          <w:sz w:val="32"/>
          <w:szCs w:val="32"/>
          <w:shd w:val="clear" w:color="auto" w:fill="FFFFFF"/>
        </w:rPr>
        <w:t>（一）职能职责</w:t>
      </w:r>
    </w:p>
    <w:p>
      <w:pPr>
        <w:pStyle w:val="11"/>
        <w:shd w:val="clear" w:color="auto" w:fill="FFFFFF"/>
        <w:spacing w:beforeAutospacing="0" w:afterAutospacing="0" w:line="596" w:lineRule="exact"/>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负责土地登记（含土地承包经营权登记）、房屋登记、林地登记等不动产登记工作；负责登记档案的整理、保管工作；负责收集、分析、发布、反馈农村综合产权交易信息；负责支持引导法律、评估、担保、经纪、策划等中介机构和相关金融机构发展，为农村产权综合流转交易提供法律咨询等配套服务工作。</w:t>
      </w:r>
    </w:p>
    <w:p>
      <w:pPr>
        <w:pStyle w:val="11"/>
        <w:shd w:val="clear" w:color="auto" w:fill="FFFFFF"/>
        <w:spacing w:beforeAutospacing="0" w:afterAutospacing="0" w:line="596" w:lineRule="exact"/>
        <w:ind w:firstLine="420"/>
        <w:rPr>
          <w:rFonts w:hint="default" w:ascii="楷体" w:hAnsi="楷体" w:eastAsia="楷体" w:cs="楷体"/>
          <w:sz w:val="32"/>
          <w:szCs w:val="32"/>
        </w:rPr>
      </w:pPr>
      <w:r>
        <w:rPr>
          <w:rStyle w:val="15"/>
          <w:rFonts w:ascii="楷体" w:hAnsi="楷体" w:eastAsia="楷体" w:cs="楷体"/>
          <w:sz w:val="32"/>
          <w:szCs w:val="32"/>
          <w:shd w:val="clear" w:color="auto" w:fill="FFFFFF"/>
        </w:rPr>
        <w:t>（二）机构设置</w:t>
      </w:r>
    </w:p>
    <w:p>
      <w:pPr>
        <w:pStyle w:val="11"/>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rPr>
      </w:pPr>
      <w:r>
        <w:rPr>
          <w:rFonts w:ascii="仿宋" w:hAnsi="仿宋" w:eastAsia="仿宋"/>
          <w:sz w:val="32"/>
          <w:szCs w:val="32"/>
          <w:shd w:val="clear" w:color="auto" w:fill="FFFFFF"/>
        </w:rPr>
        <w:t>本单位属财政全额拨款的事业单位，为正科级单位，</w:t>
      </w:r>
      <w:r>
        <w:rPr>
          <w:rFonts w:ascii="方正仿宋_GBK" w:hAnsi="方正仿宋_GBK" w:eastAsia="方正仿宋_GBK" w:cs="方正仿宋_GBK"/>
          <w:sz w:val="32"/>
          <w:szCs w:val="32"/>
        </w:rPr>
        <w:t>内设综合科、权属登记科、纠纷调处科、信息科。</w:t>
      </w:r>
    </w:p>
    <w:p>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二、单位决算收支情况说明</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1"/>
        <w:shd w:val="clear" w:color="auto" w:fill="FFFFFF"/>
        <w:spacing w:beforeAutospacing="0" w:afterAutospacing="0" w:line="596" w:lineRule="exact"/>
        <w:ind w:firstLine="643" w:firstLineChars="200"/>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2024年度收入总计901.92万元，支出总计</w:t>
      </w:r>
      <w:r>
        <w:rPr>
          <w:rFonts w:ascii="方正仿宋_GBK" w:hAnsi="方正仿宋_GBK" w:eastAsia="方正仿宋_GBK" w:cs="方正仿宋_GBK"/>
          <w:sz w:val="32"/>
          <w:szCs w:val="32"/>
        </w:rPr>
        <w:t>901.92</w:t>
      </w:r>
      <w:r>
        <w:rPr>
          <w:rFonts w:ascii="方正仿宋_GBK" w:hAnsi="方正仿宋_GBK" w:eastAsia="方正仿宋_GBK" w:cs="方正仿宋_GBK"/>
          <w:sz w:val="32"/>
          <w:szCs w:val="32"/>
          <w:shd w:val="clear" w:color="auto" w:fill="FFFFFF"/>
        </w:rPr>
        <w:t>万元。收、支与2023年度相比，减少132.99万元，下降12.85%，主要原因是本年度人员退休减少3人。</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2024年度收入合计824.60万元，与2023年度相比，减少111.02万元，下降11.87%，主要原因是本年度人员退休减少3人，减少了人员经费和公用经费拨款收入。其中：财政拨款收入</w:t>
      </w:r>
      <w:r>
        <w:rPr>
          <w:rFonts w:ascii="方正仿宋_GBK" w:hAnsi="方正仿宋_GBK" w:eastAsia="方正仿宋_GBK" w:cs="方正仿宋_GBK"/>
          <w:sz w:val="32"/>
          <w:szCs w:val="32"/>
        </w:rPr>
        <w:t>824.60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77.32</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5"/>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901.92</w:t>
      </w:r>
      <w:r>
        <w:rPr>
          <w:rFonts w:ascii="方正仿宋_GBK" w:hAnsi="方正仿宋_GBK" w:eastAsia="方正仿宋_GBK" w:cs="方正仿宋_GBK"/>
          <w:sz w:val="32"/>
          <w:szCs w:val="32"/>
          <w:shd w:val="clear" w:color="auto" w:fill="FFFFFF"/>
        </w:rPr>
        <w:t>万元，与2023年度相比，减少132.99万元，下降12.85%，主要原因是人员退休，厉行节约，公用经费减少。其中：基本支出</w:t>
      </w:r>
      <w:r>
        <w:rPr>
          <w:rFonts w:ascii="方正仿宋_GBK" w:hAnsi="方正仿宋_GBK" w:eastAsia="方正仿宋_GBK" w:cs="方正仿宋_GBK"/>
          <w:sz w:val="32"/>
          <w:szCs w:val="32"/>
        </w:rPr>
        <w:t>814.65</w:t>
      </w:r>
      <w:r>
        <w:rPr>
          <w:rFonts w:ascii="方正仿宋_GBK" w:hAnsi="方正仿宋_GBK" w:eastAsia="方正仿宋_GBK" w:cs="方正仿宋_GBK"/>
          <w:sz w:val="32"/>
          <w:szCs w:val="32"/>
          <w:shd w:val="clear" w:color="auto" w:fill="FFFFFF"/>
        </w:rPr>
        <w:t>万元，占90.32%；项目支出</w:t>
      </w:r>
      <w:r>
        <w:rPr>
          <w:rFonts w:ascii="方正仿宋_GBK" w:hAnsi="方正仿宋_GBK" w:eastAsia="方正仿宋_GBK" w:cs="方正仿宋_GBK"/>
          <w:sz w:val="32"/>
          <w:szCs w:val="32"/>
        </w:rPr>
        <w:t>87.28</w:t>
      </w:r>
      <w:r>
        <w:rPr>
          <w:rFonts w:ascii="方正仿宋_GBK" w:hAnsi="方正仿宋_GBK" w:eastAsia="方正仿宋_GBK" w:cs="方正仿宋_GBK"/>
          <w:sz w:val="32"/>
          <w:szCs w:val="32"/>
          <w:shd w:val="clear" w:color="auto" w:fill="FFFFFF"/>
        </w:rPr>
        <w:t>万元，占9.68%；经营支出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万元，与2023年度相比，无增减，主要原因是本年无结转结余。</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2024年度财政拨款收、支总计824.60万元。与2023年相比，财政拨款收、支总计各减少129.73万元，下降13.59%。主要原因是人员退休，相应减少工资社保公用经费等财政拨款。</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824.60</w:t>
      </w:r>
      <w:r>
        <w:rPr>
          <w:rFonts w:ascii="方正仿宋_GBK" w:hAnsi="方正仿宋_GBK" w:eastAsia="方正仿宋_GBK" w:cs="方正仿宋_GBK"/>
          <w:sz w:val="32"/>
          <w:szCs w:val="32"/>
          <w:shd w:val="clear" w:color="auto" w:fill="FFFFFF"/>
        </w:rPr>
        <w:t>万元，与2023年度相比，减少110.98万元，下降11.86%。主要原因是本年度人员退休减少3人。较年初预算数增加74.26万元，增长9.90%。主要原因是人员正常晋升和补缴2022-2023年养老保险和职业年金增加的人员经费。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824.60</w:t>
      </w:r>
      <w:r>
        <w:rPr>
          <w:rFonts w:ascii="方正仿宋_GBK" w:hAnsi="方正仿宋_GBK" w:eastAsia="方正仿宋_GBK" w:cs="方正仿宋_GBK"/>
          <w:sz w:val="32"/>
          <w:szCs w:val="32"/>
          <w:shd w:val="clear" w:color="auto" w:fill="FFFFFF"/>
        </w:rPr>
        <w:t>万元，与2023年度相比，减少129.73万元，下降13.59%。主要原因是人员退休，相应减少工资社保公用经费等财政拨款。较年初预算数增加74.26万元，增长9.90%。主要原因是人员晋升和补缴2022-2023年养老保险和职业年金增加的人员经费。</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5"/>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万元，与2023年度相比，无增减，主要原因是本年无结转结余。</w:t>
      </w:r>
    </w:p>
    <w:p>
      <w:pPr>
        <w:pStyle w:val="11"/>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5"/>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%，较年初预算数减少2.01万元，下降95.71%，主要原因是人员减少，培训经费减少。</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176.86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21.45</w:t>
      </w:r>
      <w:r>
        <w:rPr>
          <w:rFonts w:ascii="方正仿宋_GBK" w:hAnsi="方正仿宋_GBK" w:eastAsia="方正仿宋_GBK" w:cs="方正仿宋_GBK"/>
          <w:sz w:val="32"/>
          <w:szCs w:val="32"/>
          <w:shd w:val="clear" w:color="auto" w:fill="FFFFFF"/>
        </w:rPr>
        <w:t>%，较年初预算数增加67.88万元，增长62.29%，主要原因是社保缴费基数调整，补缴2022-2023年因基数调整增加的缴费。</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（3）卫生健康支出22.28万元，占2.70%，较年初预算数减少1.68万元，下降7.01%，主要原因是本年退休3人，人员减少，缴费支出减少。</w:t>
      </w:r>
    </w:p>
    <w:p>
      <w:pPr>
        <w:pStyle w:val="11"/>
        <w:numPr>
          <w:ilvl w:val="0"/>
          <w:numId w:val="1"/>
        </w:numPr>
        <w:shd w:val="clear" w:color="auto" w:fill="FFFFFF"/>
        <w:spacing w:beforeAutospacing="0" w:afterAutospacing="0"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自然资源海洋气象等支出590.45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71.60</w:t>
      </w:r>
      <w:r>
        <w:rPr>
          <w:rFonts w:ascii="方正仿宋_GBK" w:hAnsi="方正仿宋_GBK" w:eastAsia="方正仿宋_GBK" w:cs="方正仿宋_GBK"/>
          <w:sz w:val="32"/>
          <w:szCs w:val="32"/>
          <w:shd w:val="clear" w:color="auto" w:fill="FFFFFF"/>
        </w:rPr>
        <w:t>%，较年初预算数增加3.90万元，增长0.66%，主要原因是</w:t>
      </w:r>
      <w:r>
        <w:rPr>
          <w:rFonts w:ascii="方正仿宋_GBK" w:hAnsi="方正仿宋_GBK" w:eastAsia="方正仿宋_GBK" w:cs="方正仿宋_GBK"/>
          <w:sz w:val="32"/>
          <w:szCs w:val="32"/>
        </w:rPr>
        <w:t>人员正常晋升薪资标准调高和补发绩效工资，人员费用增加。</w:t>
      </w:r>
    </w:p>
    <w:p>
      <w:pPr>
        <w:pStyle w:val="11"/>
        <w:numPr>
          <w:ilvl w:val="0"/>
          <w:numId w:val="1"/>
        </w:numPr>
        <w:shd w:val="clear" w:color="auto" w:fill="FFFFFF"/>
        <w:spacing w:beforeAutospacing="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住房保障支出34.92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4.23</w:t>
      </w:r>
      <w:r>
        <w:rPr>
          <w:rFonts w:ascii="方正仿宋_GBK" w:hAnsi="方正仿宋_GBK" w:eastAsia="方正仿宋_GBK" w:cs="方正仿宋_GBK"/>
          <w:sz w:val="32"/>
          <w:szCs w:val="32"/>
          <w:shd w:val="clear" w:color="auto" w:fill="FFFFFF"/>
        </w:rPr>
        <w:t>%，较年初预算数增加6.17万元，增长21.46%，主要原因是人员正常晋升，缴费基数调增。</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737.32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660.07</w:t>
      </w:r>
      <w:r>
        <w:rPr>
          <w:rFonts w:ascii="方正仿宋_GBK" w:hAnsi="方正仿宋_GBK" w:eastAsia="方正仿宋_GBK" w:cs="方正仿宋_GBK"/>
          <w:sz w:val="32"/>
          <w:szCs w:val="32"/>
          <w:shd w:val="clear" w:color="auto" w:fill="FFFFFF"/>
        </w:rPr>
        <w:t>万元，与2023年度相比，减少95.22万元，下降12.61%，主要原因是本年3人退休，工资社保等相应减少。人员经费用途主要包括</w:t>
      </w:r>
      <w:r>
        <w:rPr>
          <w:rFonts w:ascii="方正仿宋_GBK" w:hAnsi="方正仿宋_GBK" w:eastAsia="方正仿宋_GBK" w:cs="方正仿宋_GBK"/>
          <w:sz w:val="32"/>
          <w:szCs w:val="32"/>
        </w:rPr>
        <w:t>基本工资、津贴补贴、绩效工资、机关事业单位基本养老保险缴费、职业年金缴费、职工基本医疗保险缴费、其他社会保障费、住房公积金、医疗费、其他工资福利支出。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77.25</w:t>
      </w:r>
      <w:r>
        <w:rPr>
          <w:rFonts w:ascii="方正仿宋_GBK" w:hAnsi="方正仿宋_GBK" w:eastAsia="方正仿宋_GBK" w:cs="方正仿宋_GBK"/>
          <w:sz w:val="32"/>
          <w:szCs w:val="32"/>
          <w:shd w:val="clear" w:color="auto" w:fill="FFFFFF"/>
        </w:rPr>
        <w:t>万元，与2023年度相比，减少25.16万元，下降24.57%，主要原因是</w:t>
      </w:r>
      <w:r>
        <w:rPr>
          <w:rFonts w:ascii="方正仿宋_GBK" w:hAnsi="方正仿宋_GBK" w:eastAsia="方正仿宋_GBK" w:cs="方正仿宋_GBK"/>
          <w:sz w:val="32"/>
          <w:szCs w:val="32"/>
        </w:rPr>
        <w:t>人员发生退休且厉行节约，公用经费减少。公用经费用途主要包</w:t>
      </w:r>
      <w:r>
        <w:rPr>
          <w:rFonts w:ascii="方正仿宋_GBK" w:hAnsi="方正仿宋_GBK" w:eastAsia="方正仿宋_GBK" w:cs="方正仿宋_GBK"/>
          <w:sz w:val="32"/>
          <w:szCs w:val="32"/>
          <w:shd w:val="clear" w:color="auto" w:fill="FFFFFF"/>
        </w:rPr>
        <w:t>括</w:t>
      </w:r>
      <w:r>
        <w:rPr>
          <w:rFonts w:ascii="方正仿宋_GBK" w:hAnsi="方正仿宋_GBK" w:eastAsia="方正仿宋_GBK" w:cs="方正仿宋_GBK"/>
          <w:sz w:val="32"/>
          <w:szCs w:val="32"/>
        </w:rPr>
        <w:t>办公费、电费、邮电费、印刷费、差旅费、公务用车运行维护费、劳务费、其他商品和服务支出。</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三、财政拨款“三公”经费情况说明</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2.86</w:t>
      </w:r>
      <w:r>
        <w:rPr>
          <w:rFonts w:ascii="方正仿宋_GBK" w:hAnsi="方正仿宋_GBK" w:eastAsia="方正仿宋_GBK" w:cs="方正仿宋_GBK"/>
          <w:sz w:val="32"/>
          <w:szCs w:val="32"/>
          <w:shd w:val="clear" w:color="auto" w:fill="FFFFFF"/>
        </w:rPr>
        <w:t>万元，较年初预算数减少0.14万元，下降4.67%，主要原因是</w:t>
      </w:r>
      <w:r>
        <w:rPr>
          <w:rFonts w:ascii="方正仿宋_GBK" w:hAnsi="方正仿宋_GBK" w:eastAsia="方正仿宋_GBK" w:cs="方正仿宋_GBK"/>
          <w:sz w:val="32"/>
          <w:szCs w:val="32"/>
        </w:rPr>
        <w:t>一是认真贯彻落实中央</w:t>
      </w:r>
      <w:bookmarkStart w:id="0" w:name="_GoBack"/>
      <w:bookmarkEnd w:id="0"/>
      <w:r>
        <w:rPr>
          <w:rFonts w:ascii="方正仿宋_GBK" w:hAnsi="方正仿宋_GBK" w:eastAsia="方正仿宋_GBK" w:cs="方正仿宋_GBK"/>
          <w:sz w:val="32"/>
          <w:szCs w:val="32"/>
        </w:rPr>
        <w:t>八项规定精神和厉行节约要求，按照只减不增的要求从严控制三公经费，全年实际支出较预算和决算均有所下降。二是严格落实公车使用规定，严禁公车私用，公车运行维护成本大幅下降。三是强化公务接待支出管理，严格遵守公务接待开支范围和开支标准，无公务接待费。四是进一步规范因公出国（境）活动，2023年未安排单位人员出国出访</w:t>
      </w:r>
      <w:r>
        <w:rPr>
          <w:rFonts w:ascii="方正仿宋_GBK" w:hAnsi="方正仿宋_GBK" w:eastAsia="方正仿宋_GBK" w:cs="方正仿宋_GBK"/>
          <w:sz w:val="32"/>
          <w:szCs w:val="32"/>
          <w:shd w:val="clear" w:color="auto" w:fill="FFFFFF"/>
        </w:rPr>
        <w:t>。较上年支出数减少0.60万元，下降17.34%，主要原因是</w:t>
      </w:r>
      <w:r>
        <w:rPr>
          <w:rFonts w:ascii="方正仿宋_GBK" w:hAnsi="方正仿宋_GBK" w:eastAsia="方正仿宋_GBK" w:cs="方正仿宋_GBK"/>
          <w:sz w:val="32"/>
          <w:szCs w:val="32"/>
        </w:rPr>
        <w:t>本年严控支出，减少下乡外出，所以公务用车费用减少。</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2.86</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车辆运行加油费、过路费、车辆维修费。</w:t>
      </w:r>
      <w:r>
        <w:rPr>
          <w:rFonts w:ascii="方正仿宋_GBK" w:hAnsi="方正仿宋_GBK" w:eastAsia="方正仿宋_GBK" w:cs="方正仿宋_GBK"/>
          <w:sz w:val="32"/>
          <w:szCs w:val="32"/>
          <w:shd w:val="clear" w:color="auto" w:fill="FFFFFF"/>
        </w:rPr>
        <w:t>费用支出较年初预算数减少0.14万元，下降4.67%，主要原因是厉行节约，</w:t>
      </w:r>
      <w:r>
        <w:rPr>
          <w:rFonts w:ascii="方正仿宋_GBK" w:hAnsi="方正仿宋_GBK" w:eastAsia="方正仿宋_GBK" w:cs="方正仿宋_GBK"/>
          <w:sz w:val="32"/>
          <w:szCs w:val="32"/>
        </w:rPr>
        <w:t>加强公务车管理，合理安排出行路径</w:t>
      </w:r>
      <w:r>
        <w:rPr>
          <w:rFonts w:ascii="方正仿宋_GBK" w:hAnsi="方正仿宋_GBK" w:eastAsia="方正仿宋_GBK" w:cs="方正仿宋_GBK"/>
          <w:sz w:val="32"/>
          <w:szCs w:val="32"/>
          <w:shd w:val="clear" w:color="auto" w:fill="FFFFFF"/>
        </w:rPr>
        <w:t>。较上年支出数减少0.60万元，下降17.34%，主要原因是本年严控支出，减少下乡外出，所以公务用车费用减少。</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2.86</w:t>
      </w:r>
      <w:r>
        <w:rPr>
          <w:rFonts w:ascii="方正仿宋_GBK" w:hAnsi="方正仿宋_GBK" w:eastAsia="方正仿宋_GBK" w:cs="方正仿宋_GBK"/>
          <w:sz w:val="32"/>
          <w:szCs w:val="32"/>
          <w:shd w:val="clear" w:color="auto" w:fill="FFFFFF"/>
        </w:rPr>
        <w:t>万元。</w:t>
      </w:r>
    </w:p>
    <w:p>
      <w:pPr>
        <w:pStyle w:val="11"/>
        <w:shd w:val="clear" w:color="auto" w:fill="FFFFFF"/>
        <w:spacing w:before="0" w:beforeAutospacing="0" w:after="0" w:afterAutospacing="0" w:line="596" w:lineRule="exact"/>
        <w:ind w:firstLine="643" w:firstLineChars="200"/>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四、其他需要说明的事项</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万元，与2023年度相比，无增减，主要原因是本年未发生会议费。本年度培训费支出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万元，与2023年度相比，减少1.57万元，下降90.75%，主要原因是本年减少职工党员远程教育培训费。</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6"/>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1"/>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7"/>
        <w:spacing w:before="0" w:beforeAutospacing="0" w:after="0" w:afterAutospacing="0" w:line="596" w:lineRule="exact"/>
        <w:ind w:firstLine="643" w:firstLineChars="200"/>
        <w:rPr>
          <w:rStyle w:val="15"/>
          <w:rFonts w:ascii="黑体" w:hAnsi="黑体" w:eastAsia="黑体" w:cs="黑体"/>
          <w:sz w:val="32"/>
          <w:szCs w:val="32"/>
          <w:shd w:val="clear" w:color="auto" w:fill="FFFFFF"/>
        </w:rPr>
      </w:pPr>
      <w:r>
        <w:rPr>
          <w:rStyle w:val="15"/>
          <w:rFonts w:hint="eastAsia" w:ascii="黑体" w:hAnsi="黑体" w:eastAsia="黑体" w:cs="黑体"/>
          <w:sz w:val="32"/>
          <w:szCs w:val="32"/>
          <w:shd w:val="clear" w:color="auto" w:fill="FFFFFF"/>
        </w:rPr>
        <w:t>五、2024年度预算绩效管理情况说明</w:t>
      </w:r>
    </w:p>
    <w:p>
      <w:pPr>
        <w:pStyle w:val="17"/>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7"/>
        <w:autoSpaceDE w:val="0"/>
        <w:spacing w:before="0" w:beforeAutospacing="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根据预算绩效管理要求，我单位2个二级项目开展了绩效自评，涉及财政拨款项目支出资金87.27万元。</w:t>
      </w:r>
    </w:p>
    <w:p>
      <w:pPr>
        <w:pStyle w:val="17"/>
        <w:autoSpaceDE w:val="0"/>
        <w:spacing w:before="0" w:beforeAutospacing="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绩效自评表格：</w:t>
      </w:r>
    </w:p>
    <w:tbl>
      <w:tblPr>
        <w:tblStyle w:val="12"/>
        <w:tblpPr w:leftFromText="180" w:rightFromText="180" w:vertAnchor="text" w:horzAnchor="page" w:tblpX="1395" w:tblpY="903"/>
        <w:tblOverlap w:val="never"/>
        <w:tblW w:w="9646" w:type="dxa"/>
        <w:tblInd w:w="0" w:type="dxa"/>
        <w:tblLayout w:type="fixed"/>
        <w:tblCellMar>
          <w:top w:w="0" w:type="dxa"/>
          <w:left w:w="108" w:type="dxa"/>
          <w:bottom w:w="0" w:type="dxa"/>
          <w:right w:w="108" w:type="dxa"/>
        </w:tblCellMar>
      </w:tblPr>
      <w:tblGrid>
        <w:gridCol w:w="852"/>
        <w:gridCol w:w="966"/>
        <w:gridCol w:w="345"/>
        <w:gridCol w:w="769"/>
        <w:gridCol w:w="152"/>
        <w:gridCol w:w="257"/>
        <w:gridCol w:w="80"/>
        <w:gridCol w:w="225"/>
        <w:gridCol w:w="371"/>
        <w:gridCol w:w="465"/>
        <w:gridCol w:w="563"/>
        <w:gridCol w:w="255"/>
        <w:gridCol w:w="558"/>
        <w:gridCol w:w="21"/>
        <w:gridCol w:w="631"/>
        <w:gridCol w:w="138"/>
        <w:gridCol w:w="131"/>
        <w:gridCol w:w="85"/>
        <w:gridCol w:w="140"/>
        <w:gridCol w:w="563"/>
        <w:gridCol w:w="206"/>
        <w:gridCol w:w="493"/>
        <w:gridCol w:w="405"/>
        <w:gridCol w:w="68"/>
        <w:gridCol w:w="907"/>
      </w:tblGrid>
      <w:tr>
        <w:tblPrEx>
          <w:tblCellMar>
            <w:top w:w="0" w:type="dxa"/>
            <w:left w:w="108" w:type="dxa"/>
            <w:bottom w:w="0" w:type="dxa"/>
            <w:right w:w="108" w:type="dxa"/>
          </w:tblCellMar>
        </w:tblPrEx>
        <w:trPr>
          <w:trHeight w:val="321" w:hRule="atLeast"/>
        </w:trPr>
        <w:tc>
          <w:tcPr>
            <w:tcW w:w="9646"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ascii="微软雅黑" w:hAnsi="微软雅黑" w:eastAsia="微软雅黑" w:cs="微软雅黑"/>
                <w:b/>
                <w:bCs/>
                <w:color w:val="000000"/>
                <w:sz w:val="13"/>
                <w:szCs w:val="13"/>
              </w:rPr>
            </w:pPr>
            <w:r>
              <w:rPr>
                <w:rFonts w:ascii="微软雅黑" w:hAnsi="微软雅黑" w:eastAsia="微软雅黑" w:cs="微软雅黑"/>
                <w:b/>
                <w:bCs/>
                <w:color w:val="000000"/>
                <w:sz w:val="13"/>
                <w:szCs w:val="13"/>
                <w:lang w:bidi="ar"/>
              </w:rPr>
              <w:t>2024年度二级项目绩效自评表</w:t>
            </w:r>
          </w:p>
        </w:tc>
      </w:tr>
      <w:tr>
        <w:tblPrEx>
          <w:tblCellMar>
            <w:top w:w="0" w:type="dxa"/>
            <w:left w:w="108" w:type="dxa"/>
            <w:bottom w:w="0" w:type="dxa"/>
            <w:right w:w="108" w:type="dxa"/>
          </w:tblCellMar>
        </w:tblPrEx>
        <w:trPr>
          <w:trHeight w:val="160" w:hRule="atLeast"/>
        </w:trPr>
        <w:tc>
          <w:tcPr>
            <w:tcW w:w="9646"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1" w:firstLineChars="100"/>
              <w:jc w:val="right"/>
              <w:textAlignment w:val="center"/>
              <w:rPr>
                <w:rFonts w:hint="default" w:cs="宋体"/>
                <w:b/>
                <w:bCs/>
                <w:color w:val="DA3232"/>
                <w:sz w:val="13"/>
                <w:szCs w:val="13"/>
              </w:rPr>
            </w:pPr>
            <w:r>
              <w:rPr>
                <w:rFonts w:cs="宋体"/>
                <w:b/>
                <w:bCs/>
                <w:color w:val="DA3232"/>
                <w:sz w:val="13"/>
                <w:szCs w:val="13"/>
                <w:lang w:bidi="ar"/>
              </w:rPr>
              <w:t>状态：绩效审核已审</w:t>
            </w:r>
          </w:p>
        </w:tc>
      </w:tr>
      <w:tr>
        <w:tblPrEx>
          <w:tblCellMar>
            <w:top w:w="0" w:type="dxa"/>
            <w:left w:w="108" w:type="dxa"/>
            <w:bottom w:w="0" w:type="dxa"/>
            <w:right w:w="108" w:type="dxa"/>
          </w:tblCellMar>
        </w:tblPrEx>
        <w:trPr>
          <w:trHeight w:val="521"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textAlignment w:val="center"/>
              <w:rPr>
                <w:rFonts w:hint="default" w:cs="宋体"/>
                <w:b/>
                <w:bCs/>
                <w:color w:val="000000"/>
                <w:sz w:val="13"/>
                <w:szCs w:val="13"/>
              </w:rPr>
            </w:pPr>
            <w:r>
              <w:rPr>
                <w:rFonts w:cs="宋体"/>
                <w:b/>
                <w:bCs/>
                <w:color w:val="000000"/>
                <w:sz w:val="13"/>
                <w:szCs w:val="13"/>
                <w:lang w:bidi="ar"/>
              </w:rPr>
              <w:t>项目名称：</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不动产登记办证数据整合</w:t>
            </w:r>
          </w:p>
        </w:tc>
        <w:tc>
          <w:tcPr>
            <w:tcW w:w="10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textAlignment w:val="center"/>
              <w:rPr>
                <w:rFonts w:hint="default" w:cs="宋体"/>
                <w:b/>
                <w:bCs/>
                <w:color w:val="000000"/>
                <w:sz w:val="13"/>
                <w:szCs w:val="13"/>
              </w:rPr>
            </w:pPr>
            <w:r>
              <w:rPr>
                <w:rFonts w:cs="宋体"/>
                <w:b/>
                <w:bCs/>
                <w:color w:val="000000"/>
                <w:sz w:val="13"/>
                <w:szCs w:val="13"/>
                <w:lang w:bidi="ar"/>
              </w:rPr>
              <w:t>项目编码：</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50023122T000000109523</w:t>
            </w:r>
          </w:p>
        </w:tc>
        <w:tc>
          <w:tcPr>
            <w:tcW w:w="10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textAlignment w:val="center"/>
              <w:rPr>
                <w:rFonts w:hint="default" w:cs="宋体"/>
                <w:b/>
                <w:bCs/>
                <w:color w:val="000000"/>
                <w:sz w:val="13"/>
                <w:szCs w:val="13"/>
              </w:rPr>
            </w:pPr>
            <w:r>
              <w:rPr>
                <w:rFonts w:cs="宋体"/>
                <w:b/>
                <w:bCs/>
                <w:color w:val="000000"/>
                <w:sz w:val="13"/>
                <w:szCs w:val="13"/>
                <w:lang w:bidi="ar"/>
              </w:rPr>
              <w:t>自评总分：</w:t>
            </w:r>
          </w:p>
        </w:tc>
        <w:tc>
          <w:tcPr>
            <w:tcW w:w="278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cs="宋体"/>
                <w:color w:val="000000"/>
                <w:sz w:val="13"/>
                <w:szCs w:val="13"/>
              </w:rPr>
            </w:pPr>
            <w:r>
              <w:rPr>
                <w:rFonts w:cs="宋体"/>
                <w:color w:val="000000"/>
                <w:sz w:val="13"/>
                <w:szCs w:val="13"/>
                <w:lang w:bidi="ar"/>
              </w:rPr>
              <w:t>98.00</w:t>
            </w:r>
          </w:p>
        </w:tc>
      </w:tr>
      <w:tr>
        <w:tblPrEx>
          <w:tblCellMar>
            <w:top w:w="0" w:type="dxa"/>
            <w:left w:w="108" w:type="dxa"/>
            <w:bottom w:w="0" w:type="dxa"/>
            <w:right w:w="108" w:type="dxa"/>
          </w:tblCellMar>
        </w:tblPrEx>
        <w:trPr>
          <w:trHeight w:val="463"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textAlignment w:val="center"/>
              <w:rPr>
                <w:rFonts w:hint="default" w:cs="宋体"/>
                <w:b/>
                <w:bCs/>
                <w:color w:val="000000"/>
                <w:sz w:val="13"/>
                <w:szCs w:val="13"/>
              </w:rPr>
            </w:pPr>
            <w:r>
              <w:rPr>
                <w:rFonts w:cs="宋体"/>
                <w:b/>
                <w:bCs/>
                <w:color w:val="000000"/>
                <w:sz w:val="13"/>
                <w:szCs w:val="13"/>
                <w:lang w:bidi="ar"/>
              </w:rPr>
              <w:t>项目主管部门：</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209-垫江县规划和自然资源局</w:t>
            </w:r>
          </w:p>
        </w:tc>
        <w:tc>
          <w:tcPr>
            <w:tcW w:w="10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textAlignment w:val="center"/>
              <w:rPr>
                <w:rFonts w:hint="default" w:cs="宋体"/>
                <w:b/>
                <w:bCs/>
                <w:color w:val="000000"/>
                <w:sz w:val="13"/>
                <w:szCs w:val="13"/>
              </w:rPr>
            </w:pPr>
            <w:r>
              <w:rPr>
                <w:rFonts w:cs="宋体"/>
                <w:b/>
                <w:bCs/>
                <w:color w:val="000000"/>
                <w:sz w:val="13"/>
                <w:szCs w:val="13"/>
                <w:lang w:bidi="ar"/>
              </w:rPr>
              <w:t>财政归口处室：</w:t>
            </w:r>
          </w:p>
        </w:tc>
        <w:tc>
          <w:tcPr>
            <w:tcW w:w="18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005-经建科</w:t>
            </w:r>
          </w:p>
        </w:tc>
        <w:tc>
          <w:tcPr>
            <w:tcW w:w="10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b/>
                <w:bCs/>
                <w:color w:val="000000"/>
                <w:sz w:val="13"/>
                <w:szCs w:val="13"/>
              </w:rPr>
            </w:pPr>
            <w:r>
              <w:rPr>
                <w:rFonts w:cs="宋体"/>
                <w:b/>
                <w:bCs/>
                <w:color w:val="000000"/>
                <w:sz w:val="13"/>
                <w:szCs w:val="13"/>
                <w:lang w:bidi="ar"/>
              </w:rPr>
              <w:t>部门联系人：</w:t>
            </w:r>
          </w:p>
        </w:tc>
        <w:tc>
          <w:tcPr>
            <w:tcW w:w="9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贺艳澐</w:t>
            </w:r>
          </w:p>
        </w:tc>
        <w:tc>
          <w:tcPr>
            <w:tcW w:w="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both"/>
              <w:textAlignment w:val="center"/>
              <w:rPr>
                <w:rFonts w:hint="default" w:cs="宋体"/>
                <w:b/>
                <w:bCs/>
                <w:color w:val="000000"/>
                <w:sz w:val="13"/>
                <w:szCs w:val="13"/>
              </w:rPr>
            </w:pPr>
            <w:r>
              <w:rPr>
                <w:rFonts w:cs="宋体"/>
                <w:b/>
                <w:bCs/>
                <w:color w:val="000000"/>
                <w:sz w:val="13"/>
                <w:szCs w:val="13"/>
                <w:lang w:bidi="ar"/>
              </w:rPr>
              <w:t>联系电话：</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eastAsia="宋体" w:cs="宋体"/>
                <w:color w:val="000000"/>
                <w:sz w:val="13"/>
                <w:szCs w:val="13"/>
                <w:lang w:val="en-US" w:eastAsia="zh-CN"/>
              </w:rPr>
            </w:pPr>
            <w:r>
              <w:rPr>
                <w:rFonts w:hint="eastAsia" w:cs="宋体"/>
                <w:color w:val="000000"/>
                <w:sz w:val="13"/>
                <w:szCs w:val="13"/>
                <w:lang w:val="en-US" w:eastAsia="zh-CN" w:bidi="ar"/>
              </w:rPr>
              <w:t>74521565</w:t>
            </w:r>
          </w:p>
        </w:tc>
      </w:tr>
      <w:tr>
        <w:tblPrEx>
          <w:tblCellMar>
            <w:top w:w="0" w:type="dxa"/>
            <w:left w:w="108" w:type="dxa"/>
            <w:bottom w:w="0" w:type="dxa"/>
            <w:right w:w="108" w:type="dxa"/>
          </w:tblCellMar>
        </w:tblPrEx>
        <w:trPr>
          <w:trHeight w:val="234" w:hRule="atLeast"/>
        </w:trPr>
        <w:tc>
          <w:tcPr>
            <w:tcW w:w="9646"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ascii="微软雅黑" w:hAnsi="微软雅黑" w:eastAsia="微软雅黑" w:cs="微软雅黑"/>
                <w:b/>
                <w:bCs/>
                <w:color w:val="808080"/>
                <w:sz w:val="13"/>
                <w:szCs w:val="13"/>
              </w:rPr>
            </w:pPr>
            <w:r>
              <w:rPr>
                <w:rFonts w:ascii="微软雅黑" w:hAnsi="微软雅黑" w:eastAsia="微软雅黑" w:cs="微软雅黑"/>
                <w:b/>
                <w:bCs/>
                <w:color w:val="808080"/>
                <w:sz w:val="13"/>
                <w:szCs w:val="13"/>
                <w:lang w:bidi="ar"/>
              </w:rPr>
              <w:t>资金情况</w:t>
            </w:r>
          </w:p>
        </w:tc>
      </w:tr>
      <w:tr>
        <w:tblPrEx>
          <w:tblCellMar>
            <w:top w:w="0" w:type="dxa"/>
            <w:left w:w="108" w:type="dxa"/>
            <w:bottom w:w="0" w:type="dxa"/>
            <w:right w:w="108" w:type="dxa"/>
          </w:tblCellMar>
        </w:tblPrEx>
        <w:trPr>
          <w:trHeight w:val="360"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cs="宋体"/>
                <w:color w:val="000000"/>
                <w:sz w:val="13"/>
                <w:szCs w:val="13"/>
              </w:rPr>
            </w:pPr>
          </w:p>
        </w:tc>
        <w:tc>
          <w:tcPr>
            <w:tcW w:w="15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年初预算数</w:t>
            </w:r>
          </w:p>
        </w:tc>
        <w:tc>
          <w:tcPr>
            <w:tcW w:w="17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全年（调整）预算数</w:t>
            </w:r>
          </w:p>
        </w:tc>
        <w:tc>
          <w:tcPr>
            <w:tcW w:w="16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全年执行数</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执行率</w:t>
            </w:r>
          </w:p>
        </w:tc>
        <w:tc>
          <w:tcPr>
            <w:tcW w:w="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执行率权重</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执行率得分</w:t>
            </w:r>
          </w:p>
        </w:tc>
      </w:tr>
      <w:tr>
        <w:tblPrEx>
          <w:tblCellMar>
            <w:top w:w="0" w:type="dxa"/>
            <w:left w:w="108" w:type="dxa"/>
            <w:bottom w:w="0" w:type="dxa"/>
            <w:right w:w="108" w:type="dxa"/>
          </w:tblCellMar>
        </w:tblPrEx>
        <w:trPr>
          <w:trHeight w:val="340"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hint="default" w:cs="宋体"/>
                <w:color w:val="000000"/>
                <w:sz w:val="13"/>
                <w:szCs w:val="13"/>
              </w:rPr>
            </w:pPr>
            <w:r>
              <w:rPr>
                <w:rFonts w:cs="宋体"/>
                <w:color w:val="000000"/>
                <w:sz w:val="13"/>
                <w:szCs w:val="13"/>
                <w:lang w:bidi="ar"/>
              </w:rPr>
              <w:t>年度总金额</w:t>
            </w:r>
          </w:p>
        </w:tc>
        <w:tc>
          <w:tcPr>
            <w:tcW w:w="15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600,000.00</w:t>
            </w:r>
          </w:p>
        </w:tc>
        <w:tc>
          <w:tcPr>
            <w:tcW w:w="17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464,756.34</w:t>
            </w:r>
          </w:p>
        </w:tc>
        <w:tc>
          <w:tcPr>
            <w:tcW w:w="16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464,756.34</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cs="宋体"/>
                <w:color w:val="000000"/>
                <w:sz w:val="13"/>
                <w:szCs w:val="13"/>
              </w:rPr>
            </w:pPr>
          </w:p>
        </w:tc>
        <w:tc>
          <w:tcPr>
            <w:tcW w:w="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cs="宋体"/>
                <w:color w:val="000000"/>
                <w:sz w:val="13"/>
                <w:szCs w:val="13"/>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cs="宋体"/>
                <w:color w:val="000000"/>
                <w:sz w:val="13"/>
                <w:szCs w:val="13"/>
              </w:rPr>
            </w:pPr>
          </w:p>
        </w:tc>
      </w:tr>
      <w:tr>
        <w:tblPrEx>
          <w:tblCellMar>
            <w:top w:w="0" w:type="dxa"/>
            <w:left w:w="108" w:type="dxa"/>
            <w:bottom w:w="0" w:type="dxa"/>
            <w:right w:w="108" w:type="dxa"/>
          </w:tblCellMar>
        </w:tblPrEx>
        <w:trPr>
          <w:trHeight w:val="360"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hint="default" w:cs="宋体"/>
                <w:color w:val="000000"/>
                <w:sz w:val="13"/>
                <w:szCs w:val="13"/>
              </w:rPr>
            </w:pPr>
            <w:r>
              <w:rPr>
                <w:rFonts w:cs="宋体"/>
                <w:color w:val="000000"/>
                <w:sz w:val="13"/>
                <w:szCs w:val="13"/>
                <w:lang w:bidi="ar"/>
              </w:rPr>
              <w:t>其中：财政拨款</w:t>
            </w:r>
          </w:p>
        </w:tc>
        <w:tc>
          <w:tcPr>
            <w:tcW w:w="15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600,000.00</w:t>
            </w:r>
          </w:p>
        </w:tc>
        <w:tc>
          <w:tcPr>
            <w:tcW w:w="17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464,756.34</w:t>
            </w:r>
          </w:p>
        </w:tc>
        <w:tc>
          <w:tcPr>
            <w:tcW w:w="16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464,756.34</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100</w:t>
            </w:r>
          </w:p>
        </w:tc>
        <w:tc>
          <w:tcPr>
            <w:tcW w:w="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10.00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center"/>
              <w:textAlignment w:val="center"/>
              <w:rPr>
                <w:rFonts w:hint="default" w:cs="宋体"/>
                <w:color w:val="000000"/>
                <w:sz w:val="13"/>
                <w:szCs w:val="13"/>
              </w:rPr>
            </w:pPr>
            <w:r>
              <w:rPr>
                <w:rFonts w:cs="宋体"/>
                <w:color w:val="000000"/>
                <w:sz w:val="13"/>
                <w:szCs w:val="13"/>
                <w:lang w:bidi="ar"/>
              </w:rPr>
              <w:t>10.00</w:t>
            </w:r>
          </w:p>
        </w:tc>
      </w:tr>
      <w:tr>
        <w:tblPrEx>
          <w:tblCellMar>
            <w:top w:w="0" w:type="dxa"/>
            <w:left w:w="108" w:type="dxa"/>
            <w:bottom w:w="0" w:type="dxa"/>
            <w:right w:w="108" w:type="dxa"/>
          </w:tblCellMar>
        </w:tblPrEx>
        <w:trPr>
          <w:trHeight w:val="320"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hint="default" w:cs="宋体"/>
                <w:color w:val="000000"/>
                <w:sz w:val="13"/>
                <w:szCs w:val="13"/>
              </w:rPr>
            </w:pPr>
            <w:r>
              <w:rPr>
                <w:rFonts w:cs="宋体"/>
                <w:color w:val="000000"/>
                <w:sz w:val="13"/>
                <w:szCs w:val="13"/>
                <w:lang w:bidi="ar"/>
              </w:rPr>
              <w:t>一般公共预算</w:t>
            </w:r>
          </w:p>
        </w:tc>
        <w:tc>
          <w:tcPr>
            <w:tcW w:w="15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600,000.00</w:t>
            </w:r>
          </w:p>
        </w:tc>
        <w:tc>
          <w:tcPr>
            <w:tcW w:w="17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464,756.34</w:t>
            </w:r>
          </w:p>
        </w:tc>
        <w:tc>
          <w:tcPr>
            <w:tcW w:w="16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464,756.34</w:t>
            </w:r>
          </w:p>
        </w:tc>
        <w:tc>
          <w:tcPr>
            <w:tcW w:w="11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color w:val="000000"/>
                <w:sz w:val="13"/>
                <w:szCs w:val="13"/>
              </w:rPr>
            </w:pPr>
            <w:r>
              <w:rPr>
                <w:rFonts w:cs="宋体"/>
                <w:color w:val="000000"/>
                <w:sz w:val="13"/>
                <w:szCs w:val="13"/>
                <w:lang w:bidi="ar"/>
              </w:rPr>
              <w:t>100</w:t>
            </w:r>
          </w:p>
        </w:tc>
        <w:tc>
          <w:tcPr>
            <w:tcW w:w="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cs="宋体"/>
                <w:color w:val="000000"/>
                <w:sz w:val="13"/>
                <w:szCs w:val="13"/>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rPr>
                <w:rFonts w:hint="default" w:cs="宋体"/>
                <w:color w:val="000000"/>
                <w:sz w:val="13"/>
                <w:szCs w:val="13"/>
              </w:rPr>
            </w:pPr>
          </w:p>
        </w:tc>
      </w:tr>
      <w:tr>
        <w:tblPrEx>
          <w:tblCellMar>
            <w:top w:w="0" w:type="dxa"/>
            <w:left w:w="108" w:type="dxa"/>
            <w:bottom w:w="0" w:type="dxa"/>
            <w:right w:w="108" w:type="dxa"/>
          </w:tblCellMar>
        </w:tblPrEx>
        <w:trPr>
          <w:trHeight w:val="340" w:hRule="atLeast"/>
        </w:trPr>
        <w:tc>
          <w:tcPr>
            <w:tcW w:w="9646"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ascii="微软雅黑" w:hAnsi="微软雅黑" w:eastAsia="微软雅黑" w:cs="微软雅黑"/>
                <w:b/>
                <w:bCs/>
                <w:color w:val="808080"/>
                <w:sz w:val="13"/>
                <w:szCs w:val="13"/>
              </w:rPr>
            </w:pPr>
            <w:r>
              <w:rPr>
                <w:rFonts w:ascii="微软雅黑" w:hAnsi="微软雅黑" w:eastAsia="微软雅黑" w:cs="微软雅黑"/>
                <w:b/>
                <w:bCs/>
                <w:color w:val="808080"/>
                <w:sz w:val="13"/>
                <w:szCs w:val="13"/>
                <w:lang w:bidi="ar"/>
              </w:rPr>
              <w:t>绩效目标</w:t>
            </w:r>
          </w:p>
        </w:tc>
      </w:tr>
      <w:tr>
        <w:tblPrEx>
          <w:tblCellMar>
            <w:top w:w="0" w:type="dxa"/>
            <w:left w:w="108" w:type="dxa"/>
            <w:bottom w:w="0" w:type="dxa"/>
            <w:right w:w="108" w:type="dxa"/>
          </w:tblCellMar>
        </w:tblPrEx>
        <w:trPr>
          <w:trHeight w:val="360" w:hRule="atLeast"/>
        </w:trPr>
        <w:tc>
          <w:tcPr>
            <w:tcW w:w="342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年初绩效目标</w:t>
            </w:r>
          </w:p>
        </w:tc>
        <w:tc>
          <w:tcPr>
            <w:tcW w:w="335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全年（调整）绩效目标</w:t>
            </w:r>
          </w:p>
        </w:tc>
        <w:tc>
          <w:tcPr>
            <w:tcW w:w="286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全年目标实际完成情况</w:t>
            </w:r>
          </w:p>
        </w:tc>
      </w:tr>
      <w:tr>
        <w:tblPrEx>
          <w:tblCellMar>
            <w:top w:w="0" w:type="dxa"/>
            <w:left w:w="108" w:type="dxa"/>
            <w:bottom w:w="0" w:type="dxa"/>
            <w:right w:w="108" w:type="dxa"/>
          </w:tblCellMar>
        </w:tblPrEx>
        <w:trPr>
          <w:trHeight w:val="1220" w:hRule="atLeast"/>
        </w:trPr>
        <w:tc>
          <w:tcPr>
            <w:tcW w:w="3421" w:type="dxa"/>
            <w:gridSpan w:val="7"/>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textAlignment w:val="top"/>
              <w:rPr>
                <w:rFonts w:hint="default" w:cs="宋体"/>
                <w:color w:val="000000"/>
                <w:sz w:val="13"/>
                <w:szCs w:val="13"/>
              </w:rPr>
            </w:pPr>
            <w:r>
              <w:rPr>
                <w:rFonts w:cs="宋体"/>
                <w:color w:val="000000"/>
                <w:sz w:val="13"/>
                <w:szCs w:val="13"/>
                <w:lang w:bidi="ar"/>
              </w:rPr>
              <w:t>提升政务服务水平助力优化营商环境。推进不动产办证标准化窗口建设，实行“一网通办”“一站式办公”。计划完成不动产产权登记 60000户、完成不动产抵押权登记60000户。完成档案查询40000次，完成档案数字化加工60000宗。</w:t>
            </w:r>
          </w:p>
        </w:tc>
        <w:tc>
          <w:tcPr>
            <w:tcW w:w="3358" w:type="dxa"/>
            <w:gridSpan w:val="10"/>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textAlignment w:val="top"/>
              <w:rPr>
                <w:rFonts w:hint="default" w:cs="宋体"/>
                <w:color w:val="000000"/>
                <w:sz w:val="13"/>
                <w:szCs w:val="13"/>
              </w:rPr>
            </w:pPr>
            <w:r>
              <w:rPr>
                <w:rFonts w:cs="宋体"/>
                <w:color w:val="000000"/>
                <w:sz w:val="13"/>
                <w:szCs w:val="13"/>
                <w:lang w:bidi="ar"/>
              </w:rPr>
              <w:t>提升政务服务水平助力优化营商环境。推进不动产办证标准化窗口建设，实行“一网通办”“一站式办公”。计划完成不动产产权登记20000户、完成不动产抵押权登记4801户。完成档案查询40000次，完成档案数字化加工20000宗。</w:t>
            </w:r>
          </w:p>
        </w:tc>
        <w:tc>
          <w:tcPr>
            <w:tcW w:w="2867" w:type="dxa"/>
            <w:gridSpan w:val="8"/>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textAlignment w:val="top"/>
              <w:rPr>
                <w:rFonts w:hint="default" w:cs="宋体"/>
                <w:color w:val="000000"/>
                <w:sz w:val="13"/>
                <w:szCs w:val="13"/>
              </w:rPr>
            </w:pPr>
            <w:r>
              <w:rPr>
                <w:rFonts w:cs="宋体"/>
                <w:color w:val="000000"/>
                <w:sz w:val="13"/>
                <w:szCs w:val="13"/>
                <w:lang w:bidi="ar"/>
              </w:rPr>
              <w:t>提升政务服务水平助力优化营商环境。推进不动产办证标准化窗口建设，实行“一网通办”“一站式办公”。计划完成不动产产权登记20000户、完成不动产抵押权登记4801户。完成档案查询40000次，完成档案数字化加工20000宗。</w:t>
            </w:r>
          </w:p>
        </w:tc>
      </w:tr>
      <w:tr>
        <w:tblPrEx>
          <w:tblCellMar>
            <w:top w:w="0" w:type="dxa"/>
            <w:left w:w="108" w:type="dxa"/>
            <w:bottom w:w="0" w:type="dxa"/>
            <w:right w:w="108" w:type="dxa"/>
          </w:tblCellMar>
        </w:tblPrEx>
        <w:trPr>
          <w:trHeight w:val="440" w:hRule="atLeast"/>
        </w:trPr>
        <w:tc>
          <w:tcPr>
            <w:tcW w:w="9646"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ascii="微软雅黑" w:hAnsi="微软雅黑" w:eastAsia="微软雅黑" w:cs="微软雅黑"/>
                <w:b/>
                <w:bCs/>
                <w:color w:val="808080"/>
                <w:sz w:val="13"/>
                <w:szCs w:val="13"/>
              </w:rPr>
            </w:pPr>
            <w:r>
              <w:rPr>
                <w:rFonts w:ascii="微软雅黑" w:hAnsi="微软雅黑" w:eastAsia="微软雅黑" w:cs="微软雅黑"/>
                <w:b/>
                <w:bCs/>
                <w:color w:val="808080"/>
                <w:sz w:val="13"/>
                <w:szCs w:val="13"/>
                <w:lang w:bidi="ar"/>
              </w:rPr>
              <w:t>绩效指标</w:t>
            </w: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指标名称</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计量单位</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指标性质</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指标值</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全年完成值</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偏离度（%）</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得分系数（%）</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指标权重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指标得分</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是否核心指标</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jc w:val="center"/>
              <w:textAlignment w:val="center"/>
              <w:rPr>
                <w:rFonts w:hint="default" w:cs="宋体"/>
                <w:b/>
                <w:bCs/>
                <w:color w:val="000000"/>
                <w:sz w:val="13"/>
                <w:szCs w:val="13"/>
              </w:rPr>
            </w:pPr>
            <w:r>
              <w:rPr>
                <w:rFonts w:cs="宋体"/>
                <w:b/>
                <w:bCs/>
                <w:color w:val="000000"/>
                <w:sz w:val="13"/>
                <w:szCs w:val="13"/>
                <w:lang w:bidi="ar"/>
              </w:rPr>
              <w:t>说明</w:t>
            </w: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不动产权属登记发放权证</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万件</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2.03</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档案查询</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次</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50000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51722</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3.44</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8</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8</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档案整理</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件</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810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textAlignment w:val="center"/>
              <w:rPr>
                <w:rFonts w:hint="default" w:cs="宋体"/>
                <w:color w:val="000000"/>
                <w:sz w:val="13"/>
                <w:szCs w:val="13"/>
              </w:rPr>
            </w:pPr>
            <w:r>
              <w:rPr>
                <w:rFonts w:cs="宋体"/>
                <w:color w:val="000000"/>
                <w:sz w:val="13"/>
                <w:szCs w:val="13"/>
                <w:lang w:bidi="ar"/>
              </w:rPr>
              <w:t>局机关统一采购</w:t>
            </w: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信息技术档案数字化加工服务</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张</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270000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273604</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1.33</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政务数据安全、业务培训费</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人/次</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40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40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办证、发证率</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工作日</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档案查询完成率</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98</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99</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1.02</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档案归档合格率</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不动产权属登记、发放权证时效</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工作日</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查询系统冗余、资源重复投入</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3</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档案查询、便民服务</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95</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95</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7</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7</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持续办理全县不动产登记服务</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服务对象满意度</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96</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96</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是</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不动产登记落地及数据提升</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元/年</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268000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268000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3</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不动产登记信息查询平台整合</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万元/年</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11</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11</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3</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档案印刷</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元/年</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7800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7800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档案整理</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元</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textAlignment w:val="center"/>
              <w:rPr>
                <w:rFonts w:hint="default" w:cs="宋体"/>
                <w:color w:val="000000"/>
                <w:sz w:val="13"/>
                <w:szCs w:val="13"/>
              </w:rPr>
            </w:pPr>
            <w:r>
              <w:rPr>
                <w:rFonts w:cs="宋体"/>
                <w:color w:val="000000"/>
                <w:sz w:val="13"/>
                <w:szCs w:val="13"/>
                <w:lang w:bidi="ar"/>
              </w:rPr>
              <w:t>局机关统一采购</w:t>
            </w: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电子签批屏与不动产登记系统的集成</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元</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textAlignment w:val="center"/>
              <w:rPr>
                <w:rFonts w:hint="default" w:cs="宋体"/>
                <w:color w:val="000000"/>
                <w:sz w:val="13"/>
                <w:szCs w:val="13"/>
              </w:rPr>
            </w:pPr>
            <w:r>
              <w:rPr>
                <w:rFonts w:cs="宋体"/>
                <w:color w:val="000000"/>
                <w:sz w:val="13"/>
                <w:szCs w:val="13"/>
                <w:lang w:bidi="ar"/>
              </w:rPr>
              <w:t>局机关统一采购</w:t>
            </w: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服务器维护</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元/年</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19050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19050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4</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4</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购买不动产权证、登记证明等</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元/年</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500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0.5</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市局更换采购单位，业务2025年继续</w:t>
            </w: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数字化房产测绘技术服务</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万元/年</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6</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6</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信息技术档案数字化加工服务</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元/张</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0.41</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0.41</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3</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3</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r>
        <w:tblPrEx>
          <w:tblCellMar>
            <w:top w:w="0" w:type="dxa"/>
            <w:left w:w="108" w:type="dxa"/>
            <w:bottom w:w="0" w:type="dxa"/>
            <w:right w:w="108" w:type="dxa"/>
          </w:tblCellMar>
        </w:tblPrEx>
        <w:trPr>
          <w:trHeight w:val="283" w:hRule="atLeast"/>
        </w:trPr>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hint="default" w:cs="宋体"/>
                <w:color w:val="000000"/>
                <w:sz w:val="13"/>
                <w:szCs w:val="13"/>
              </w:rPr>
            </w:pPr>
            <w:r>
              <w:rPr>
                <w:rFonts w:cs="宋体"/>
                <w:color w:val="000000"/>
                <w:sz w:val="13"/>
                <w:szCs w:val="13"/>
                <w:lang w:bidi="ar"/>
              </w:rPr>
              <w:t>政务数据安全、业务培训费</w:t>
            </w:r>
          </w:p>
        </w:tc>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元/年</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10000</w:t>
            </w:r>
          </w:p>
        </w:tc>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100</w:t>
            </w:r>
          </w:p>
        </w:tc>
        <w:tc>
          <w:tcPr>
            <w:tcW w:w="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jc w:val="right"/>
              <w:textAlignment w:val="center"/>
              <w:rPr>
                <w:rFonts w:hint="default" w:cs="宋体"/>
                <w:color w:val="000000"/>
                <w:sz w:val="13"/>
                <w:szCs w:val="13"/>
              </w:rPr>
            </w:pPr>
            <w:r>
              <w:rPr>
                <w:rFonts w:cs="宋体"/>
                <w:color w:val="000000"/>
                <w:sz w:val="13"/>
                <w:szCs w:val="13"/>
                <w:lang w:bidi="ar"/>
              </w:rPr>
              <w:t>2</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ind w:firstLine="130" w:firstLineChars="100"/>
              <w:textAlignment w:val="center"/>
              <w:rPr>
                <w:rFonts w:hint="default" w:cs="宋体"/>
                <w:color w:val="000000"/>
                <w:sz w:val="13"/>
                <w:szCs w:val="13"/>
              </w:rPr>
            </w:pPr>
            <w:r>
              <w:rPr>
                <w:rFonts w:cs="宋体"/>
                <w:color w:val="000000"/>
                <w:sz w:val="13"/>
                <w:szCs w:val="13"/>
                <w:lang w:bidi="ar"/>
              </w:rPr>
              <w:t>否</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hint="default" w:cs="宋体"/>
                <w:color w:val="000000"/>
                <w:sz w:val="13"/>
                <w:szCs w:val="13"/>
              </w:rPr>
            </w:pPr>
          </w:p>
        </w:tc>
      </w:tr>
    </w:tbl>
    <w:p>
      <w:pPr>
        <w:pStyle w:val="17"/>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6"/>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21"/>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6"/>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7"/>
        <w:autoSpaceDE w:val="0"/>
        <w:spacing w:before="0" w:beforeAutospacing="0" w:after="0" w:afterAutospacing="0" w:line="596" w:lineRule="exact"/>
        <w:rPr>
          <w:rFonts w:ascii="方正仿宋_GBK" w:hAnsi="方正仿宋_GBK" w:eastAsia="方正仿宋_GBK" w:cs="方正仿宋_GBK"/>
          <w:sz w:val="32"/>
          <w:szCs w:val="32"/>
        </w:rPr>
      </w:pPr>
      <w:r>
        <w:rPr>
          <w:rStyle w:val="15"/>
          <w:rFonts w:hint="eastAsia" w:ascii="黑体" w:hAnsi="黑体" w:eastAsia="黑体" w:cs="黑体"/>
          <w:sz w:val="32"/>
          <w:szCs w:val="32"/>
          <w:shd w:val="clear" w:color="auto" w:fill="FFFFFF"/>
        </w:rPr>
        <w:t xml:space="preserve">    六、专业名词解释</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7"/>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5"/>
          <w:rFonts w:hint="eastAsia" w:ascii="黑体" w:hAnsi="黑体" w:eastAsia="黑体" w:cs="黑体"/>
          <w:sz w:val="32"/>
          <w:szCs w:val="32"/>
          <w:shd w:val="clear" w:color="auto" w:fill="FFFFFF"/>
        </w:rPr>
        <w:t>七、决算公开联系方式及信息反馈渠道</w:t>
      </w:r>
    </w:p>
    <w:p>
      <w:pPr>
        <w:pStyle w:val="17"/>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6"/>
        <w:autoSpaceDE w:val="0"/>
        <w:spacing w:line="596"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吉老师  023-74684688</w:t>
      </w:r>
    </w:p>
    <w:p>
      <w:pPr>
        <w:pStyle w:val="17"/>
        <w:spacing w:before="0" w:beforeAutospacing="0" w:after="0" w:afterAutospacing="0" w:line="596" w:lineRule="exact"/>
        <w:rPr>
          <w:rFonts w:ascii="方正仿宋_GBK" w:hAnsi="方正仿宋_GBK" w:eastAsia="方正仿宋_GBK" w:cs="方正仿宋_GBK"/>
          <w:color w:val="FF0000"/>
          <w:sz w:val="32"/>
          <w:szCs w:val="32"/>
          <w:shd w:val="clear" w:color="auto" w:fill="FFFFFF"/>
        </w:rPr>
        <w:sectPr>
          <w:footerReference r:id="rId6" w:type="first"/>
          <w:headerReference r:id="rId3" w:type="default"/>
          <w:footerReference r:id="rId4" w:type="default"/>
          <w:footerReference r:id="rId5" w:type="even"/>
          <w:pgSz w:w="11850" w:h="16783"/>
          <w:pgMar w:top="1440" w:right="1417" w:bottom="1440" w:left="1417" w:header="0" w:footer="283" w:gutter="0"/>
          <w:pgNumType w:fmt="numberInDash"/>
          <w:cols w:space="0" w:num="1"/>
          <w:docGrid w:type="lines" w:linePitch="331" w:charSpace="0"/>
        </w:sectPr>
      </w:pPr>
    </w:p>
    <w:p>
      <w:pPr>
        <w:pStyle w:val="17"/>
        <w:spacing w:before="0" w:beforeAutospacing="0" w:after="0" w:afterAutospacing="0" w:line="596" w:lineRule="exact"/>
        <w:rPr>
          <w:rFonts w:ascii="方正仿宋_GBK" w:hAnsi="方正仿宋_GBK" w:eastAsia="方正仿宋_GBK" w:cs="方正仿宋_GBK"/>
          <w:color w:val="FF0000"/>
          <w:sz w:val="32"/>
          <w:szCs w:val="32"/>
          <w:shd w:val="clear" w:color="auto" w:fill="FFFFFF"/>
        </w:rPr>
      </w:pPr>
    </w:p>
    <w:tbl>
      <w:tblPr>
        <w:tblStyle w:val="12"/>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垫江县不动产登记中心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824.60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824.60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901.92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901.92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垫江县不动产登记中心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824.60</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824.60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503.18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503.18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垫江县不动产登记中心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901.92</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814.65</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87.28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176.86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667.77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580.50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667.77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580.50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87.28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580.50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垫江县不动产登记中心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824.60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824.60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824.60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垫江县不动产登记中心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824.60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737.32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503.18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垫江县不动产登记中心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660.07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77.25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垫江县不动产登记中心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垫江县不动产登记中心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垫江县不动产登记中心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16.95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80"/>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ind w:left="480"/>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ind w:left="480"/>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ind w:left="480"/>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8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80"/>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4FEC10"/>
    <w:multiLevelType w:val="singleLevel"/>
    <w:tmpl w:val="FF4FEC1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documentProtection w:enforcement="0"/>
  <w:defaultTabStop w:val="420"/>
  <w:drawingGridHorizontalSpacing w:val="120"/>
  <w:drawingGridVerticalSpacing w:val="165"/>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NzMzY2RkMmM1ZDhiNTI5NTNiZDJmMTAyNmVjNmQifQ=="/>
  </w:docVars>
  <w:rsids>
    <w:rsidRoot w:val="00B03CCD"/>
    <w:rsid w:val="000239C6"/>
    <w:rsid w:val="001D3BB7"/>
    <w:rsid w:val="002533F8"/>
    <w:rsid w:val="002B254B"/>
    <w:rsid w:val="0034050A"/>
    <w:rsid w:val="0044504F"/>
    <w:rsid w:val="00466C9B"/>
    <w:rsid w:val="00486CFC"/>
    <w:rsid w:val="00491DDD"/>
    <w:rsid w:val="00550ABE"/>
    <w:rsid w:val="005C31BA"/>
    <w:rsid w:val="00623A85"/>
    <w:rsid w:val="00770383"/>
    <w:rsid w:val="007819D4"/>
    <w:rsid w:val="007B419D"/>
    <w:rsid w:val="007B7C4B"/>
    <w:rsid w:val="007D3D39"/>
    <w:rsid w:val="0095467D"/>
    <w:rsid w:val="0097304D"/>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EE4C6A"/>
    <w:rsid w:val="00F73F90"/>
    <w:rsid w:val="00FB4B3B"/>
    <w:rsid w:val="01474EBF"/>
    <w:rsid w:val="01F3521E"/>
    <w:rsid w:val="03343D2F"/>
    <w:rsid w:val="03B87EA0"/>
    <w:rsid w:val="03E3214F"/>
    <w:rsid w:val="044C50BA"/>
    <w:rsid w:val="05913713"/>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B85BEE"/>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877752"/>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2DE03E7"/>
    <w:rsid w:val="3337290D"/>
    <w:rsid w:val="33E31118"/>
    <w:rsid w:val="33EF7674"/>
    <w:rsid w:val="342D7BC6"/>
    <w:rsid w:val="34D41001"/>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660BE"/>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4926C9"/>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835D8A"/>
    <w:rsid w:val="5CF66BF3"/>
    <w:rsid w:val="5D290C69"/>
    <w:rsid w:val="5DA80C2C"/>
    <w:rsid w:val="5F2D4A41"/>
    <w:rsid w:val="60C74F6C"/>
    <w:rsid w:val="61015958"/>
    <w:rsid w:val="61025A59"/>
    <w:rsid w:val="613D5BBC"/>
    <w:rsid w:val="61536C39"/>
    <w:rsid w:val="62944DD7"/>
    <w:rsid w:val="62E2598D"/>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28049B"/>
    <w:rsid w:val="68407834"/>
    <w:rsid w:val="6883293E"/>
    <w:rsid w:val="688412AD"/>
    <w:rsid w:val="68EB1B71"/>
    <w:rsid w:val="696C0310"/>
    <w:rsid w:val="6A6C7940"/>
    <w:rsid w:val="6A853AFB"/>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00" w:afterAutospacing="1"/>
    </w:pPr>
    <w:rPr>
      <w:rFonts w:cs="宋体"/>
    </w:rPr>
  </w:style>
  <w:style w:type="paragraph" w:styleId="3">
    <w:name w:val="Body Text Indent"/>
    <w:basedOn w:val="1"/>
    <w:qFormat/>
    <w:uiPriority w:val="0"/>
    <w:pPr>
      <w:snapToGrid w:val="0"/>
      <w:spacing w:after="120"/>
      <w:ind w:left="420" w:leftChars="200"/>
    </w:pPr>
    <w:rPr>
      <w:rFonts w:eastAsia="仿宋_GB2312"/>
      <w:sz w:val="32"/>
    </w:rPr>
  </w:style>
  <w:style w:type="paragraph" w:styleId="4">
    <w:name w:val="Balloon Text"/>
    <w:basedOn w:val="1"/>
    <w:link w:val="20"/>
    <w:qFormat/>
    <w:uiPriority w:val="0"/>
    <w:rPr>
      <w:sz w:val="18"/>
      <w:szCs w:val="18"/>
    </w:rPr>
  </w:style>
  <w:style w:type="paragraph" w:styleId="5">
    <w:name w:val="footer"/>
    <w:basedOn w:val="6"/>
    <w:next w:val="7"/>
    <w:qFormat/>
    <w:uiPriority w:val="0"/>
    <w:pPr>
      <w:tabs>
        <w:tab w:val="center" w:pos="4153"/>
        <w:tab w:val="right" w:pos="8306"/>
      </w:tabs>
    </w:pPr>
  </w:style>
  <w:style w:type="paragraph" w:customStyle="1" w:styleId="6">
    <w:name w:val="正文1"/>
    <w:basedOn w:val="3"/>
    <w:qFormat/>
    <w:uiPriority w:val="0"/>
    <w:pPr>
      <w:spacing w:line="500" w:lineRule="exact"/>
    </w:pPr>
    <w:rPr>
      <w:rFonts w:ascii="仿宋_GB2312"/>
      <w:color w:val="0000FF"/>
      <w:sz w:val="18"/>
      <w:szCs w:val="18"/>
    </w:rPr>
  </w:style>
  <w:style w:type="paragraph" w:customStyle="1" w:styleId="7">
    <w:name w:val="报告正文"/>
    <w:basedOn w:val="8"/>
    <w:qFormat/>
    <w:uiPriority w:val="0"/>
    <w:pPr>
      <w:spacing w:line="500" w:lineRule="exact"/>
      <w:ind w:firstLine="520"/>
    </w:pPr>
    <w:rPr>
      <w:color w:val="000000"/>
      <w:spacing w:val="10"/>
      <w:szCs w:val="20"/>
    </w:rPr>
  </w:style>
  <w:style w:type="paragraph" w:styleId="8">
    <w:name w:val="Body Text First Indent"/>
    <w:basedOn w:val="2"/>
    <w:qFormat/>
    <w:uiPriority w:val="0"/>
    <w:pPr>
      <w:ind w:firstLine="420" w:firstLineChars="100"/>
    </w:p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4"/>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4"/>
    <w:link w:val="4"/>
    <w:qFormat/>
    <w:uiPriority w:val="0"/>
    <w:rPr>
      <w:rFonts w:ascii="宋体" w:hAnsi="宋体"/>
      <w:sz w:val="18"/>
      <w:szCs w:val="18"/>
    </w:rPr>
  </w:style>
  <w:style w:type="paragraph" w:customStyle="1" w:styleId="21">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9883</Words>
  <Characters>12953</Characters>
  <Lines>115</Lines>
  <Paragraphs>32</Paragraphs>
  <TotalTime>7</TotalTime>
  <ScaleCrop>false</ScaleCrop>
  <LinksUpToDate>false</LinksUpToDate>
  <CharactersWithSpaces>14047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垫江县规划和自然资源局（本级）</cp:lastModifiedBy>
  <dcterms:modified xsi:type="dcterms:W3CDTF">2025-09-18T01:25:07Z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CE93315F4C704596AF91239EDB6D065A_13</vt:lpwstr>
  </property>
  <property fmtid="{D5CDD505-2E9C-101B-9397-08002B2CF9AE}" pid="4" name="KSOTemplateDocerSaveRecord">
    <vt:lpwstr>eyJoZGlkIjoiMDUwMjYyMTAwZTM5NTcxOGVhNzI3YWZjMDRhMjZkZDEifQ==</vt:lpwstr>
  </property>
</Properties>
</file>