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596" w:lineRule="exact"/>
        <w:ind w:left="48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垫江县地产服务中心</w:t>
      </w:r>
    </w:p>
    <w:p>
      <w:pPr>
        <w:pStyle w:val="11"/>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 xml:space="preserve">   2024</w:t>
      </w:r>
      <w:r>
        <w:rPr>
          <w:rFonts w:ascii="方正小标宋_GBK" w:hAnsi="方正小标宋_GBK" w:eastAsia="方正小标宋_GBK" w:cs="方正小标宋_GBK"/>
          <w:sz w:val="44"/>
          <w:szCs w:val="44"/>
          <w:shd w:val="clear" w:color="auto" w:fill="FFFFFF"/>
        </w:rPr>
        <w:t>年度决算公开说明</w:t>
      </w:r>
    </w:p>
    <w:p>
      <w:pPr>
        <w:pStyle w:val="11"/>
        <w:shd w:val="clear" w:color="auto" w:fill="FFFFFF"/>
        <w:spacing w:before="0" w:beforeAutospacing="0" w:after="0" w:afterAutospacing="0" w:line="596" w:lineRule="exact"/>
        <w:ind w:firstLine="643" w:firstLineChars="200"/>
        <w:rPr>
          <w:rFonts w:hint="default" w:ascii="黑体" w:hAnsi="黑体" w:eastAsia="黑体" w:cs="黑体"/>
          <w:sz w:val="32"/>
          <w:szCs w:val="32"/>
        </w:rPr>
      </w:pPr>
      <w:r>
        <w:rPr>
          <w:rStyle w:val="15"/>
          <w:rFonts w:ascii="黑体" w:hAnsi="黑体" w:eastAsia="黑体" w:cs="黑体"/>
          <w:sz w:val="32"/>
          <w:szCs w:val="32"/>
          <w:shd w:val="clear" w:color="auto" w:fill="FFFFFF"/>
        </w:rPr>
        <w:t>一、单位基本情况</w:t>
      </w:r>
    </w:p>
    <w:p>
      <w:pPr>
        <w:pStyle w:val="11"/>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（一）职能职责</w:t>
      </w:r>
    </w:p>
    <w:p>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（1）清理国有划拨土地使用权转让、出租和划拨土地补缴出让金审批；对全县土地二级市场的培育管理。</w:t>
      </w:r>
    </w:p>
    <w:p>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（2）负责对全县基准地价的调查、测算和城镇土地级别的更新；承担农用地分等定级工作。</w:t>
      </w:r>
    </w:p>
    <w:p>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（3）负责全县土地市场动态监测与管理，对闲置土地的清理和处置。</w:t>
      </w:r>
    </w:p>
    <w:p>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（4）负责国有土地使用权招标拍卖挂牌出让工作。</w:t>
      </w:r>
    </w:p>
    <w:p>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（5）负责全县土地供应年度计划的编制、报批及调整。</w:t>
      </w:r>
    </w:p>
    <w:p>
      <w:pPr>
        <w:widowControl w:val="0"/>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（6）负责农村土地交易报件和协调市农村土地交易所处理有关事务。</w:t>
      </w:r>
    </w:p>
    <w:p>
      <w:pPr>
        <w:pStyle w:val="11"/>
        <w:shd w:val="clear" w:color="auto" w:fill="FFFFFF"/>
        <w:spacing w:before="0" w:beforeAutospacing="0" w:after="0" w:afterAutospacing="0" w:line="596" w:lineRule="exact"/>
        <w:ind w:firstLine="420"/>
        <w:rPr>
          <w:rFonts w:hint="default" w:ascii="楷体" w:hAnsi="楷体" w:eastAsia="楷体" w:cs="楷体"/>
          <w:sz w:val="32"/>
          <w:szCs w:val="32"/>
        </w:rPr>
      </w:pPr>
      <w:r>
        <w:rPr>
          <w:rStyle w:val="15"/>
          <w:rFonts w:ascii="楷体" w:hAnsi="楷体" w:eastAsia="楷体" w:cs="楷体"/>
          <w:sz w:val="32"/>
          <w:szCs w:val="32"/>
          <w:shd w:val="clear" w:color="auto" w:fill="FFFFFF"/>
        </w:rPr>
        <w:t>（二）机构设置</w:t>
      </w:r>
    </w:p>
    <w:p>
      <w:pPr>
        <w:pStyle w:val="11"/>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仿宋" w:hAnsi="仿宋" w:eastAsia="仿宋"/>
          <w:sz w:val="32"/>
          <w:szCs w:val="32"/>
          <w:shd w:val="clear" w:color="auto" w:fill="FFFFFF"/>
        </w:rPr>
        <w:t>本单位属财政全额拨款的事业单位，为行政副科级单位，未设置独立的内设科室。</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二、单位决算收支情况说明</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1"/>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2024年度收入总计372.02万元，支出总计</w:t>
      </w:r>
      <w:r>
        <w:rPr>
          <w:rFonts w:ascii="方正仿宋_GBK" w:hAnsi="方正仿宋_GBK" w:eastAsia="方正仿宋_GBK" w:cs="方正仿宋_GBK"/>
          <w:sz w:val="32"/>
          <w:szCs w:val="32"/>
        </w:rPr>
        <w:t>372.02</w:t>
      </w:r>
      <w:r>
        <w:rPr>
          <w:rFonts w:ascii="方正仿宋_GBK" w:hAnsi="方正仿宋_GBK" w:eastAsia="方正仿宋_GBK" w:cs="方正仿宋_GBK"/>
          <w:sz w:val="32"/>
          <w:szCs w:val="32"/>
          <w:shd w:val="clear" w:color="auto" w:fill="FFFFFF"/>
        </w:rPr>
        <w:t>万元。收、支与2023年度相比，增加84.13万元，增长29.22%，主要原因是本年交易服务费增加。</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2024年度收入合计372.02万元，与2023年度相比，增加84.13万元，增长29.22%，主要原因是本年交易服务费增加。其中：财政拨款收入</w:t>
      </w:r>
      <w:r>
        <w:rPr>
          <w:rFonts w:ascii="方正仿宋_GBK" w:hAnsi="方正仿宋_GBK" w:eastAsia="方正仿宋_GBK" w:cs="方正仿宋_GBK"/>
          <w:sz w:val="32"/>
          <w:szCs w:val="32"/>
        </w:rPr>
        <w:t>198.55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53.37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173.48</w:t>
      </w:r>
      <w:r>
        <w:rPr>
          <w:rFonts w:ascii="方正仿宋_GBK" w:hAnsi="方正仿宋_GBK" w:eastAsia="方正仿宋_GBK" w:cs="方正仿宋_GBK"/>
          <w:sz w:val="32"/>
          <w:szCs w:val="32"/>
          <w:shd w:val="clear" w:color="auto" w:fill="FFFFFF"/>
        </w:rPr>
        <w:t>万元，占46.63%；经营收入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226.31</w:t>
      </w:r>
      <w:r>
        <w:rPr>
          <w:rFonts w:ascii="方正仿宋_GBK" w:hAnsi="方正仿宋_GBK" w:eastAsia="方正仿宋_GBK" w:cs="方正仿宋_GBK"/>
          <w:sz w:val="32"/>
          <w:szCs w:val="32"/>
          <w:shd w:val="clear" w:color="auto" w:fill="FFFFFF"/>
        </w:rPr>
        <w:t>万元，与2023年度相比，减少51.94万元，下降18.67%，主要原因是人员退休，人员经费和公用经费减少，项目资金相比去年减少了25.25万。其中：基本支出</w:t>
      </w:r>
      <w:r>
        <w:rPr>
          <w:rFonts w:ascii="方正仿宋_GBK" w:hAnsi="方正仿宋_GBK" w:eastAsia="方正仿宋_GBK" w:cs="方正仿宋_GBK"/>
          <w:sz w:val="32"/>
          <w:szCs w:val="32"/>
        </w:rPr>
        <w:t>213.91</w:t>
      </w:r>
      <w:r>
        <w:rPr>
          <w:rFonts w:ascii="方正仿宋_GBK" w:hAnsi="方正仿宋_GBK" w:eastAsia="方正仿宋_GBK" w:cs="方正仿宋_GBK"/>
          <w:sz w:val="32"/>
          <w:szCs w:val="32"/>
          <w:shd w:val="clear" w:color="auto" w:fill="FFFFFF"/>
        </w:rPr>
        <w:t>万元，占94.52%；项目支出</w:t>
      </w:r>
      <w:r>
        <w:rPr>
          <w:rFonts w:ascii="方正仿宋_GBK" w:hAnsi="方正仿宋_GBK" w:eastAsia="方正仿宋_GBK" w:cs="方正仿宋_GBK"/>
          <w:sz w:val="32"/>
          <w:szCs w:val="32"/>
        </w:rPr>
        <w:t>12.40</w:t>
      </w:r>
      <w:r>
        <w:rPr>
          <w:rFonts w:ascii="方正仿宋_GBK" w:hAnsi="方正仿宋_GBK" w:eastAsia="方正仿宋_GBK" w:cs="方正仿宋_GBK"/>
          <w:sz w:val="32"/>
          <w:szCs w:val="32"/>
          <w:shd w:val="clear" w:color="auto" w:fill="FFFFFF"/>
        </w:rPr>
        <w:t>万元，占5.48%；经营支出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145.72</w:t>
      </w:r>
      <w:r>
        <w:rPr>
          <w:rFonts w:ascii="方正仿宋_GBK" w:hAnsi="方正仿宋_GBK" w:eastAsia="方正仿宋_GBK" w:cs="方正仿宋_GBK"/>
          <w:sz w:val="32"/>
          <w:szCs w:val="32"/>
          <w:shd w:val="clear" w:color="auto" w:fill="FFFFFF"/>
        </w:rPr>
        <w:t>万元。</w:t>
      </w:r>
    </w:p>
    <w:p>
      <w:pPr>
        <w:pStyle w:val="11"/>
        <w:spacing w:before="0" w:beforeAutospacing="0" w:after="0" w:afterAutospacing="0" w:line="596" w:lineRule="exact"/>
        <w:ind w:firstLine="643" w:firstLineChars="200"/>
        <w:rPr>
          <w:rFonts w:hint="default" w:ascii="方正仿宋_GBK" w:hAnsi="方正仿宋_GBK" w:eastAsia="方正仿宋_GBK" w:cs="方正仿宋_GBK"/>
          <w:kern w:val="2"/>
          <w:sz w:val="32"/>
          <w:szCs w:val="32"/>
        </w:rPr>
      </w:pPr>
      <w:r>
        <w:rPr>
          <w:rStyle w:val="15"/>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本年度无结转结余</w:t>
      </w:r>
      <w:r>
        <w:rPr>
          <w:rFonts w:ascii="方正仿宋_GBK" w:hAnsi="方正仿宋_GBK" w:eastAsia="方正仿宋_GBK" w:cs="方正仿宋_GBK"/>
          <w:kern w:val="2"/>
          <w:sz w:val="32"/>
          <w:szCs w:val="32"/>
        </w:rPr>
        <w:t>。</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2024年度财政拨款收、支总计198.55万元。与2023年相比，财政拨款收、支总计各减少51.92万元，下降20.73%。主要原因是是人员退休，人员经费和公用经费减少，项目资金比去年减少了25.25万。</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198.55</w:t>
      </w:r>
      <w:r>
        <w:rPr>
          <w:rFonts w:ascii="方正仿宋_GBK" w:hAnsi="方正仿宋_GBK" w:eastAsia="方正仿宋_GBK" w:cs="方正仿宋_GBK"/>
          <w:sz w:val="32"/>
          <w:szCs w:val="32"/>
          <w:shd w:val="clear" w:color="auto" w:fill="FFFFFF"/>
        </w:rPr>
        <w:t>万元，与2023年度相比，减少51.92万元，下降20.73%。主要原因是人员退休，人员经费和公用经费减少，项目资金比去年减少了25.25万。较年初预算数增加24.02万元，增长13.76%。主要原因是人员晋升和补缴2022-2023年养老保险和职业年金增加的人员经费。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198.55</w:t>
      </w:r>
      <w:r>
        <w:rPr>
          <w:rFonts w:ascii="方正仿宋_GBK" w:hAnsi="方正仿宋_GBK" w:eastAsia="方正仿宋_GBK" w:cs="方正仿宋_GBK"/>
          <w:sz w:val="32"/>
          <w:szCs w:val="32"/>
          <w:shd w:val="clear" w:color="auto" w:fill="FFFFFF"/>
        </w:rPr>
        <w:t>万元，与2023年度相比，减少51.92万元，下降20.73%。主要原因是是人员退休，人员经费和公用经费减少，项目资金相比去年减少了25.25万。较年初预算数增加24.02万元，增长13.76%。主要原因是人员晋升和补缴2022-2023年养老保险和职业年金增加的人员经费。</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万元，与2023年度相比，无增减，主要原因是本年度及上年度均无结转结余。</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5"/>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%，较年初预算数减少0.43万元，下降97.73%，主要原因是本年安排职工培训较少。</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45.86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23.10</w:t>
      </w:r>
      <w:r>
        <w:rPr>
          <w:rFonts w:ascii="方正仿宋_GBK" w:hAnsi="方正仿宋_GBK" w:eastAsia="方正仿宋_GBK" w:cs="方正仿宋_GBK"/>
          <w:sz w:val="32"/>
          <w:szCs w:val="32"/>
          <w:shd w:val="clear" w:color="auto" w:fill="FFFFFF"/>
        </w:rPr>
        <w:t>%，较年初预算数增加15.32万元，增长50.16%，主要原因是</w:t>
      </w:r>
      <w:r>
        <w:rPr>
          <w:rFonts w:ascii="方正仿宋_GBK" w:hAnsi="方正仿宋_GBK" w:eastAsia="方正仿宋_GBK" w:cs="方正仿宋_GBK"/>
          <w:sz w:val="32"/>
          <w:szCs w:val="32"/>
        </w:rPr>
        <w:t>社保缴费基数调整，补缴2022-2023年因基数调整增加的缴费。</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2.80</w:t>
      </w:r>
      <w:r>
        <w:rPr>
          <w:rFonts w:ascii="方正仿宋_GBK" w:hAnsi="方正仿宋_GBK" w:eastAsia="方正仿宋_GBK" w:cs="方正仿宋_GBK"/>
          <w:sz w:val="32"/>
          <w:szCs w:val="32"/>
          <w:shd w:val="clear" w:color="auto" w:fill="FFFFFF"/>
        </w:rPr>
        <w:t>%，较年初预算数减少0.02万元，下降0.36%，主要原因是人员缴费基数调整。</w:t>
      </w:r>
    </w:p>
    <w:p>
      <w:pPr>
        <w:pStyle w:val="11"/>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自然资源海洋气象等支出137.75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w:t>
      </w:r>
      <w:r>
        <w:rPr>
          <w:rFonts w:ascii="方正仿宋_GBK" w:hAnsi="方正仿宋_GBK" w:eastAsia="方正仿宋_GBK" w:cs="方正仿宋_GBK"/>
          <w:sz w:val="32"/>
          <w:szCs w:val="32"/>
          <w:shd w:val="clear" w:color="auto" w:fill="FFFFFF"/>
        </w:rPr>
        <w:t>.38%，较年初预算数增加6.47万元，增长4.93%，主要原因是人员正常晋升薪资标准调高和补发绩效工资，人员费用增加。</w:t>
      </w:r>
    </w:p>
    <w:p>
      <w:pPr>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住房保障支出9.37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4.72</w:t>
      </w:r>
      <w:r>
        <w:rPr>
          <w:rFonts w:ascii="方正仿宋_GBK" w:hAnsi="方正仿宋_GBK" w:eastAsia="方正仿宋_GBK" w:cs="方正仿宋_GBK"/>
          <w:sz w:val="32"/>
          <w:szCs w:val="32"/>
          <w:shd w:val="clear" w:color="auto" w:fill="FFFFFF"/>
        </w:rPr>
        <w:t>%，较年初预算数增加2.68万元，增长40.06%，主要原因是公积金缴费基数调整，缴费支出增加。</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186.15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万元，与2023年度相比，减少16.66万元，下降8.93%，主要原因是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本年减少1人，减少2023年补发了以前年度绩效工资，所以人员经费减少。人员经费用途主要包括基本工资、津贴补贴、奖金、绩效工资、社会保障缴费、公积金缴费。公用经费</w:t>
      </w:r>
      <w:r>
        <w:rPr>
          <w:rFonts w:ascii="方正仿宋_GBK" w:hAnsi="方正仿宋_GBK" w:eastAsia="方正仿宋_GBK" w:cs="方正仿宋_GBK"/>
          <w:color w:val="000000" w:themeColor="text1"/>
          <w:sz w:val="32"/>
          <w:szCs w:val="32"/>
          <w14:textFill>
            <w14:solidFill>
              <w14:schemeClr w14:val="tx1"/>
            </w14:solidFill>
          </w14:textFill>
        </w:rPr>
        <w:t>16.14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万元，与2023年度相比，减少10.02万元，下降38.30%，主要原因是本年减少1人，同时厉行节约，压减一般性支出。公用经费用途主要</w:t>
      </w:r>
      <w:r>
        <w:rPr>
          <w:rFonts w:ascii="方正仿宋_GBK" w:hAnsi="方正仿宋_GBK" w:eastAsia="方正仿宋_GBK" w:cs="方正仿宋_GBK"/>
          <w:sz w:val="32"/>
          <w:szCs w:val="32"/>
          <w:shd w:val="clear" w:color="auto" w:fill="FFFFFF"/>
        </w:rPr>
        <w:t>包括办公费、印刷费、咨询费、手续费、水电费、电话费、差旅费、劳务费、培训费、福利费、公务用车运行维护费、其他商品和服务支出等。</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三、财政拨款“三公”经费情况说明</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万元，较年初预算数减少0.03万元，下降1.00%，主要原因是认真贯彻落实中央</w:t>
      </w:r>
      <w:bookmarkStart w:id="0" w:name="_GoBack"/>
      <w:bookmarkEnd w:id="0"/>
      <w:r>
        <w:rPr>
          <w:rFonts w:ascii="方正仿宋_GBK" w:hAnsi="方正仿宋_GBK" w:eastAsia="方正仿宋_GBK" w:cs="方正仿宋_GBK"/>
          <w:sz w:val="32"/>
          <w:szCs w:val="32"/>
          <w:shd w:val="clear" w:color="auto" w:fill="FFFFFF"/>
        </w:rPr>
        <w:t>八项规定精神和厉行节约要求，按照只减不增的要求从严控制三公经费，全年实际支出较预算有所下降。较上年支出数减少0.66万元，下降18.18%，主要原因是本年与其他科室合署办公，下乡减少，公车使用相应减少。</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主要用于全县土地市场动态监测所需车辆的燃料费、维修费、过桥过路费、保险费等。费用支出较年初预算数减少0.03万元，下降1.00%，主要原因是加强公务车管理，合理安排出行路径，减少油耗。较上年支出数减少0.66万元，下降18.18%，主要原因是本年与其他科室合署办公，下乡减少，公车使用相应减少。</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四、其他需要说明的事项</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万元，与2023年度相比，无增减，主要原因是本年未发生会议费。本年度培训费支出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万元，与2023年度相比，减少0.14万元，下降93.33%，主要原因是本年度减少职工继续教育培训。</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五、2024年度预算绩效管理情况说明</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根据预算绩效管理要求，我单位对3个二级项目开展了绩效自评，涉及财政拨款项目支出资金12.4万元。</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绩效自评表格：</w:t>
      </w:r>
    </w:p>
    <w:tbl>
      <w:tblPr>
        <w:tblStyle w:val="12"/>
        <w:tblW w:w="5000" w:type="pct"/>
        <w:tblInd w:w="0" w:type="dxa"/>
        <w:tblLayout w:type="fixed"/>
        <w:tblCellMar>
          <w:top w:w="0" w:type="dxa"/>
          <w:left w:w="108" w:type="dxa"/>
          <w:bottom w:w="0" w:type="dxa"/>
          <w:right w:w="108" w:type="dxa"/>
        </w:tblCellMar>
      </w:tblPr>
      <w:tblGrid>
        <w:gridCol w:w="973"/>
        <w:gridCol w:w="573"/>
        <w:gridCol w:w="201"/>
        <w:gridCol w:w="532"/>
        <w:gridCol w:w="162"/>
        <w:gridCol w:w="314"/>
        <w:gridCol w:w="512"/>
        <w:gridCol w:w="682"/>
        <w:gridCol w:w="135"/>
        <w:gridCol w:w="635"/>
        <w:gridCol w:w="142"/>
        <w:gridCol w:w="653"/>
        <w:gridCol w:w="220"/>
        <w:gridCol w:w="524"/>
        <w:gridCol w:w="188"/>
        <w:gridCol w:w="56"/>
        <w:gridCol w:w="179"/>
        <w:gridCol w:w="490"/>
        <w:gridCol w:w="268"/>
        <w:gridCol w:w="604"/>
        <w:gridCol w:w="488"/>
      </w:tblGrid>
      <w:tr>
        <w:tblPrEx>
          <w:tblCellMar>
            <w:top w:w="0" w:type="dxa"/>
            <w:left w:w="108" w:type="dxa"/>
            <w:bottom w:w="0" w:type="dxa"/>
            <w:right w:w="108" w:type="dxa"/>
          </w:tblCellMar>
        </w:tblPrEx>
        <w:trPr>
          <w:trHeight w:val="800"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lang w:bidi="ar"/>
              </w:rPr>
              <w:t>2024年度二级项目绩效自评表</w:t>
            </w:r>
          </w:p>
        </w:tc>
      </w:tr>
      <w:tr>
        <w:tblPrEx>
          <w:tblCellMar>
            <w:top w:w="0" w:type="dxa"/>
            <w:left w:w="108" w:type="dxa"/>
            <w:bottom w:w="0" w:type="dxa"/>
            <w:right w:w="108" w:type="dxa"/>
          </w:tblCellMar>
        </w:tblPrEx>
        <w:trPr>
          <w:trHeight w:val="500"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1" w:firstLineChars="100"/>
              <w:jc w:val="right"/>
              <w:textAlignment w:val="center"/>
              <w:rPr>
                <w:rFonts w:hint="default" w:cs="宋体"/>
                <w:b/>
                <w:bCs/>
                <w:color w:val="DA3232"/>
                <w:sz w:val="18"/>
                <w:szCs w:val="18"/>
              </w:rPr>
            </w:pPr>
            <w:r>
              <w:rPr>
                <w:rFonts w:cs="宋体"/>
                <w:b/>
                <w:bCs/>
                <w:color w:val="DA3232"/>
                <w:sz w:val="18"/>
                <w:szCs w:val="18"/>
                <w:lang w:bidi="ar"/>
              </w:rPr>
              <w:t>状态：绩效审核已审</w:t>
            </w: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项目名称：</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闲置土地处置</w:t>
            </w:r>
          </w:p>
        </w:tc>
        <w:tc>
          <w:tcPr>
            <w:tcW w:w="5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项目编码：</w:t>
            </w:r>
          </w:p>
        </w:tc>
        <w:tc>
          <w:tcPr>
            <w:tcW w:w="9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50023122T000000110044</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自评总分：</w:t>
            </w:r>
          </w:p>
        </w:tc>
        <w:tc>
          <w:tcPr>
            <w:tcW w:w="163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lang w:bidi="ar"/>
              </w:rPr>
              <w:t>100.00</w:t>
            </w:r>
          </w:p>
        </w:tc>
      </w:tr>
      <w:tr>
        <w:tblPrEx>
          <w:tblCellMar>
            <w:top w:w="0" w:type="dxa"/>
            <w:left w:w="108" w:type="dxa"/>
            <w:bottom w:w="0" w:type="dxa"/>
            <w:right w:w="108" w:type="dxa"/>
          </w:tblCellMar>
        </w:tblPrEx>
        <w:trPr>
          <w:trHeight w:val="84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项目主管部门：</w:t>
            </w:r>
          </w:p>
        </w:tc>
        <w:tc>
          <w:tcPr>
            <w:tcW w:w="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209-垫江县规划和自然资源局</w:t>
            </w:r>
          </w:p>
        </w:tc>
        <w:tc>
          <w:tcPr>
            <w:tcW w:w="5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财政归口处室：</w:t>
            </w:r>
          </w:p>
        </w:tc>
        <w:tc>
          <w:tcPr>
            <w:tcW w:w="9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005-经建科</w:t>
            </w:r>
          </w:p>
        </w:tc>
        <w:tc>
          <w:tcPr>
            <w:tcW w:w="5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部门联系人：</w:t>
            </w:r>
          </w:p>
        </w:tc>
        <w:tc>
          <w:tcPr>
            <w:tcW w:w="5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徐明红</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18"/>
                <w:szCs w:val="18"/>
              </w:rPr>
            </w:pPr>
            <w:r>
              <w:rPr>
                <w:rFonts w:cs="宋体"/>
                <w:b/>
                <w:bCs/>
                <w:color w:val="000000"/>
                <w:sz w:val="18"/>
                <w:szCs w:val="18"/>
                <w:lang w:bidi="ar"/>
              </w:rPr>
              <w:t>联系电话：</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8"/>
                <w:szCs w:val="18"/>
              </w:rPr>
            </w:pPr>
            <w:r>
              <w:rPr>
                <w:rFonts w:cs="宋体"/>
                <w:color w:val="000000"/>
                <w:sz w:val="18"/>
                <w:szCs w:val="18"/>
                <w:lang w:bidi="ar"/>
              </w:rPr>
              <w:t>74684676</w:t>
            </w:r>
          </w:p>
        </w:tc>
      </w:tr>
      <w:tr>
        <w:tblPrEx>
          <w:tblCellMar>
            <w:top w:w="0" w:type="dxa"/>
            <w:left w:w="108" w:type="dxa"/>
            <w:bottom w:w="0" w:type="dxa"/>
            <w:right w:w="108" w:type="dxa"/>
          </w:tblCellMar>
        </w:tblPrEx>
        <w:trPr>
          <w:trHeight w:val="331"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资金情况</w:t>
            </w:r>
          </w:p>
        </w:tc>
      </w:tr>
      <w:tr>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18"/>
                <w:szCs w:val="18"/>
              </w:rPr>
            </w:pP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年初预算数</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全年（调整）预算数</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全年执行数</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执行率</w:t>
            </w: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18"/>
                <w:szCs w:val="18"/>
              </w:rPr>
            </w:pPr>
            <w:r>
              <w:rPr>
                <w:rFonts w:cs="宋体"/>
                <w:b/>
                <w:bCs/>
                <w:color w:val="000000"/>
                <w:sz w:val="18"/>
                <w:szCs w:val="18"/>
                <w:lang w:bidi="ar"/>
              </w:rPr>
              <w:t>执行率权重</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执行率得分</w:t>
            </w:r>
          </w:p>
        </w:tc>
      </w:tr>
      <w:tr>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r>
              <w:rPr>
                <w:rFonts w:cs="宋体"/>
                <w:color w:val="000000"/>
                <w:sz w:val="18"/>
                <w:szCs w:val="18"/>
                <w:lang w:bidi="ar"/>
              </w:rPr>
              <w:t>年度总金额</w:t>
            </w: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65,000.00 </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40,000.00 </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40,000.00 </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r>
              <w:rPr>
                <w:rFonts w:cs="宋体"/>
                <w:color w:val="000000"/>
                <w:sz w:val="18"/>
                <w:szCs w:val="18"/>
                <w:lang w:bidi="ar"/>
              </w:rPr>
              <w:t>其中：财政拨款</w:t>
            </w: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65,000.00 </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40,000.00 </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40,000.00 </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18"/>
                <w:szCs w:val="18"/>
              </w:rPr>
            </w:pPr>
            <w:r>
              <w:rPr>
                <w:rFonts w:cs="宋体"/>
                <w:color w:val="000000"/>
                <w:sz w:val="18"/>
                <w:szCs w:val="18"/>
                <w:lang w:bidi="ar"/>
              </w:rPr>
              <w:t>10.00</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 xml:space="preserve">10.00 </w:t>
            </w:r>
          </w:p>
        </w:tc>
      </w:tr>
      <w:tr>
        <w:tblPrEx>
          <w:tblCellMar>
            <w:top w:w="0" w:type="dxa"/>
            <w:left w:w="108" w:type="dxa"/>
            <w:bottom w:w="0" w:type="dxa"/>
            <w:right w:w="108" w:type="dxa"/>
          </w:tblCellMar>
        </w:tblPrEx>
        <w:trPr>
          <w:trHeight w:val="5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r>
              <w:rPr>
                <w:rFonts w:cs="宋体"/>
                <w:color w:val="000000"/>
                <w:sz w:val="18"/>
                <w:szCs w:val="18"/>
                <w:lang w:bidi="ar"/>
              </w:rPr>
              <w:t>一般公共预算</w:t>
            </w:r>
          </w:p>
        </w:tc>
        <w:tc>
          <w:tcPr>
            <w:tcW w:w="7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65,000.00 </w:t>
            </w:r>
          </w:p>
        </w:tc>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40,000.00 </w:t>
            </w:r>
          </w:p>
        </w:tc>
        <w:tc>
          <w:tcPr>
            <w:tcW w:w="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 xml:space="preserve">40,000.00 </w:t>
            </w:r>
          </w:p>
        </w:tc>
        <w:tc>
          <w:tcPr>
            <w:tcW w:w="5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18"/>
                <w:szCs w:val="18"/>
              </w:rPr>
            </w:pPr>
            <w:r>
              <w:rPr>
                <w:rFonts w:cs="宋体"/>
                <w:color w:val="000000"/>
                <w:sz w:val="18"/>
                <w:szCs w:val="18"/>
                <w:lang w:bidi="ar"/>
              </w:rPr>
              <w:t>100</w:t>
            </w:r>
          </w:p>
        </w:tc>
        <w:tc>
          <w:tcPr>
            <w:tcW w:w="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18"/>
                <w:szCs w:val="18"/>
              </w:rPr>
            </w:pPr>
          </w:p>
        </w:tc>
      </w:tr>
      <w:tr>
        <w:tblPrEx>
          <w:tblCellMar>
            <w:top w:w="0" w:type="dxa"/>
            <w:left w:w="108" w:type="dxa"/>
            <w:bottom w:w="0" w:type="dxa"/>
            <w:right w:w="108" w:type="dxa"/>
          </w:tblCellMar>
        </w:tblPrEx>
        <w:trPr>
          <w:trHeight w:val="600"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绩效目标</w:t>
            </w:r>
          </w:p>
        </w:tc>
      </w:tr>
      <w:tr>
        <w:tblPrEx>
          <w:tblCellMar>
            <w:top w:w="0" w:type="dxa"/>
            <w:left w:w="108" w:type="dxa"/>
            <w:bottom w:w="0" w:type="dxa"/>
            <w:right w:w="108" w:type="dxa"/>
          </w:tblCellMar>
        </w:tblPrEx>
        <w:trPr>
          <w:trHeight w:val="395" w:hRule="atLeast"/>
        </w:trPr>
        <w:tc>
          <w:tcPr>
            <w:tcW w:w="191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年初绩效目标</w:t>
            </w:r>
          </w:p>
        </w:tc>
        <w:tc>
          <w:tcPr>
            <w:tcW w:w="186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全年（调整）绩效目标</w:t>
            </w:r>
          </w:p>
        </w:tc>
        <w:tc>
          <w:tcPr>
            <w:tcW w:w="122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全年目标实际完成情况</w:t>
            </w:r>
          </w:p>
        </w:tc>
      </w:tr>
      <w:tr>
        <w:tblPrEx>
          <w:tblCellMar>
            <w:top w:w="0" w:type="dxa"/>
            <w:left w:w="108" w:type="dxa"/>
            <w:bottom w:w="0" w:type="dxa"/>
            <w:right w:w="108" w:type="dxa"/>
          </w:tblCellMar>
        </w:tblPrEx>
        <w:trPr>
          <w:trHeight w:val="1047" w:hRule="atLeast"/>
        </w:trPr>
        <w:tc>
          <w:tcPr>
            <w:tcW w:w="1915" w:type="pct"/>
            <w:gridSpan w:val="7"/>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8"/>
                <w:szCs w:val="18"/>
              </w:rPr>
            </w:pPr>
            <w:r>
              <w:rPr>
                <w:rFonts w:cs="宋体"/>
                <w:color w:val="000000"/>
                <w:sz w:val="18"/>
                <w:szCs w:val="18"/>
                <w:lang w:bidi="ar"/>
              </w:rPr>
              <w:t>根据国土资源部令第53号《闲置土地处置办法》，进行闲置土地调查认定处置工作，规范土地市场，提高土地利用率。</w:t>
            </w:r>
          </w:p>
        </w:tc>
        <w:tc>
          <w:tcPr>
            <w:tcW w:w="1863" w:type="pct"/>
            <w:gridSpan w:val="8"/>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18"/>
                <w:szCs w:val="18"/>
              </w:rPr>
            </w:pPr>
          </w:p>
        </w:tc>
        <w:tc>
          <w:tcPr>
            <w:tcW w:w="1220" w:type="pct"/>
            <w:gridSpan w:val="6"/>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8"/>
                <w:szCs w:val="18"/>
              </w:rPr>
            </w:pPr>
            <w:r>
              <w:rPr>
                <w:rFonts w:cs="宋体"/>
                <w:color w:val="000000"/>
                <w:sz w:val="18"/>
                <w:szCs w:val="18"/>
                <w:lang w:bidi="ar"/>
              </w:rPr>
              <w:t>规范土地市场，提高土地利用率。</w:t>
            </w:r>
          </w:p>
        </w:tc>
      </w:tr>
      <w:tr>
        <w:tblPrEx>
          <w:tblCellMar>
            <w:top w:w="0" w:type="dxa"/>
            <w:left w:w="108" w:type="dxa"/>
            <w:bottom w:w="0" w:type="dxa"/>
            <w:right w:w="108" w:type="dxa"/>
          </w:tblCellMar>
        </w:tblPrEx>
        <w:trPr>
          <w:trHeight w:val="358"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绩效指标</w:t>
            </w:r>
          </w:p>
        </w:tc>
      </w:tr>
      <w:tr>
        <w:tblPrEx>
          <w:tblCellMar>
            <w:top w:w="0" w:type="dxa"/>
            <w:left w:w="108" w:type="dxa"/>
            <w:bottom w:w="0" w:type="dxa"/>
            <w:right w:w="108" w:type="dxa"/>
          </w:tblCellMar>
        </w:tblPrEx>
        <w:trPr>
          <w:trHeight w:val="12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指标名称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计量单位</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指标性质</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全年完成值</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偏离度（%）</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得分系数（%）</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指标权重</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指标得分</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是否核心指标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18"/>
                <w:szCs w:val="18"/>
              </w:rPr>
            </w:pPr>
            <w:r>
              <w:rPr>
                <w:rFonts w:cs="宋体"/>
                <w:b/>
                <w:bCs/>
                <w:color w:val="000000"/>
                <w:sz w:val="18"/>
                <w:szCs w:val="18"/>
                <w:lang w:bidi="ar"/>
              </w:rPr>
              <w:t>说明</w:t>
            </w: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登报次数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12</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勘测次数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宗</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3</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评估次数</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宗</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354"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复工率</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闲置土地处置率</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信息公开度</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疑是土地处置时间</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月</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疑是土地调查时间</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月</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收回土地使用权</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督促企业开工建设，规范土地市场</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231"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满意度</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95</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登报成本</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元/人·次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7</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勘测成本</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元/人·次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5000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5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lang w:bidi="ar"/>
              </w:rPr>
              <w:t>评估成本</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元/人·次</w:t>
            </w:r>
          </w:p>
        </w:tc>
        <w:tc>
          <w:tcPr>
            <w:tcW w:w="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20000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0</w:t>
            </w:r>
          </w:p>
        </w:tc>
        <w:tc>
          <w:tcPr>
            <w:tcW w:w="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100</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textAlignment w:val="center"/>
              <w:rPr>
                <w:rFonts w:hint="default" w:cs="宋体"/>
                <w:color w:val="000000"/>
                <w:sz w:val="18"/>
                <w:szCs w:val="18"/>
              </w:rPr>
            </w:pPr>
            <w:r>
              <w:rPr>
                <w:rFonts w:cs="宋体"/>
                <w:color w:val="000000"/>
                <w:sz w:val="18"/>
                <w:szCs w:val="18"/>
                <w:lang w:bidi="ar"/>
              </w:rPr>
              <w:t>6.5</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textAlignment w:val="center"/>
              <w:rPr>
                <w:rFonts w:hint="default" w:cs="宋体"/>
                <w:color w:val="000000"/>
                <w:sz w:val="18"/>
                <w:szCs w:val="18"/>
              </w:rPr>
            </w:pPr>
            <w:r>
              <w:rPr>
                <w:rFonts w:cs="宋体"/>
                <w:color w:val="000000"/>
                <w:sz w:val="18"/>
                <w:szCs w:val="18"/>
                <w:lang w:bidi="ar"/>
              </w:rPr>
              <w:t>否</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18"/>
                <w:szCs w:val="18"/>
              </w:rPr>
            </w:pPr>
          </w:p>
        </w:tc>
      </w:tr>
    </w:tbl>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六、专业名词解释</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shd w:val="clear" w:color="auto" w:fill="FFFFFF"/>
        <w:spacing w:before="0" w:beforeAutospacing="0" w:after="0" w:afterAutospacing="0" w:line="596" w:lineRule="exact"/>
        <w:ind w:firstLine="643" w:firstLineChars="200"/>
        <w:rPr>
          <w:rStyle w:val="15"/>
          <w:rFonts w:hint="default" w:ascii="方正仿宋_GBK" w:hAnsi="方正仿宋_GBK" w:eastAsia="方正仿宋_GBK" w:cs="方正仿宋_GBK"/>
          <w:sz w:val="32"/>
          <w:szCs w:val="32"/>
          <w:shd w:val="clear" w:color="auto" w:fill="FFFFFF"/>
        </w:rPr>
      </w:pPr>
      <w:r>
        <w:rPr>
          <w:rStyle w:val="15"/>
          <w:rFonts w:ascii="黑体" w:hAnsi="黑体" w:eastAsia="黑体" w:cs="黑体"/>
          <w:sz w:val="32"/>
          <w:szCs w:val="32"/>
          <w:shd w:val="clear" w:color="auto" w:fill="FFFFFF"/>
        </w:rPr>
        <w:t>七、决算公开联系方式及信息反馈渠道</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吉老师 023-74684688</w:t>
      </w:r>
    </w:p>
    <w:p>
      <w:pPr>
        <w:pStyle w:val="16"/>
        <w:autoSpaceDE w:val="0"/>
        <w:spacing w:line="596" w:lineRule="exact"/>
        <w:ind w:firstLine="0" w:firstLineChars="0"/>
        <w:rPr>
          <w:rStyle w:val="15"/>
          <w:rFonts w:ascii="方正仿宋_GBK" w:hAnsi="方正仿宋_GBK" w:eastAsia="方正仿宋_GBK" w:cs="方正仿宋_GBK"/>
          <w:sz w:val="32"/>
          <w:szCs w:val="32"/>
          <w:shd w:val="clear" w:color="auto" w:fill="FFFF00"/>
        </w:rPr>
        <w:sectPr>
          <w:footerReference r:id="rId5" w:type="first"/>
          <w:footerReference r:id="rId3" w:type="default"/>
          <w:footerReference r:id="rId4" w:type="even"/>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垫江县地产服务中心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372.02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垫江县地产服务中心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372.02</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198.55</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173.48</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311.23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173.48</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311.23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173.48</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自然资源行业业务管理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298.83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173.48</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垫江县地产服务中心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226.31</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213.91</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12.40</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165.51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165.51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自然资源行业业务管理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垫江县地产服务中心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垫江县地产服务中心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198.55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125.35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125.35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自然资源行业业务管理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125.35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125.35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垫江县地产服务中心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170.00</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垫江县地产服务中心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垫江县地产服务中心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垫江县地产服务中心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left="480"/>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ind w:left="480"/>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ind w:left="480"/>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ind w:left="480"/>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NzMzY2RkMmM1ZDhiNTI5NTNiZDJmMTAyNmVjNmQifQ=="/>
  </w:docVars>
  <w:rsids>
    <w:rsidRoot w:val="00B03CCD"/>
    <w:rsid w:val="000239C6"/>
    <w:rsid w:val="001D3BB7"/>
    <w:rsid w:val="00242361"/>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D83756"/>
    <w:rsid w:val="00E74141"/>
    <w:rsid w:val="00F73F90"/>
    <w:rsid w:val="00F767A4"/>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C42165"/>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5A1A0E"/>
    <w:rsid w:val="24B92327"/>
    <w:rsid w:val="24C14514"/>
    <w:rsid w:val="2533755C"/>
    <w:rsid w:val="25791755"/>
    <w:rsid w:val="26396DF4"/>
    <w:rsid w:val="27167136"/>
    <w:rsid w:val="271B442C"/>
    <w:rsid w:val="27B23302"/>
    <w:rsid w:val="29310A5F"/>
    <w:rsid w:val="29C37A35"/>
    <w:rsid w:val="2A076083"/>
    <w:rsid w:val="2A331ED6"/>
    <w:rsid w:val="2A73162E"/>
    <w:rsid w:val="2A8821CA"/>
    <w:rsid w:val="2B167953"/>
    <w:rsid w:val="2B200583"/>
    <w:rsid w:val="2B8209DE"/>
    <w:rsid w:val="2C636760"/>
    <w:rsid w:val="2C6762A3"/>
    <w:rsid w:val="2CBE11FA"/>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B37523"/>
    <w:rsid w:val="3F032E93"/>
    <w:rsid w:val="3F0527E5"/>
    <w:rsid w:val="3F694D83"/>
    <w:rsid w:val="3F885DCC"/>
    <w:rsid w:val="3FCD675E"/>
    <w:rsid w:val="4004000C"/>
    <w:rsid w:val="405C74FF"/>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487F38"/>
    <w:rsid w:val="495C4A24"/>
    <w:rsid w:val="497135DF"/>
    <w:rsid w:val="4A263DF2"/>
    <w:rsid w:val="4A6F6675"/>
    <w:rsid w:val="4B135857"/>
    <w:rsid w:val="4B755B24"/>
    <w:rsid w:val="4B7951CB"/>
    <w:rsid w:val="4B7C315C"/>
    <w:rsid w:val="4DAC4ACA"/>
    <w:rsid w:val="4DBE01D2"/>
    <w:rsid w:val="4F0C6BA3"/>
    <w:rsid w:val="4F186D58"/>
    <w:rsid w:val="50F06B6E"/>
    <w:rsid w:val="51D21804"/>
    <w:rsid w:val="51DD04B2"/>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6E1D26"/>
    <w:rsid w:val="62944DD7"/>
    <w:rsid w:val="6319381F"/>
    <w:rsid w:val="63C25DC5"/>
    <w:rsid w:val="63C62057"/>
    <w:rsid w:val="64311E0A"/>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1A0822"/>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00" w:afterAutospacing="1"/>
    </w:pPr>
    <w:rPr>
      <w:rFonts w:cs="宋体"/>
    </w:rPr>
  </w:style>
  <w:style w:type="paragraph" w:styleId="3">
    <w:name w:val="Body Text Indent"/>
    <w:basedOn w:val="1"/>
    <w:qFormat/>
    <w:uiPriority w:val="0"/>
    <w:pPr>
      <w:snapToGrid w:val="0"/>
      <w:spacing w:after="120"/>
      <w:ind w:left="420" w:leftChars="200"/>
    </w:pPr>
    <w:rPr>
      <w:rFonts w:eastAsia="仿宋_GB2312"/>
      <w:sz w:val="32"/>
    </w:rPr>
  </w:style>
  <w:style w:type="paragraph" w:styleId="4">
    <w:name w:val="Balloon Text"/>
    <w:basedOn w:val="1"/>
    <w:link w:val="20"/>
    <w:qFormat/>
    <w:uiPriority w:val="0"/>
    <w:rPr>
      <w:sz w:val="18"/>
      <w:szCs w:val="18"/>
    </w:rPr>
  </w:style>
  <w:style w:type="paragraph" w:styleId="5">
    <w:name w:val="footer"/>
    <w:basedOn w:val="6"/>
    <w:next w:val="7"/>
    <w:qFormat/>
    <w:uiPriority w:val="0"/>
    <w:pPr>
      <w:tabs>
        <w:tab w:val="center" w:pos="4153"/>
        <w:tab w:val="right" w:pos="8306"/>
      </w:tabs>
    </w:pPr>
  </w:style>
  <w:style w:type="paragraph" w:customStyle="1" w:styleId="6">
    <w:name w:val="正文1"/>
    <w:basedOn w:val="3"/>
    <w:qFormat/>
    <w:uiPriority w:val="0"/>
    <w:pPr>
      <w:spacing w:line="500" w:lineRule="exact"/>
    </w:pPr>
    <w:rPr>
      <w:rFonts w:ascii="仿宋_GB2312"/>
      <w:color w:val="0000FF"/>
      <w:sz w:val="18"/>
      <w:szCs w:val="18"/>
    </w:rPr>
  </w:style>
  <w:style w:type="paragraph" w:customStyle="1" w:styleId="7">
    <w:name w:val="报告正文"/>
    <w:basedOn w:val="8"/>
    <w:qFormat/>
    <w:uiPriority w:val="0"/>
    <w:pPr>
      <w:spacing w:line="500" w:lineRule="exact"/>
      <w:ind w:firstLine="520"/>
    </w:pPr>
    <w:rPr>
      <w:color w:val="000000"/>
      <w:spacing w:val="10"/>
      <w:szCs w:val="20"/>
    </w:rPr>
  </w:style>
  <w:style w:type="paragraph" w:styleId="8">
    <w:name w:val="Body Text First Indent"/>
    <w:basedOn w:val="2"/>
    <w:qFormat/>
    <w:uiPriority w:val="0"/>
    <w:pPr>
      <w:ind w:firstLine="420" w:firstLineChars="100"/>
    </w:p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2324</Words>
  <Characters>13252</Characters>
  <Lines>110</Lines>
  <Paragraphs>31</Paragraphs>
  <TotalTime>5</TotalTime>
  <ScaleCrop>false</ScaleCrop>
  <LinksUpToDate>false</LinksUpToDate>
  <CharactersWithSpaces>15545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dcterms:modified xsi:type="dcterms:W3CDTF">2025-09-18T01:25:46Z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9C2660C90906486198E41A549730ABCC_13</vt:lpwstr>
  </property>
  <property fmtid="{D5CDD505-2E9C-101B-9397-08002B2CF9AE}" pid="4" name="KSOTemplateDocerSaveRecord">
    <vt:lpwstr>eyJoZGlkIjoiMDUwMjYyMTAwZTM5NTcxOGVhNzI3YWZjMDRhMjZkZDEifQ==</vt:lpwstr>
  </property>
</Properties>
</file>