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line="596" w:lineRule="exact"/>
        <w:ind w:firstLine="44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垫江县规划和自然资源局</w:t>
      </w:r>
    </w:p>
    <w:p>
      <w:pPr>
        <w:pStyle w:val="12"/>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2"/>
        <w:shd w:val="clear" w:color="auto" w:fill="FFFFFF"/>
        <w:spacing w:before="0" w:beforeAutospacing="0" w:after="0" w:afterAutospacing="0" w:line="596" w:lineRule="exact"/>
        <w:ind w:firstLine="643" w:firstLineChars="200"/>
        <w:rPr>
          <w:rFonts w:hint="default" w:ascii="黑体" w:hAnsi="黑体" w:eastAsia="黑体" w:cs="黑体"/>
          <w:sz w:val="32"/>
          <w:szCs w:val="32"/>
        </w:rPr>
      </w:pPr>
      <w:r>
        <w:rPr>
          <w:rStyle w:val="16"/>
          <w:rFonts w:ascii="黑体" w:hAnsi="黑体" w:eastAsia="黑体" w:cs="黑体"/>
          <w:sz w:val="32"/>
          <w:szCs w:val="32"/>
          <w:shd w:val="clear" w:color="auto" w:fill="FFFFFF"/>
        </w:rPr>
        <w:t>一、部门基本情况</w:t>
      </w:r>
    </w:p>
    <w:p>
      <w:pPr>
        <w:pStyle w:val="12"/>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（一）职能职责</w:t>
      </w:r>
    </w:p>
    <w:p>
      <w:pPr>
        <w:pStyle w:val="12"/>
        <w:shd w:val="clear" w:color="auto" w:fill="FFFFFF"/>
        <w:spacing w:before="0" w:beforeAutospacing="0" w:after="0" w:afterAutospacing="0" w:line="596" w:lineRule="exact"/>
        <w:ind w:firstLine="640" w:firstLineChars="200"/>
        <w:rPr>
          <w:rFonts w:hint="default" w:ascii="方正仿宋_GBK" w:hAnsi="仿宋_GB2312" w:eastAsia="方正仿宋_GBK" w:cs="仿宋_GB2312"/>
          <w:kern w:val="2"/>
          <w:sz w:val="32"/>
          <w:szCs w:val="22"/>
        </w:rPr>
      </w:pPr>
      <w:r>
        <w:rPr>
          <w:rFonts w:ascii="方正仿宋_GBK" w:hAnsi="仿宋_GB2312" w:eastAsia="方正仿宋_GBK" w:cs="仿宋_GB2312"/>
          <w:kern w:val="2"/>
          <w:sz w:val="32"/>
          <w:szCs w:val="22"/>
        </w:rPr>
        <w:t>履行全民所有土地、矿产、森林、草原、湿地、水等自然资源资产所有者职责和所有空间用途管制职责。负责自然资源调查监测评价。负责自然资源统一确权登记工作。负责自然资源资产有偿使用工作。负责自然资源的合理开发利用。负责建立空间规划体系并监督实施。贯彻执行国土空间用途管制制度和城乡规划政策并监督实施。负责自然资源文化的挖掘、研究、保护和利用工作。承担国土空间生态修复。负责实施最严格的耕地保护制度。管理地质勘查行业和地质工作。负责落实综合防灾减灾规划相关要求，组织编制地质灾害防治规划并实施。负责矿产资源管理工作。负责测绘地理信息管理工作。</w:t>
      </w:r>
      <w:r>
        <w:rPr>
          <w:rFonts w:hint="default" w:ascii="Times New Roman" w:hAnsi="Times New Roman" w:eastAsia="方正仿宋_GBK"/>
          <w:kern w:val="2"/>
          <w:sz w:val="32"/>
          <w:szCs w:val="32"/>
        </w:rPr>
        <w:t>承担的自然资源权属调查、自然资源保护和开发利用、空间规划管理（不含规划城镇建设用地范围内的违法建筑执法职责）、测绘地理信息管理等领域的行政执法</w:t>
      </w:r>
      <w:r>
        <w:rPr>
          <w:rFonts w:ascii="Times New Roman" w:hAnsi="Times New Roman" w:eastAsia="方正仿宋_GBK"/>
          <w:kern w:val="2"/>
          <w:sz w:val="32"/>
          <w:szCs w:val="32"/>
        </w:rPr>
        <w:t>。</w:t>
      </w:r>
      <w:r>
        <w:rPr>
          <w:rFonts w:ascii="方正仿宋_GBK" w:hAnsi="仿宋_GB2312" w:eastAsia="方正仿宋_GBK" w:cs="仿宋_GB2312"/>
          <w:kern w:val="2"/>
          <w:sz w:val="32"/>
          <w:szCs w:val="22"/>
        </w:rPr>
        <w:t>完成县委、县政府和重庆市规划和自然资源局交办的其他任务。</w:t>
      </w:r>
    </w:p>
    <w:p>
      <w:pPr>
        <w:pStyle w:val="12"/>
        <w:shd w:val="clear" w:color="auto" w:fill="FFFFFF"/>
        <w:spacing w:before="0" w:beforeAutospacing="0" w:after="0" w:afterAutospacing="0" w:line="596" w:lineRule="exact"/>
        <w:ind w:firstLine="420"/>
        <w:rPr>
          <w:rFonts w:hint="default" w:ascii="楷体" w:hAnsi="楷体" w:eastAsia="楷体" w:cs="楷体"/>
          <w:sz w:val="32"/>
          <w:szCs w:val="32"/>
        </w:rPr>
      </w:pPr>
      <w:r>
        <w:rPr>
          <w:rStyle w:val="16"/>
          <w:rFonts w:ascii="楷体" w:hAnsi="楷体" w:eastAsia="楷体" w:cs="楷体"/>
          <w:sz w:val="32"/>
          <w:szCs w:val="32"/>
          <w:shd w:val="clear" w:color="auto" w:fill="FFFFFF"/>
        </w:rPr>
        <w:t>（二）机构设置</w:t>
      </w:r>
    </w:p>
    <w:p>
      <w:pPr>
        <w:pStyle w:val="12"/>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本部门有1个行政单位，10个全额财政拨款的事业单位，均执行政府会计制度。二级预算单位10个，比2023年减少9个预算单位，一是因机构改革减少原</w:t>
      </w:r>
      <w:r>
        <w:rPr>
          <w:rFonts w:ascii="方正仿宋_GBK" w:hAnsi="仿宋_GB2312" w:eastAsia="方正仿宋_GBK" w:cs="仿宋_GB2312"/>
          <w:kern w:val="2"/>
          <w:sz w:val="32"/>
          <w:szCs w:val="22"/>
        </w:rPr>
        <w:t>规划和自然资源综合行政执法支队；二是九个规资所合并为一个预算</w:t>
      </w:r>
      <w:r>
        <w:rPr>
          <w:rFonts w:ascii="方正仿宋_GBK" w:hAnsi="方正仿宋_GBK" w:eastAsia="方正仿宋_GBK" w:cs="方正仿宋_GBK"/>
          <w:sz w:val="32"/>
          <w:szCs w:val="32"/>
        </w:rPr>
        <w:t>。</w:t>
      </w:r>
    </w:p>
    <w:p>
      <w:pPr>
        <w:snapToGrid w:val="0"/>
        <w:spacing w:line="596" w:lineRule="exact"/>
        <w:ind w:firstLine="640" w:firstLineChars="200"/>
        <w:rPr>
          <w:rFonts w:hint="default" w:ascii="方正仿宋_GBK" w:hAnsi="方正仿宋_GBK" w:eastAsia="方正仿宋_GBK" w:cs="方正仿宋_GBK"/>
          <w:kern w:val="2"/>
          <w:sz w:val="32"/>
          <w:szCs w:val="32"/>
        </w:rPr>
      </w:pPr>
      <w:r>
        <w:rPr>
          <w:rFonts w:ascii="方正仿宋_GBK" w:hAnsi="仿宋_GB2312" w:eastAsia="方正仿宋_GBK" w:cs="仿宋_GB2312"/>
          <w:kern w:val="2"/>
          <w:sz w:val="32"/>
          <w:szCs w:val="22"/>
        </w:rPr>
        <w:t>垫江县规划和自然资源局内设机构11个，分别是：</w:t>
      </w:r>
      <w:r>
        <w:rPr>
          <w:rFonts w:ascii="方正仿宋_GBK" w:hAnsi="方正仿宋_GBK" w:eastAsia="方正仿宋_GBK" w:cs="方正仿宋_GBK"/>
          <w:kern w:val="2"/>
          <w:sz w:val="32"/>
          <w:szCs w:val="32"/>
        </w:rPr>
        <w:t>办公室（审计科）、财务人事科、</w:t>
      </w:r>
      <w:r>
        <w:rPr>
          <w:rFonts w:ascii="方正仿宋_GBK" w:hAnsi="仿宋_GB2312" w:eastAsia="方正仿宋_GBK" w:cs="仿宋_GB2312"/>
          <w:kern w:val="2"/>
          <w:sz w:val="32"/>
          <w:szCs w:val="22"/>
        </w:rPr>
        <w:t>政策法规科（信访科）</w:t>
      </w:r>
      <w:r>
        <w:rPr>
          <w:rFonts w:ascii="方正仿宋_GBK" w:hAnsi="方正仿宋_GBK" w:eastAsia="方正仿宋_GBK" w:cs="方正仿宋_GBK"/>
          <w:kern w:val="2"/>
          <w:sz w:val="32"/>
          <w:szCs w:val="32"/>
        </w:rPr>
        <w:t>、</w:t>
      </w:r>
      <w:r>
        <w:rPr>
          <w:rFonts w:ascii="方正仿宋_GBK" w:hAnsi="仿宋_GB2312" w:eastAsia="方正仿宋_GBK" w:cs="仿宋_GB2312"/>
          <w:kern w:val="2"/>
          <w:sz w:val="32"/>
          <w:szCs w:val="22"/>
        </w:rPr>
        <w:t>自然资源</w:t>
      </w:r>
      <w:r>
        <w:rPr>
          <w:rFonts w:ascii="方正仿宋_GBK" w:hAnsi="方正仿宋_GBK" w:eastAsia="方正仿宋_GBK" w:cs="方正仿宋_GBK"/>
          <w:kern w:val="2"/>
          <w:sz w:val="32"/>
          <w:szCs w:val="32"/>
        </w:rPr>
        <w:t>调查登记科、国土空间规划科、国土空间用途管制科、</w:t>
      </w:r>
      <w:r>
        <w:rPr>
          <w:rFonts w:hint="default" w:ascii="方正仿宋_GBK" w:hAnsi="方正仿宋_GBK" w:eastAsia="方正仿宋_GBK" w:cs="方正仿宋_GBK"/>
          <w:kern w:val="2"/>
          <w:sz w:val="32"/>
          <w:szCs w:val="32"/>
        </w:rPr>
        <w:t>自然资源权益和利用科</w:t>
      </w:r>
      <w:r>
        <w:rPr>
          <w:rFonts w:ascii="方正仿宋_GBK" w:hAnsi="方正仿宋_GBK" w:eastAsia="方正仿宋_GBK" w:cs="方正仿宋_GBK"/>
          <w:kern w:val="2"/>
          <w:sz w:val="32"/>
          <w:szCs w:val="32"/>
        </w:rPr>
        <w:t>、耕地保护和生态修复科、建设工程规划科（行政许可服务科）、执法督查室、地质矿产科</w:t>
      </w:r>
      <w:r>
        <w:rPr>
          <w:rFonts w:hint="default" w:ascii="方正仿宋_GBK" w:hAnsi="方正仿宋_GBK" w:eastAsia="方正仿宋_GBK" w:cs="方正仿宋_GBK"/>
          <w:kern w:val="2"/>
          <w:sz w:val="32"/>
          <w:szCs w:val="32"/>
        </w:rPr>
        <w:t>（安全生产科）</w:t>
      </w:r>
      <w:r>
        <w:rPr>
          <w:rFonts w:ascii="方正仿宋_GBK" w:hAnsi="方正仿宋_GBK" w:eastAsia="方正仿宋_GBK" w:cs="方正仿宋_GBK"/>
          <w:kern w:val="2"/>
          <w:sz w:val="32"/>
          <w:szCs w:val="32"/>
        </w:rPr>
        <w:t>。</w:t>
      </w:r>
    </w:p>
    <w:p>
      <w:pPr>
        <w:spacing w:line="596" w:lineRule="exact"/>
        <w:ind w:firstLine="640" w:firstLineChars="200"/>
        <w:rPr>
          <w:rFonts w:hint="default" w:ascii="方正仿宋_GBK" w:hAnsi="方正仿宋_GBK" w:eastAsia="方正仿宋_GBK" w:cs="方正仿宋_GBK"/>
          <w:sz w:val="32"/>
        </w:rPr>
      </w:pPr>
      <w:r>
        <w:rPr>
          <w:rFonts w:ascii="方正仿宋_GBK" w:hAnsi="仿宋_GB2312" w:eastAsia="方正仿宋_GBK" w:cs="仿宋_GB2312"/>
          <w:kern w:val="2"/>
          <w:sz w:val="32"/>
          <w:szCs w:val="22"/>
        </w:rPr>
        <w:t>下属10个二级预算单位，分别是规划和自然资源局（本级）、统一征地事务中心、地产服务中心、矿产资源管理事务中心、不动产登记中心、土地整治中心、规划服务中心、国土资源和房地产信息中心、土地储备整治中心、规划自然资源所。</w:t>
      </w:r>
    </w:p>
    <w:p>
      <w:pPr>
        <w:pStyle w:val="12"/>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6"/>
          <w:rFonts w:ascii="黑体" w:hAnsi="黑体" w:eastAsia="黑体" w:cs="黑体"/>
          <w:sz w:val="32"/>
          <w:szCs w:val="32"/>
          <w:shd w:val="clear" w:color="auto" w:fill="FFFFFF"/>
        </w:rPr>
        <w:t>二、部门决算收支情况说明</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2"/>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6"/>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2024年度收入总计24856.20万元，支出总计</w:t>
      </w:r>
      <w:r>
        <w:rPr>
          <w:rFonts w:ascii="方正仿宋_GBK" w:hAnsi="方正仿宋_GBK" w:eastAsia="方正仿宋_GBK" w:cs="方正仿宋_GBK"/>
          <w:sz w:val="32"/>
          <w:szCs w:val="32"/>
        </w:rPr>
        <w:t>24856.20</w:t>
      </w:r>
      <w:r>
        <w:rPr>
          <w:rFonts w:ascii="方正仿宋_GBK" w:hAnsi="方正仿宋_GBK" w:eastAsia="方正仿宋_GBK" w:cs="方正仿宋_GBK"/>
          <w:sz w:val="32"/>
          <w:szCs w:val="32"/>
          <w:shd w:val="clear" w:color="auto" w:fill="FFFFFF"/>
        </w:rPr>
        <w:t>万元。收、支与2023年度相比，增加11303.35万元，增长83.40%，主要原因是本年增加国债重点自然灾害综合防治体系建设1689万元，地质灾害防治及群测群防项目资金900万元，增加国有土地收购费用10880.84万元，减少土地整理复垦收入1077.49万元，机构改革减少单位规资综合行政执法支队收入933.51万元。</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6"/>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19980.36万元，与2023年度相比，增加11394.22万元，增长132.70%，主要原因是本年增加国债重点自然灾害综合防治体系建设1689万元，地质灾害防治及群测群防项目资金900万元，增加国有土地收购费用10880.84万元，减少土地整理复垦收入1077.49万元，机构改革减少单位规资综合行政执法支队收入933.51万元。其中：财政拨款收入</w:t>
      </w:r>
      <w:r>
        <w:rPr>
          <w:rFonts w:ascii="方正仿宋_GBK" w:hAnsi="方正仿宋_GBK" w:eastAsia="方正仿宋_GBK" w:cs="方正仿宋_GBK"/>
          <w:sz w:val="32"/>
          <w:szCs w:val="32"/>
        </w:rPr>
        <w:t>19798.69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99.09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173.48</w:t>
      </w:r>
      <w:r>
        <w:rPr>
          <w:rFonts w:ascii="方正仿宋_GBK" w:hAnsi="方正仿宋_GBK" w:eastAsia="方正仿宋_GBK" w:cs="方正仿宋_GBK"/>
          <w:sz w:val="32"/>
          <w:szCs w:val="32"/>
          <w:shd w:val="clear" w:color="auto" w:fill="FFFFFF"/>
        </w:rPr>
        <w:t>万元，占0.87%；经营收入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8.20</w:t>
      </w:r>
      <w:r>
        <w:rPr>
          <w:rFonts w:ascii="方正仿宋_GBK" w:hAnsi="方正仿宋_GBK" w:eastAsia="方正仿宋_GBK" w:cs="方正仿宋_GBK"/>
          <w:sz w:val="32"/>
          <w:szCs w:val="32"/>
          <w:shd w:val="clear" w:color="auto" w:fill="FFFFFF"/>
        </w:rPr>
        <w:t>万元，占0.04%。此外，使用非财政拨款结余和专用结余</w:t>
      </w:r>
      <w:r>
        <w:rPr>
          <w:rFonts w:ascii="方正仿宋_GBK" w:hAnsi="方正仿宋_GBK" w:eastAsia="方正仿宋_GBK" w:cs="方正仿宋_GBK"/>
          <w:sz w:val="32"/>
          <w:szCs w:val="32"/>
        </w:rPr>
        <w:t>251.82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4624.02</w:t>
      </w:r>
      <w:r>
        <w:rPr>
          <w:rFonts w:ascii="方正仿宋_GBK" w:hAnsi="方正仿宋_GBK" w:eastAsia="方正仿宋_GBK" w:cs="方正仿宋_GBK"/>
          <w:sz w:val="32"/>
          <w:szCs w:val="32"/>
          <w:shd w:val="clear" w:color="auto" w:fill="FFFFFF"/>
        </w:rPr>
        <w:t>万元。</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6"/>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21231.42</w:t>
      </w:r>
      <w:r>
        <w:rPr>
          <w:rFonts w:ascii="方正仿宋_GBK" w:hAnsi="方正仿宋_GBK" w:eastAsia="方正仿宋_GBK" w:cs="方正仿宋_GBK"/>
          <w:sz w:val="32"/>
          <w:szCs w:val="32"/>
          <w:shd w:val="clear" w:color="auto" w:fill="FFFFFF"/>
        </w:rPr>
        <w:t>万元，与2023年度相比，增加11733.47万元，增长123.54%，主要原因是本年增加2023年国债重点自然灾害综合防治体系建设费用1689万元、闲置国有土地回收经费11600万元，机构改革减少单位规资综合行政执法支队支出948.70万元及减少土地整理复垦、不动产登记数据整理、印花税等项目支出和压减一般性支出。其中：基本支出</w:t>
      </w:r>
      <w:r>
        <w:rPr>
          <w:rFonts w:ascii="方正仿宋_GBK" w:hAnsi="方正仿宋_GBK" w:eastAsia="方正仿宋_GBK" w:cs="方正仿宋_GBK"/>
          <w:sz w:val="32"/>
          <w:szCs w:val="32"/>
        </w:rPr>
        <w:t>4559.53</w:t>
      </w:r>
      <w:r>
        <w:rPr>
          <w:rFonts w:ascii="方正仿宋_GBK" w:hAnsi="方正仿宋_GBK" w:eastAsia="方正仿宋_GBK" w:cs="方正仿宋_GBK"/>
          <w:sz w:val="32"/>
          <w:szCs w:val="32"/>
          <w:shd w:val="clear" w:color="auto" w:fill="FFFFFF"/>
        </w:rPr>
        <w:t>万元，占21.48%；项目支出</w:t>
      </w:r>
      <w:r>
        <w:rPr>
          <w:rFonts w:ascii="方正仿宋_GBK" w:hAnsi="方正仿宋_GBK" w:eastAsia="方正仿宋_GBK" w:cs="方正仿宋_GBK"/>
          <w:sz w:val="32"/>
          <w:szCs w:val="32"/>
        </w:rPr>
        <w:t>16671.89</w:t>
      </w:r>
      <w:r>
        <w:rPr>
          <w:rFonts w:ascii="方正仿宋_GBK" w:hAnsi="方正仿宋_GBK" w:eastAsia="方正仿宋_GBK" w:cs="方正仿宋_GBK"/>
          <w:sz w:val="32"/>
          <w:szCs w:val="32"/>
          <w:shd w:val="clear" w:color="auto" w:fill="FFFFFF"/>
        </w:rPr>
        <w:t>万元，占78.52%；经营支出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145.72</w:t>
      </w:r>
      <w:r>
        <w:rPr>
          <w:rFonts w:ascii="方正仿宋_GBK" w:hAnsi="方正仿宋_GBK" w:eastAsia="方正仿宋_GBK" w:cs="方正仿宋_GBK"/>
          <w:sz w:val="32"/>
          <w:szCs w:val="32"/>
          <w:shd w:val="clear" w:color="auto" w:fill="FFFFFF"/>
        </w:rPr>
        <w:t>万元。</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6"/>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3479.06</w:t>
      </w:r>
      <w:r>
        <w:rPr>
          <w:rFonts w:ascii="方正仿宋_GBK" w:hAnsi="方正仿宋_GBK" w:eastAsia="方正仿宋_GBK" w:cs="方正仿宋_GBK"/>
          <w:sz w:val="32"/>
          <w:szCs w:val="32"/>
          <w:shd w:val="clear" w:color="auto" w:fill="FFFFFF"/>
        </w:rPr>
        <w:t>万元，与2023年度相比，减少566.19万元，下降14.00%，主要原因是本年动用上年结余支付土地整理复垦项目资金。</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19892.74万元。与2023年相比，财政拨款收、支总计各增加13103.62万元，增长193.01%。主要原因是本年增加2023年国债重点自然灾害综合防治体系建设1689万元，地质灾害治理及群测群防等项目资金900万元，闲置国有土地回收经费11600万元。</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7778.24</w:t>
      </w:r>
      <w:r>
        <w:rPr>
          <w:rFonts w:ascii="方正仿宋_GBK" w:hAnsi="方正仿宋_GBK" w:eastAsia="方正仿宋_GBK" w:cs="方正仿宋_GBK"/>
          <w:sz w:val="32"/>
          <w:szCs w:val="32"/>
          <w:shd w:val="clear" w:color="auto" w:fill="FFFFFF"/>
        </w:rPr>
        <w:t>万元，与2023年度相比，增加1418.72万元，增长22.31%。主要原因是本年增加2023年国债重点自然灾害综合防治体系建设1689万元，地质灾害治理及群测群防等项目资金900万元，及减少规资综合行政执法支队收入933.51万元。较年初预算数增加3103.78万元，增长66.40%。主要原因是本年增加2023年国债重点自然灾害综合防治体系建设1689万元，地质灾害治理及群测群防等项目资金900万元，及本年人员正常晋升及补缴费用。此外，年初财政拨款结转和结余</w:t>
      </w:r>
      <w:r>
        <w:rPr>
          <w:rFonts w:ascii="方正仿宋_GBK" w:hAnsi="方正仿宋_GBK" w:eastAsia="方正仿宋_GBK" w:cs="方正仿宋_GBK"/>
          <w:sz w:val="32"/>
          <w:szCs w:val="32"/>
        </w:rPr>
        <w:t>94.05</w:t>
      </w:r>
      <w:r>
        <w:rPr>
          <w:rFonts w:ascii="方正仿宋_GBK" w:hAnsi="方正仿宋_GBK" w:eastAsia="方正仿宋_GBK" w:cs="方正仿宋_GBK"/>
          <w:sz w:val="32"/>
          <w:szCs w:val="32"/>
          <w:shd w:val="clear" w:color="auto" w:fill="FFFFFF"/>
        </w:rPr>
        <w:t>万元。</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7872.29</w:t>
      </w:r>
      <w:r>
        <w:rPr>
          <w:rFonts w:ascii="方正仿宋_GBK" w:hAnsi="方正仿宋_GBK" w:eastAsia="方正仿宋_GBK" w:cs="方正仿宋_GBK"/>
          <w:sz w:val="32"/>
          <w:szCs w:val="32"/>
          <w:shd w:val="clear" w:color="auto" w:fill="FFFFFF"/>
        </w:rPr>
        <w:t>万元，与2023年度相比，增加1439.18万元，增长22.37%。主要原因是本年增加2023年国债重点自然灾害综合防治体系建设1689万元，地质灾害治理及群测群防等项目资金900万元，及减少规资综合行政执法支队收入933.51万元。较年初预算数增加3197.83万元，增长68.41%。主要原因是本年增加2023年国债重点自然灾害综合防治体系建设1689万元，地质灾害治理及群测群防等项目资金900万元，及本年人员正常晋升及补缴费用。</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6"/>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是本年无一般公共预算财政拨款结转结余。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%，较年初预算数减少8.04万元，下降71.66%，主要原因是</w:t>
      </w:r>
      <w:r>
        <w:rPr>
          <w:rFonts w:hint="default" w:ascii="方正仿宋_GBK" w:hAnsi="方正仿宋_GBK" w:eastAsia="方正仿宋_GBK" w:cs="方正仿宋_GBK"/>
          <w:sz w:val="32"/>
          <w:szCs w:val="32"/>
          <w:shd w:val="clear" w:color="auto" w:fill="FFFFFF"/>
        </w:rPr>
        <w:t>本年减少党员远程教育培训费</w:t>
      </w:r>
      <w:r>
        <w:rPr>
          <w:rFonts w:ascii="方正仿宋_GBK" w:hAnsi="方正仿宋_GBK" w:eastAsia="方正仿宋_GBK" w:cs="方正仿宋_GBK"/>
          <w:sz w:val="32"/>
          <w:szCs w:val="32"/>
          <w:shd w:val="clear" w:color="auto" w:fill="FFFFFF"/>
        </w:rPr>
        <w:t>。</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863.60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10.97</w:t>
      </w:r>
      <w:r>
        <w:rPr>
          <w:rFonts w:ascii="方正仿宋_GBK" w:hAnsi="方正仿宋_GBK" w:eastAsia="方正仿宋_GBK" w:cs="方正仿宋_GBK"/>
          <w:sz w:val="32"/>
          <w:szCs w:val="32"/>
          <w:shd w:val="clear" w:color="auto" w:fill="FFFFFF"/>
        </w:rPr>
        <w:t>%，较年初预算数增加337.89万元，增长64.27%，主要原因是</w:t>
      </w:r>
      <w:r>
        <w:rPr>
          <w:rFonts w:ascii="方正仿宋_GBK" w:hAnsi="方正仿宋_GBK" w:eastAsia="方正仿宋_GBK" w:cs="方正仿宋_GBK"/>
          <w:kern w:val="2"/>
          <w:sz w:val="32"/>
          <w:szCs w:val="32"/>
        </w:rPr>
        <w:t>社保缴费基数调整，</w:t>
      </w:r>
      <w:r>
        <w:rPr>
          <w:rFonts w:ascii="方正仿宋_GBK" w:hAnsi="方正仿宋_GBK" w:eastAsia="方正仿宋_GBK" w:cs="方正仿宋_GBK"/>
          <w:sz w:val="32"/>
          <w:szCs w:val="32"/>
          <w:shd w:val="clear" w:color="auto" w:fill="FFFFFF"/>
        </w:rPr>
        <w:t>补缴2022-2023年因基数调整增加</w:t>
      </w:r>
      <w:r>
        <w:rPr>
          <w:rFonts w:ascii="方正仿宋_GBK" w:hAnsi="方正仿宋_GBK" w:eastAsia="方正仿宋_GBK" w:cs="方正仿宋_GBK"/>
          <w:kern w:val="2"/>
          <w:sz w:val="32"/>
          <w:szCs w:val="32"/>
        </w:rPr>
        <w:t>的缴费。</w:t>
      </w:r>
    </w:p>
    <w:p>
      <w:pPr>
        <w:pStyle w:val="12"/>
        <w:spacing w:before="0" w:beforeAutospacing="0" w:after="0" w:afterAutospacing="0" w:line="596"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134.93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%，较年初预算数减少9.04万元，下降6.28%，主要原因是本年</w:t>
      </w:r>
      <w:r>
        <w:rPr>
          <w:rFonts w:ascii="方正仿宋_GBK" w:hAnsi="方正仿宋_GBK" w:eastAsia="方正仿宋_GBK" w:cs="方正仿宋_GBK"/>
          <w:kern w:val="2"/>
          <w:sz w:val="32"/>
          <w:szCs w:val="32"/>
        </w:rPr>
        <w:t>人员调出，医疗保险缴费支出减少。</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192.46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2.44</w:t>
      </w:r>
      <w:r>
        <w:rPr>
          <w:rFonts w:ascii="方正仿宋_GBK" w:hAnsi="方正仿宋_GBK" w:eastAsia="方正仿宋_GBK" w:cs="方正仿宋_GBK"/>
          <w:sz w:val="32"/>
          <w:szCs w:val="32"/>
          <w:shd w:val="clear" w:color="auto" w:fill="FFFFFF"/>
        </w:rPr>
        <w:t>%，较年初预算数减少3.91万元，下降1.99%，主要原因是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城乡规划等项目经费减少。</w:t>
      </w:r>
    </w:p>
    <w:p>
      <w:pPr>
        <w:pStyle w:val="12"/>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自然资源海洋气象等支出3759.74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47.76</w:t>
      </w:r>
      <w:r>
        <w:rPr>
          <w:rFonts w:ascii="方正仿宋_GBK" w:hAnsi="方正仿宋_GBK" w:eastAsia="方正仿宋_GBK" w:cs="方正仿宋_GBK"/>
          <w:sz w:val="32"/>
          <w:szCs w:val="32"/>
          <w:shd w:val="clear" w:color="auto" w:fill="FFFFFF"/>
        </w:rPr>
        <w:t>%，较年初预算数增加151.99万元，增长4.21%，主要原因是增加城</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乡规划方案设计等项目经费</w:t>
      </w:r>
      <w:r>
        <w:rPr>
          <w:rFonts w:ascii="方正仿宋_GBK" w:hAnsi="方正仿宋_GBK" w:eastAsia="方正仿宋_GBK" w:cs="方正仿宋_GBK"/>
          <w:sz w:val="32"/>
          <w:szCs w:val="32"/>
          <w:shd w:val="clear" w:color="auto" w:fill="FFFFFF"/>
        </w:rPr>
        <w:t>和</w:t>
      </w:r>
      <w:r>
        <w:rPr>
          <w:rFonts w:ascii="方正仿宋_GBK" w:hAnsi="方正仿宋_GBK" w:eastAsia="方正仿宋_GBK" w:cs="方正仿宋_GBK"/>
          <w:sz w:val="32"/>
          <w:szCs w:val="32"/>
        </w:rPr>
        <w:t>人员工资正常晋升费用标准提高。</w:t>
      </w:r>
    </w:p>
    <w:p>
      <w:pPr>
        <w:spacing w:line="596"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住房保障支出225.49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%，较年初预算数增加49.85万元，增长28.38%，主要原因是人员工资正常晋升</w:t>
      </w:r>
      <w:r>
        <w:rPr>
          <w:rFonts w:ascii="方正仿宋_GBK" w:hAnsi="方正仿宋_GBK" w:eastAsia="方正仿宋_GBK" w:cs="方正仿宋_GBK"/>
          <w:kern w:val="2"/>
          <w:sz w:val="32"/>
          <w:szCs w:val="32"/>
        </w:rPr>
        <w:t>缴费基数调高。</w:t>
      </w:r>
    </w:p>
    <w:p>
      <w:pPr>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灾害防治及应急管理支出2692.89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34.21</w:t>
      </w:r>
      <w:r>
        <w:rPr>
          <w:rFonts w:ascii="方正仿宋_GBK" w:hAnsi="方正仿宋_GBK" w:eastAsia="方正仿宋_GBK" w:cs="方正仿宋_GBK"/>
          <w:sz w:val="32"/>
          <w:szCs w:val="32"/>
          <w:shd w:val="clear" w:color="auto" w:fill="FFFFFF"/>
        </w:rPr>
        <w:t>%，较年初预算数增加2679.09万元，增长19413.70%，主要原因是本年增加2023年国债重点自然灾害综合防治体系建设1689万元，地质灾害治理及群测群防等项目资金990.09万元。</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4170.39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3733.07</w:t>
      </w:r>
      <w:r>
        <w:rPr>
          <w:rFonts w:ascii="方正仿宋_GBK" w:hAnsi="方正仿宋_GBK" w:eastAsia="方正仿宋_GBK" w:cs="方正仿宋_GBK"/>
          <w:sz w:val="32"/>
          <w:szCs w:val="32"/>
          <w:shd w:val="clear" w:color="auto" w:fill="FFFFFF"/>
        </w:rPr>
        <w:t>万元，与2023年度相比，减少934.06万元，下降20.01%，主要原因是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本年减少规资执法支队人员经费714.42万元，减少抚恤金和奖励金支出55.81万元，减少补发以前年度公务员年度考核奖和事业人员绩效工资。</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基本工资、津贴补贴、奖金、社会保障缴费、绩效工资、退休费、住房公积金、医疗费等。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437.32</w:t>
      </w:r>
      <w:r>
        <w:rPr>
          <w:rFonts w:ascii="方正仿宋_GBK" w:hAnsi="方正仿宋_GBK" w:eastAsia="方正仿宋_GBK" w:cs="方正仿宋_GBK"/>
          <w:sz w:val="32"/>
          <w:szCs w:val="32"/>
          <w:shd w:val="clear" w:color="auto" w:fill="FFFFFF"/>
        </w:rPr>
        <w:t>万元，与2023年度相比，减少211.89万元，下降32.64%，主要原因是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本年减少规资执法支队公用经费122.69万元，及</w:t>
      </w:r>
      <w:r>
        <w:rPr>
          <w:rFonts w:ascii="方正仿宋_GBK" w:hAnsi="方正仿宋_GBK" w:eastAsia="方正仿宋_GBK" w:cs="方正仿宋_GBK"/>
          <w:sz w:val="32"/>
          <w:szCs w:val="32"/>
          <w:shd w:val="clear" w:color="auto" w:fill="FFFFFF"/>
        </w:rPr>
        <w:t>严格落实过紧日子要求，</w:t>
      </w:r>
      <w:r>
        <w:rPr>
          <w:rFonts w:ascii="方正仿宋_GBK" w:hAnsi="方正仿宋_GBK" w:eastAsia="方正仿宋_GBK" w:cs="方正仿宋_GBK"/>
          <w:kern w:val="2"/>
          <w:sz w:val="32"/>
          <w:szCs w:val="32"/>
        </w:rPr>
        <w:t>压减一般性支出，减少公用经费支出。</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办公费、印刷费、咨询费、手续费、水电费、电话费、差旅费、劳务费、培训费、公务用车运行维护费、其他交通费用等。</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12020.45</w:t>
      </w:r>
      <w:r>
        <w:rPr>
          <w:rFonts w:ascii="方正仿宋_GBK" w:hAnsi="方正仿宋_GBK" w:eastAsia="方正仿宋_GBK" w:cs="方正仿宋_GBK"/>
          <w:sz w:val="32"/>
          <w:szCs w:val="32"/>
          <w:shd w:val="clear" w:color="auto" w:fill="FFFFFF"/>
        </w:rPr>
        <w:t>万元，与2023年度相比，增加11664.45万元，增长3276.53%，主要原因是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w:t>
      </w:r>
      <w:r>
        <w:rPr>
          <w:rFonts w:ascii="方正仿宋_GBK" w:hAnsi="方正仿宋_GBK" w:eastAsia="方正仿宋_GBK" w:cs="方正仿宋_GBK"/>
          <w:sz w:val="32"/>
          <w:szCs w:val="32"/>
          <w:shd w:val="clear" w:color="auto" w:fill="FFFFFF"/>
        </w:rPr>
        <w:t>增加国有土地收购储备项目经费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11600万元。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12020.45</w:t>
      </w:r>
      <w:r>
        <w:rPr>
          <w:rFonts w:ascii="方正仿宋_GBK" w:hAnsi="方正仿宋_GBK" w:eastAsia="方正仿宋_GBK" w:cs="方正仿宋_GBK"/>
          <w:sz w:val="32"/>
          <w:szCs w:val="32"/>
          <w:shd w:val="clear" w:color="auto" w:fill="FFFFFF"/>
        </w:rPr>
        <w:t>万元，与2023年度相比，增加11664.45万元，增长3276.53%，主要原因是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w:t>
      </w:r>
      <w:r>
        <w:rPr>
          <w:rFonts w:ascii="方正仿宋_GBK" w:hAnsi="方正仿宋_GBK" w:eastAsia="方正仿宋_GBK" w:cs="方正仿宋_GBK"/>
          <w:sz w:val="32"/>
          <w:szCs w:val="32"/>
          <w:shd w:val="clear" w:color="auto" w:fill="FFFFFF"/>
        </w:rPr>
        <w:t>增加国有土地收购储备项目经费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11600万元。</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2"/>
        <w:shd w:val="clear" w:color="auto" w:fill="FFFFFF"/>
        <w:spacing w:before="0" w:beforeAutospacing="0" w:after="0" w:afterAutospacing="0" w:line="596" w:lineRule="exact"/>
        <w:ind w:firstLine="643" w:firstLineChars="200"/>
        <w:rPr>
          <w:rStyle w:val="16"/>
          <w:rFonts w:hint="default" w:ascii="黑体" w:hAnsi="黑体" w:eastAsia="黑体" w:cs="黑体"/>
          <w:sz w:val="32"/>
          <w:szCs w:val="32"/>
          <w:shd w:val="clear" w:color="auto" w:fill="FFFFFF"/>
        </w:rPr>
      </w:pPr>
      <w:r>
        <w:rPr>
          <w:rStyle w:val="16"/>
          <w:rFonts w:ascii="黑体" w:hAnsi="黑体" w:eastAsia="黑体" w:cs="黑体"/>
          <w:sz w:val="32"/>
          <w:szCs w:val="32"/>
          <w:shd w:val="clear" w:color="auto" w:fill="FFFFFF"/>
        </w:rPr>
        <w:t>三、财政拨款“三公”经费情况说明</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43.84</w:t>
      </w:r>
      <w:r>
        <w:rPr>
          <w:rFonts w:ascii="方正仿宋_GBK" w:hAnsi="方正仿宋_GBK" w:eastAsia="方正仿宋_GBK" w:cs="方正仿宋_GBK"/>
          <w:sz w:val="32"/>
          <w:szCs w:val="32"/>
          <w:shd w:val="clear" w:color="auto" w:fill="FFFFFF"/>
        </w:rPr>
        <w:t>万元，较年初预算数减少8.30万元，下降15.92%，较上年支出数减少7.19万元，下降14.09%，主要原因是</w:t>
      </w:r>
      <w:r>
        <w:rPr>
          <w:rFonts w:ascii="方正仿宋_GBK" w:hAnsi="方正仿宋_GBK" w:eastAsia="方正仿宋_GBK" w:cs="方正仿宋_GBK"/>
          <w:sz w:val="32"/>
          <w:szCs w:val="32"/>
        </w:rPr>
        <w:t>一是认真贯彻落实中央八项规定精神和厉行节约要求，按照只减不增的要求从严控制三公经费，全年实际支出较预算有所下降。二是严格落实公车使用规定，严禁公车私用，公车运行维护成本大幅下降。三是强化公务接待支出管理，严格遵守公务接待开支范围和开支标准，严格控制陪餐人数。四是进一步规范因公出国（境）活动，2024年未安排单位人员出国出访。</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年初预算数未安排因公出国（境）费用，也未发生因公出国（境）费用。</w:t>
      </w:r>
      <w:r>
        <w:rPr>
          <w:rFonts w:ascii="方正仿宋_GBK" w:hAnsi="方正仿宋_GBK" w:eastAsia="方正仿宋_GBK" w:cs="方正仿宋_GBK"/>
          <w:sz w:val="32"/>
          <w:szCs w:val="32"/>
          <w:shd w:val="clear" w:color="auto" w:fill="FFFFFF"/>
        </w:rPr>
        <w:t>与2023年度相比，无增减，主要原因是</w:t>
      </w:r>
      <w:r>
        <w:rPr>
          <w:rFonts w:ascii="方正仿宋_GBK" w:eastAsia="方正仿宋_GBK"/>
          <w:sz w:val="32"/>
          <w:szCs w:val="32"/>
        </w:rPr>
        <w:t>上年和本年均未发生因公出国（境）费用。</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年初预算数未安排公务车购置费用</w:t>
      </w:r>
      <w:r>
        <w:rPr>
          <w:rFonts w:ascii="方正仿宋_GBK" w:hAnsi="方正仿宋_GBK" w:eastAsia="方正仿宋_GBK" w:cs="方正仿宋_GBK"/>
          <w:sz w:val="32"/>
          <w:szCs w:val="32"/>
          <w:shd w:val="clear" w:color="auto" w:fill="FFFFFF"/>
        </w:rPr>
        <w:t>。与2023年度相比，无增减，主要原因是</w:t>
      </w:r>
      <w:r>
        <w:rPr>
          <w:rFonts w:ascii="方正仿宋_GBK" w:eastAsia="方正仿宋_GBK"/>
          <w:sz w:val="32"/>
          <w:szCs w:val="32"/>
        </w:rPr>
        <w:t>上年和本年均未发生公务车购置费用。</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39.62</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综合行政执法、机要文件交换、市内因公出行、各乡镇业务检查等工作所需车辆的燃料费、维修费、过桥过路费、保险费等。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费用支出较年初预算数减少7.38万元，下降15.70%，主要原因是</w:t>
      </w:r>
      <w:r>
        <w:rPr>
          <w:rFonts w:ascii="方正仿宋_GBK" w:hAnsi="方正仿宋_GBK" w:eastAsia="方正仿宋_GBK" w:cs="方正仿宋_GBK"/>
          <w:sz w:val="32"/>
          <w:szCs w:val="32"/>
        </w:rPr>
        <w:t>严格落实公车使用规定，严禁公车私用，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厉行</w:t>
      </w:r>
      <w:r>
        <w:rPr>
          <w:rFonts w:ascii="方正仿宋_GBK" w:hAnsi="方正仿宋_GBK" w:eastAsia="方正仿宋_GBK" w:cs="方正仿宋_GBK"/>
          <w:sz w:val="32"/>
          <w:szCs w:val="32"/>
        </w:rPr>
        <w:t>节约，降低公车运行维护费。</w:t>
      </w:r>
      <w:r>
        <w:rPr>
          <w:rFonts w:ascii="方正仿宋_GBK" w:hAnsi="方正仿宋_GBK" w:eastAsia="方正仿宋_GBK" w:cs="方正仿宋_GBK"/>
          <w:sz w:val="32"/>
          <w:szCs w:val="32"/>
          <w:shd w:val="clear" w:color="auto" w:fill="FFFFFF"/>
        </w:rPr>
        <w:t>较上年支出数减少6.31万元，下降13.74%，主要原因是</w:t>
      </w:r>
      <w:r>
        <w:rPr>
          <w:rFonts w:ascii="方正仿宋_GBK" w:hAnsi="方正仿宋_GBK" w:eastAsia="方正仿宋_GBK" w:cs="方正仿宋_GBK"/>
          <w:sz w:val="32"/>
          <w:szCs w:val="32"/>
        </w:rPr>
        <w:t>严格落实公车使用规定，严禁公车私用，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厉行</w:t>
      </w:r>
      <w:r>
        <w:rPr>
          <w:rFonts w:ascii="方正仿宋_GBK" w:hAnsi="方正仿宋_GBK" w:eastAsia="方正仿宋_GBK" w:cs="方正仿宋_GBK"/>
          <w:sz w:val="32"/>
          <w:szCs w:val="32"/>
        </w:rPr>
        <w:t>节约，降低公车运行维护费。</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4.22</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rPr>
        <w:t>招商引资、接待市局和相关部门检查指导工作发生的接待支出。</w:t>
      </w:r>
      <w:r>
        <w:rPr>
          <w:rFonts w:ascii="方正仿宋_GBK" w:hAnsi="方正仿宋_GBK" w:eastAsia="方正仿宋_GBK" w:cs="方正仿宋_GBK"/>
          <w:sz w:val="32"/>
          <w:szCs w:val="32"/>
          <w:shd w:val="clear" w:color="auto" w:fill="FFFFFF"/>
        </w:rPr>
        <w:t>费用支出较年初预算数减少0.92万元，下降17.90%，主要原因是</w:t>
      </w:r>
      <w:r>
        <w:rPr>
          <w:rFonts w:ascii="方正仿宋_GBK" w:hAnsi="方正仿宋_GBK" w:eastAsia="方正仿宋_GBK" w:cs="方正仿宋_GBK"/>
          <w:sz w:val="32"/>
          <w:szCs w:val="32"/>
        </w:rPr>
        <w:t>认真贯彻落实中央</w:t>
      </w:r>
      <w:bookmarkStart w:id="0" w:name="_GoBack"/>
      <w:bookmarkEnd w:id="0"/>
      <w:r>
        <w:rPr>
          <w:rFonts w:ascii="方正仿宋_GBK" w:hAnsi="方正仿宋_GBK" w:eastAsia="方正仿宋_GBK" w:cs="方正仿宋_GBK"/>
          <w:sz w:val="32"/>
          <w:szCs w:val="32"/>
        </w:rPr>
        <w:t>八项规定精神和厉行节约要求，严格遵守公务接待开支范围和开支标准，严格控制陪餐人数，减少公务接待费用。</w:t>
      </w:r>
      <w:r>
        <w:rPr>
          <w:rFonts w:ascii="方正仿宋_GBK" w:hAnsi="方正仿宋_GBK" w:eastAsia="方正仿宋_GBK" w:cs="方正仿宋_GBK"/>
          <w:sz w:val="32"/>
          <w:szCs w:val="32"/>
          <w:shd w:val="clear" w:color="auto" w:fill="FFFFFF"/>
        </w:rPr>
        <w:t>较上年支出数减少0.89万元，下降17.42%，主要原因是</w:t>
      </w:r>
      <w:r>
        <w:rPr>
          <w:rFonts w:ascii="方正仿宋_GBK" w:hAnsi="方正仿宋_GBK" w:eastAsia="方正仿宋_GBK" w:cs="方正仿宋_GBK"/>
          <w:sz w:val="32"/>
          <w:szCs w:val="32"/>
        </w:rPr>
        <w:t>认真贯彻落实中央八项规定精神和厉行节约要求，严格遵守公务接待开支范围和开支标准，严格控制陪餐人数，减少公务接待费用。</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79.36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2.64</w:t>
      </w:r>
      <w:r>
        <w:rPr>
          <w:rFonts w:ascii="方正仿宋_GBK" w:hAnsi="方正仿宋_GBK" w:eastAsia="方正仿宋_GBK" w:cs="方正仿宋_GBK"/>
          <w:sz w:val="32"/>
          <w:szCs w:val="32"/>
          <w:shd w:val="clear" w:color="auto" w:fill="FFFFFF"/>
        </w:rPr>
        <w:t>万元。</w:t>
      </w:r>
    </w:p>
    <w:p>
      <w:pPr>
        <w:pStyle w:val="12"/>
        <w:shd w:val="clear" w:color="auto" w:fill="FFFFFF"/>
        <w:spacing w:before="0" w:beforeAutospacing="0" w:after="0" w:afterAutospacing="0" w:line="596" w:lineRule="exact"/>
        <w:ind w:firstLine="643" w:firstLineChars="200"/>
        <w:rPr>
          <w:rStyle w:val="16"/>
          <w:rFonts w:hint="default" w:ascii="黑体" w:hAnsi="黑体" w:eastAsia="黑体" w:cs="黑体"/>
          <w:sz w:val="32"/>
          <w:szCs w:val="32"/>
          <w:shd w:val="clear" w:color="auto" w:fill="FFFFFF"/>
        </w:rPr>
      </w:pPr>
      <w:r>
        <w:rPr>
          <w:rStyle w:val="16"/>
          <w:rFonts w:ascii="黑体" w:hAnsi="黑体" w:eastAsia="黑体" w:cs="黑体"/>
          <w:sz w:val="32"/>
          <w:szCs w:val="32"/>
          <w:shd w:val="clear" w:color="auto" w:fill="FFFFFF"/>
        </w:rPr>
        <w:t>四、其他需要说明的事项</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万元，与2023年度相比，减少0.41万元，下降68.33%，主要原因是</w:t>
      </w:r>
      <w:r>
        <w:rPr>
          <w:rFonts w:hint="default" w:ascii="方正仿宋_GBK" w:hAnsi="方正仿宋_GBK" w:eastAsia="方正仿宋_GBK" w:cs="方正仿宋_GBK"/>
          <w:sz w:val="32"/>
          <w:szCs w:val="32"/>
          <w:shd w:val="clear" w:color="auto" w:fill="FFFFFF"/>
        </w:rPr>
        <w:t>本年减少规委会会议费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3.29</w:t>
      </w:r>
      <w:r>
        <w:rPr>
          <w:rFonts w:ascii="方正仿宋_GBK" w:hAnsi="方正仿宋_GBK" w:eastAsia="方正仿宋_GBK" w:cs="方正仿宋_GBK"/>
          <w:sz w:val="32"/>
          <w:szCs w:val="32"/>
          <w:shd w:val="clear" w:color="auto" w:fill="FFFFFF"/>
        </w:rPr>
        <w:t>万元，与2023年度相比，减少6.72万元，下降67.13%，主要原因是本年减少党员远程教育培训费。</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73.44</w:t>
      </w:r>
      <w:r>
        <w:rPr>
          <w:rFonts w:ascii="方正仿宋_GBK" w:hAnsi="方正仿宋_GBK" w:eastAsia="方正仿宋_GBK" w:cs="方正仿宋_GBK"/>
          <w:sz w:val="32"/>
          <w:szCs w:val="32"/>
          <w:shd w:val="clear" w:color="auto" w:fill="FFFFFF"/>
        </w:rPr>
        <w:t>万元，机关运行经费主要用于开支主要用于开支</w:t>
      </w:r>
      <w:r>
        <w:rPr>
          <w:rFonts w:ascii="方正仿宋_GBK" w:hAnsi="方正仿宋_GBK" w:eastAsia="方正仿宋_GBK" w:cs="方正仿宋_GBK"/>
          <w:sz w:val="32"/>
          <w:szCs w:val="32"/>
        </w:rPr>
        <w:t>办公费、邮电费、差旅费、水电费、会议费、培训费、公务接待费、公务车运行维护费、其他交通费用等。</w:t>
      </w:r>
      <w:r>
        <w:rPr>
          <w:rFonts w:ascii="方正仿宋_GBK" w:hAnsi="方正仿宋_GBK" w:eastAsia="方正仿宋_GBK" w:cs="方正仿宋_GBK"/>
          <w:sz w:val="32"/>
          <w:szCs w:val="32"/>
          <w:shd w:val="clear" w:color="auto" w:fill="FFFFFF"/>
        </w:rPr>
        <w:t>机关运行经费较上年支出数减少116.74万元，下降61.38%，主要原因是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本年减少参公事业单位</w:t>
      </w:r>
      <w:r>
        <w:rPr>
          <w:rFonts w:ascii="方正仿宋_GBK" w:hAnsi="方正仿宋_GBK" w:eastAsia="方正仿宋_GBK" w:cs="方正仿宋_GBK"/>
          <w:sz w:val="32"/>
          <w:szCs w:val="32"/>
          <w:shd w:val="clear" w:color="auto" w:fill="FFFFFF"/>
        </w:rPr>
        <w:t>规资综合行政执法支队机关运行经费。</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2"/>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75.06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74.80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0.26万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地质灾害防治技术服务费和购置办公用电脑。</w:t>
      </w:r>
    </w:p>
    <w:p>
      <w:pPr>
        <w:pStyle w:val="12"/>
        <w:shd w:val="clear" w:color="auto" w:fill="FFFFFF"/>
        <w:spacing w:before="0" w:beforeAutospacing="0" w:after="0" w:afterAutospacing="0" w:line="596" w:lineRule="exact"/>
        <w:ind w:firstLine="643" w:firstLineChars="200"/>
        <w:rPr>
          <w:rStyle w:val="16"/>
          <w:rFonts w:hint="default" w:ascii="黑体" w:hAnsi="黑体" w:eastAsia="黑体" w:cs="黑体"/>
          <w:sz w:val="32"/>
          <w:szCs w:val="32"/>
          <w:shd w:val="clear" w:color="auto" w:fill="FFFFFF"/>
        </w:rPr>
      </w:pPr>
      <w:r>
        <w:rPr>
          <w:rStyle w:val="16"/>
          <w:rFonts w:ascii="黑体" w:hAnsi="黑体" w:eastAsia="黑体" w:cs="黑体"/>
          <w:sz w:val="32"/>
          <w:szCs w:val="32"/>
          <w:shd w:val="clear" w:color="auto" w:fill="FFFFFF"/>
        </w:rPr>
        <w:t>五、2024年度预算绩效管理情况说明</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8"/>
        <w:shd w:val="clear" w:color="auto" w:fill="FFFFFF" w:themeFill="background1"/>
        <w:autoSpaceDE w:val="0"/>
        <w:spacing w:before="0" w:beforeAutospacing="0" w:after="0" w:afterAutospacing="0" w:line="596"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根据预算绩效管理要求，我部门对部门整体和44个二级项目开展了绩效自评，涉及财政拨款项目支出资金15767.76万元。</w:t>
      </w:r>
    </w:p>
    <w:p>
      <w:pPr>
        <w:pStyle w:val="18"/>
        <w:autoSpaceDE w:val="0"/>
        <w:spacing w:before="0" w:beforeAutospacing="0" w:line="600" w:lineRule="exact"/>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部门整体绩效自评表</w:t>
      </w:r>
    </w:p>
    <w:tbl>
      <w:tblPr>
        <w:tblStyle w:val="13"/>
        <w:tblW w:w="8963" w:type="dxa"/>
        <w:tblInd w:w="0" w:type="dxa"/>
        <w:tblLayout w:type="fixed"/>
        <w:tblCellMar>
          <w:top w:w="0" w:type="dxa"/>
          <w:left w:w="0" w:type="dxa"/>
          <w:bottom w:w="0" w:type="dxa"/>
          <w:right w:w="0" w:type="dxa"/>
        </w:tblCellMar>
      </w:tblPr>
      <w:tblGrid>
        <w:gridCol w:w="549"/>
        <w:gridCol w:w="130"/>
        <w:gridCol w:w="389"/>
        <w:gridCol w:w="505"/>
        <w:gridCol w:w="384"/>
        <w:gridCol w:w="351"/>
        <w:gridCol w:w="646"/>
        <w:gridCol w:w="299"/>
        <w:gridCol w:w="1244"/>
        <w:gridCol w:w="392"/>
        <w:gridCol w:w="358"/>
        <w:gridCol w:w="561"/>
        <w:gridCol w:w="811"/>
        <w:gridCol w:w="26"/>
        <w:gridCol w:w="1013"/>
        <w:gridCol w:w="282"/>
        <w:gridCol w:w="358"/>
        <w:gridCol w:w="161"/>
        <w:gridCol w:w="317"/>
        <w:gridCol w:w="187"/>
      </w:tblGrid>
      <w:tr>
        <w:tblPrEx>
          <w:tblCellMar>
            <w:top w:w="0" w:type="dxa"/>
            <w:left w:w="0" w:type="dxa"/>
            <w:bottom w:w="0" w:type="dxa"/>
            <w:right w:w="0" w:type="dxa"/>
          </w:tblCellMar>
        </w:tblPrEx>
        <w:trPr>
          <w:gridAfter w:val="1"/>
          <w:wAfter w:w="187" w:type="dxa"/>
          <w:trHeight w:val="450" w:hRule="atLeast"/>
        </w:trPr>
        <w:tc>
          <w:tcPr>
            <w:tcW w:w="8776" w:type="dxa"/>
            <w:gridSpan w:val="19"/>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32"/>
                <w:szCs w:val="32"/>
              </w:rPr>
            </w:pPr>
            <w:r>
              <w:rPr>
                <w:rFonts w:ascii="微软雅黑" w:hAnsi="微软雅黑" w:eastAsia="微软雅黑" w:cs="微软雅黑"/>
                <w:b/>
                <w:color w:val="808080"/>
                <w:sz w:val="32"/>
                <w:szCs w:val="32"/>
                <w:lang w:bidi="ar"/>
              </w:rPr>
              <w:t>部门（单位）整体支出绩效目标申报表</w:t>
            </w:r>
          </w:p>
        </w:tc>
      </w:tr>
      <w:tr>
        <w:tblPrEx>
          <w:tblCellMar>
            <w:top w:w="0" w:type="dxa"/>
            <w:left w:w="0" w:type="dxa"/>
            <w:bottom w:w="0" w:type="dxa"/>
            <w:right w:w="0" w:type="dxa"/>
          </w:tblCellMar>
        </w:tblPrEx>
        <w:trPr>
          <w:gridAfter w:val="1"/>
          <w:wAfter w:w="187" w:type="dxa"/>
          <w:trHeight w:val="360" w:hRule="atLeast"/>
        </w:trPr>
        <w:tc>
          <w:tcPr>
            <w:tcW w:w="8776" w:type="dxa"/>
            <w:gridSpan w:val="19"/>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预算年度:2024</w:t>
            </w:r>
          </w:p>
        </w:tc>
      </w:tr>
      <w:tr>
        <w:tblPrEx>
          <w:tblCellMar>
            <w:top w:w="0" w:type="dxa"/>
            <w:left w:w="0" w:type="dxa"/>
            <w:bottom w:w="0" w:type="dxa"/>
            <w:right w:w="0" w:type="dxa"/>
          </w:tblCellMar>
        </w:tblPrEx>
        <w:trPr>
          <w:gridAfter w:val="1"/>
          <w:wAfter w:w="187" w:type="dxa"/>
          <w:trHeight w:val="740" w:hRule="atLeast"/>
        </w:trPr>
        <w:tc>
          <w:tcPr>
            <w:tcW w:w="2308" w:type="dxa"/>
            <w:gridSpan w:val="6"/>
            <w:tcBorders>
              <w:top w:val="nil"/>
              <w:left w:val="single" w:color="000000" w:sz="4" w:space="0"/>
              <w:bottom w:val="nil"/>
              <w:right w:val="nil"/>
            </w:tcBorders>
            <w:shd w:val="clear" w:color="auto" w:fill="FFFFFF"/>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预算（单位）名称：</w:t>
            </w:r>
          </w:p>
        </w:tc>
        <w:tc>
          <w:tcPr>
            <w:tcW w:w="3500" w:type="dxa"/>
            <w:gridSpan w:val="6"/>
            <w:tcBorders>
              <w:top w:val="nil"/>
              <w:left w:val="nil"/>
              <w:bottom w:val="single" w:color="000000" w:sz="4" w:space="0"/>
              <w:right w:val="nil"/>
            </w:tcBorders>
            <w:shd w:val="clear" w:color="auto" w:fill="FFFFF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209-垫江县规划和自然资源局</w:t>
            </w:r>
          </w:p>
        </w:tc>
        <w:tc>
          <w:tcPr>
            <w:tcW w:w="2968" w:type="dxa"/>
            <w:gridSpan w:val="7"/>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hint="default" w:cs="宋体"/>
                <w:b/>
                <w:color w:val="FF0000"/>
                <w:sz w:val="22"/>
                <w:szCs w:val="22"/>
              </w:rPr>
            </w:pPr>
            <w:r>
              <w:rPr>
                <w:rFonts w:cs="宋体"/>
                <w:b/>
                <w:color w:val="FF0000"/>
                <w:sz w:val="22"/>
                <w:szCs w:val="22"/>
                <w:lang w:bidi="ar"/>
              </w:rPr>
              <w:t>状态：绩效科审核已审</w:t>
            </w:r>
          </w:p>
        </w:tc>
      </w:tr>
      <w:tr>
        <w:tblPrEx>
          <w:tblCellMar>
            <w:top w:w="0" w:type="dxa"/>
            <w:left w:w="0" w:type="dxa"/>
            <w:bottom w:w="0" w:type="dxa"/>
            <w:right w:w="0" w:type="dxa"/>
          </w:tblCellMar>
        </w:tblPrEx>
        <w:trPr>
          <w:gridAfter w:val="1"/>
          <w:wAfter w:w="187" w:type="dxa"/>
          <w:trHeight w:val="388" w:hRule="atLeast"/>
        </w:trPr>
        <w:tc>
          <w:tcPr>
            <w:tcW w:w="6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总体资金情况（元）</w:t>
            </w:r>
          </w:p>
        </w:tc>
        <w:tc>
          <w:tcPr>
            <w:tcW w:w="127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预算支出总额</w:t>
            </w:r>
          </w:p>
        </w:tc>
        <w:tc>
          <w:tcPr>
            <w:tcW w:w="3290" w:type="dxa"/>
            <w:gridSpan w:val="6"/>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3529" w:type="dxa"/>
            <w:gridSpan w:val="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gridAfter w:val="1"/>
          <w:wAfter w:w="187" w:type="dxa"/>
          <w:trHeight w:val="620" w:hRule="atLeast"/>
        </w:trPr>
        <w:tc>
          <w:tcPr>
            <w:tcW w:w="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27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cs="宋体"/>
                <w:b/>
                <w:color w:val="000000"/>
                <w:sz w:val="22"/>
                <w:szCs w:val="22"/>
              </w:rPr>
            </w:pP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财政拨款</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专户资金</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单位资金</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合计</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财政拨款</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专户资金</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单位资金</w:t>
            </w:r>
          </w:p>
        </w:tc>
      </w:tr>
      <w:tr>
        <w:tblPrEx>
          <w:tblCellMar>
            <w:top w:w="0" w:type="dxa"/>
            <w:left w:w="0" w:type="dxa"/>
            <w:bottom w:w="0" w:type="dxa"/>
            <w:right w:w="0" w:type="dxa"/>
          </w:tblCellMar>
        </w:tblPrEx>
        <w:trPr>
          <w:gridAfter w:val="1"/>
          <w:wAfter w:w="187" w:type="dxa"/>
          <w:trHeight w:val="600" w:hRule="atLeast"/>
        </w:trPr>
        <w:tc>
          <w:tcPr>
            <w:tcW w:w="6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27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55194906.27 </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44577906.27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44577906.27 </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10617000.00 </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10617000.00 </w:t>
            </w:r>
          </w:p>
        </w:tc>
        <w:tc>
          <w:tcPr>
            <w:tcW w:w="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1680"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rPr>
            </w:pPr>
            <w:r>
              <w:rPr>
                <w:rFonts w:cs="宋体"/>
                <w:b/>
                <w:color w:val="000000"/>
                <w:lang w:bidi="ar"/>
              </w:rPr>
              <w:t>部</w:t>
            </w:r>
            <w:r>
              <w:rPr>
                <w:rFonts w:cs="宋体"/>
                <w:b/>
                <w:color w:val="000000"/>
                <w:lang w:bidi="ar"/>
              </w:rPr>
              <w:br w:type="textWrapping"/>
            </w:r>
            <w:r>
              <w:rPr>
                <w:rFonts w:cs="宋体"/>
                <w:b/>
                <w:color w:val="000000"/>
                <w:lang w:bidi="ar"/>
              </w:rPr>
              <w:t>门</w:t>
            </w:r>
            <w:r>
              <w:rPr>
                <w:rFonts w:cs="宋体"/>
                <w:b/>
                <w:color w:val="000000"/>
                <w:lang w:bidi="ar"/>
              </w:rPr>
              <w:br w:type="textWrapping"/>
            </w:r>
            <w:r>
              <w:rPr>
                <w:rFonts w:cs="宋体"/>
                <w:b/>
                <w:color w:val="000000"/>
                <w:lang w:bidi="ar"/>
              </w:rPr>
              <w:t>整</w:t>
            </w:r>
            <w:r>
              <w:rPr>
                <w:rFonts w:cs="宋体"/>
                <w:b/>
                <w:color w:val="000000"/>
                <w:lang w:bidi="ar"/>
              </w:rPr>
              <w:br w:type="textWrapping"/>
            </w:r>
            <w:r>
              <w:rPr>
                <w:rFonts w:cs="宋体"/>
                <w:b/>
                <w:color w:val="000000"/>
                <w:lang w:bidi="ar"/>
              </w:rPr>
              <w:t>体</w:t>
            </w:r>
            <w:r>
              <w:rPr>
                <w:rFonts w:cs="宋体"/>
                <w:b/>
                <w:color w:val="000000"/>
                <w:lang w:bidi="ar"/>
              </w:rPr>
              <w:br w:type="textWrapping"/>
            </w:r>
            <w:r>
              <w:rPr>
                <w:rFonts w:cs="宋体"/>
                <w:b/>
                <w:color w:val="000000"/>
                <w:lang w:bidi="ar"/>
              </w:rPr>
              <w:t>绩</w:t>
            </w:r>
            <w:r>
              <w:rPr>
                <w:rFonts w:cs="宋体"/>
                <w:b/>
                <w:color w:val="000000"/>
                <w:lang w:bidi="ar"/>
              </w:rPr>
              <w:br w:type="textWrapping"/>
            </w:r>
            <w:r>
              <w:rPr>
                <w:rFonts w:cs="宋体"/>
                <w:b/>
                <w:color w:val="000000"/>
                <w:lang w:bidi="ar"/>
              </w:rPr>
              <w:t>效</w:t>
            </w:r>
            <w:r>
              <w:rPr>
                <w:rFonts w:cs="宋体"/>
                <w:b/>
                <w:color w:val="000000"/>
                <w:lang w:bidi="ar"/>
              </w:rPr>
              <w:br w:type="textWrapping"/>
            </w:r>
            <w:r>
              <w:rPr>
                <w:rFonts w:cs="宋体"/>
                <w:b/>
                <w:color w:val="000000"/>
                <w:lang w:bidi="ar"/>
              </w:rPr>
              <w:t>情</w:t>
            </w:r>
            <w:r>
              <w:rPr>
                <w:rFonts w:cs="宋体"/>
                <w:b/>
                <w:color w:val="000000"/>
                <w:lang w:bidi="ar"/>
              </w:rPr>
              <w:br w:type="textWrapping"/>
            </w:r>
            <w:r>
              <w:rPr>
                <w:rFonts w:cs="宋体"/>
                <w:b/>
                <w:color w:val="000000"/>
                <w:lang w:bidi="ar"/>
              </w:rPr>
              <w:t>况</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整体绩效目标</w:t>
            </w:r>
          </w:p>
        </w:tc>
        <w:tc>
          <w:tcPr>
            <w:tcW w:w="789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通过年度预算支出，完成以下年度工作目标：强化规划引领，完成县级国土空间详细规划，做好做实生态保护红线勘界定标，确保全县建设项目落实落地。做好重点项目用地报批，精准保障用地需求；完成年度土地变更工作，加强耕地保护；完成土地储备工作；消除地质灾害隐患，规范矿产秩序；清理整治违建行为，违法案件立案查处率100%，不动产登记办证率100%，征地拆迁安置率95%以上。</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8414" w:type="dxa"/>
            <w:gridSpan w:val="1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年度绩效指标</w:t>
            </w:r>
          </w:p>
        </w:tc>
      </w:tr>
      <w:tr>
        <w:tblPrEx>
          <w:tblCellMar>
            <w:top w:w="0" w:type="dxa"/>
            <w:left w:w="0" w:type="dxa"/>
            <w:bottom w:w="0" w:type="dxa"/>
            <w:right w:w="0" w:type="dxa"/>
          </w:tblCellMar>
        </w:tblPrEx>
        <w:trPr>
          <w:trHeight w:val="426"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一级指标</w:t>
            </w:r>
          </w:p>
        </w:tc>
        <w:tc>
          <w:tcPr>
            <w:tcW w:w="13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二级指标</w:t>
            </w: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 xml:space="preserve"> 三级指标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绩效指标性质</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绩效指标值</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绩效度量单位</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权重</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产出指标</w:t>
            </w:r>
          </w:p>
        </w:tc>
        <w:tc>
          <w:tcPr>
            <w:tcW w:w="13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数量指标</w:t>
            </w: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变更调查及卫片执法图斑数量</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1.5</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万个</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地下水监测站网建设监测站点</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7</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个</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耕地保有量</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103.7</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万亩</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集体土地所有权确权更新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2019</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个</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解决规划实施中的具体问题</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30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次</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开展历史遗留和关闭矿山地质环境治理恢复与土地复垦</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1.22</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公顷</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矿产资源出让</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2</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宗</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年度土地变更调查次数</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3</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次</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收回收购国有土地使用权面积</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107</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亩</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土地供应计划面积</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4000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亩</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完成招商引资任务</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1.3</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亿元</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消除地质灾害隐患点</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处</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新增耕地指标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亩</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新增矿产资源量</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200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万吨</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4</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质量指标</w:t>
            </w: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不动产产权发证率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3</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国土空间详细规划编制完成率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3</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所有违法案件立案查处率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3</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征地拆迁安置率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95</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3</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时效指标</w:t>
            </w: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部门预决算按时公开率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100</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全年预算支出执行率</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95</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13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三季度预算执行进度</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75</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10</w:t>
            </w:r>
          </w:p>
        </w:tc>
      </w:tr>
      <w:tr>
        <w:tblPrEx>
          <w:tblCellMar>
            <w:top w:w="0" w:type="dxa"/>
            <w:left w:w="0" w:type="dxa"/>
            <w:bottom w:w="0" w:type="dxa"/>
            <w:right w:w="0" w:type="dxa"/>
          </w:tblCellMar>
        </w:tblPrEx>
        <w:trPr>
          <w:trHeight w:val="60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rPr>
            </w:pPr>
          </w:p>
        </w:tc>
        <w:tc>
          <w:tcPr>
            <w:tcW w:w="102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满意度指标</w:t>
            </w:r>
          </w:p>
        </w:tc>
        <w:tc>
          <w:tcPr>
            <w:tcW w:w="13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color w:val="000000"/>
                <w:sz w:val="22"/>
                <w:szCs w:val="22"/>
              </w:rPr>
            </w:pPr>
            <w:r>
              <w:rPr>
                <w:rFonts w:cs="宋体"/>
                <w:color w:val="000000"/>
                <w:sz w:val="22"/>
                <w:szCs w:val="22"/>
                <w:lang w:bidi="ar"/>
              </w:rPr>
              <w:t>服务对象满意度指标</w:t>
            </w:r>
          </w:p>
        </w:tc>
        <w:tc>
          <w:tcPr>
            <w:tcW w:w="2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群众满意度</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85</w:t>
            </w:r>
          </w:p>
        </w:tc>
        <w:tc>
          <w:tcPr>
            <w:tcW w:w="80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2</w:t>
            </w:r>
          </w:p>
        </w:tc>
      </w:tr>
      <w:tr>
        <w:tblPrEx>
          <w:tblCellMar>
            <w:top w:w="0" w:type="dxa"/>
            <w:left w:w="0" w:type="dxa"/>
            <w:bottom w:w="0" w:type="dxa"/>
            <w:right w:w="0" w:type="dxa"/>
          </w:tblCellMar>
        </w:tblPrEx>
        <w:trPr>
          <w:trHeight w:val="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其他说明</w:t>
            </w:r>
          </w:p>
        </w:tc>
        <w:tc>
          <w:tcPr>
            <w:tcW w:w="8414"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r>
    </w:tbl>
    <w:p>
      <w:pPr>
        <w:pStyle w:val="18"/>
        <w:spacing w:before="0" w:beforeAutospacing="0"/>
        <w:rPr>
          <w:rFonts w:ascii="方正仿宋_GBK" w:hAnsi="方正仿宋_GBK" w:eastAsia="方正仿宋_GBK" w:cs="方正仿宋_GBK"/>
          <w:sz w:val="32"/>
          <w:szCs w:val="32"/>
          <w:shd w:val="clear" w:color="auto" w:fill="FFFFFF"/>
        </w:rPr>
      </w:pPr>
    </w:p>
    <w:p>
      <w:pPr>
        <w:pStyle w:val="18"/>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shd w:val="clear" w:color="auto" w:fill="FFFFFF"/>
          <w:lang w:bidi="ar"/>
        </w:rPr>
        <w:t>项目支出绩效自评表（二级项目）</w:t>
      </w:r>
    </w:p>
    <w:p>
      <w:pPr>
        <w:pStyle w:val="18"/>
        <w:spacing w:before="0" w:beforeAutospacing="0"/>
        <w:rPr>
          <w:rFonts w:ascii="方正仿宋_GBK" w:hAnsi="方正仿宋_GBK" w:eastAsia="方正仿宋_GBK" w:cs="方正仿宋_GBK"/>
          <w:sz w:val="32"/>
          <w:szCs w:val="32"/>
          <w:shd w:val="clear" w:color="auto" w:fill="FFFFFF"/>
        </w:rPr>
      </w:pPr>
    </w:p>
    <w:tbl>
      <w:tblPr>
        <w:tblStyle w:val="13"/>
        <w:tblpPr w:leftFromText="180" w:rightFromText="180" w:vertAnchor="text" w:horzAnchor="margin" w:tblpX="108" w:tblpY="-61"/>
        <w:tblW w:w="8588" w:type="dxa"/>
        <w:tblInd w:w="0" w:type="dxa"/>
        <w:tblLayout w:type="fixed"/>
        <w:tblCellMar>
          <w:top w:w="0" w:type="dxa"/>
          <w:left w:w="108" w:type="dxa"/>
          <w:bottom w:w="0" w:type="dxa"/>
          <w:right w:w="108" w:type="dxa"/>
        </w:tblCellMar>
      </w:tblPr>
      <w:tblGrid>
        <w:gridCol w:w="959"/>
        <w:gridCol w:w="34"/>
        <w:gridCol w:w="533"/>
        <w:gridCol w:w="142"/>
        <w:gridCol w:w="94"/>
        <w:gridCol w:w="614"/>
        <w:gridCol w:w="142"/>
        <w:gridCol w:w="284"/>
        <w:gridCol w:w="29"/>
        <w:gridCol w:w="538"/>
        <w:gridCol w:w="317"/>
        <w:gridCol w:w="675"/>
        <w:gridCol w:w="34"/>
        <w:gridCol w:w="283"/>
        <w:gridCol w:w="425"/>
        <w:gridCol w:w="392"/>
        <w:gridCol w:w="317"/>
        <w:gridCol w:w="108"/>
        <w:gridCol w:w="34"/>
        <w:gridCol w:w="567"/>
        <w:gridCol w:w="108"/>
        <w:gridCol w:w="175"/>
        <w:gridCol w:w="426"/>
        <w:gridCol w:w="249"/>
        <w:gridCol w:w="34"/>
        <w:gridCol w:w="425"/>
        <w:gridCol w:w="650"/>
      </w:tblGrid>
      <w:tr>
        <w:tblPrEx>
          <w:tblCellMar>
            <w:top w:w="0" w:type="dxa"/>
            <w:left w:w="108" w:type="dxa"/>
            <w:bottom w:w="0" w:type="dxa"/>
            <w:right w:w="108" w:type="dxa"/>
          </w:tblCellMar>
        </w:tblPrEx>
        <w:trPr>
          <w:trHeight w:val="706" w:hRule="atLeast"/>
        </w:trPr>
        <w:tc>
          <w:tcPr>
            <w:tcW w:w="8588"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rPr>
          <w:trHeight w:val="319" w:hRule="atLeast"/>
        </w:trPr>
        <w:tc>
          <w:tcPr>
            <w:tcW w:w="8588"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696" w:hRule="atLeast"/>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项目名称：</w:t>
            </w:r>
          </w:p>
        </w:tc>
        <w:tc>
          <w:tcPr>
            <w:tcW w:w="1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国有建设用地使用权收购价款</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项目编码：</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50023125T000004982069</w:t>
            </w: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自评总分：</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94.44</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64" w:hRule="atLeast"/>
        </w:trPr>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项目主管部门：</w:t>
            </w:r>
          </w:p>
        </w:tc>
        <w:tc>
          <w:tcPr>
            <w:tcW w:w="1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209-垫江县规划和自然资源局</w:t>
            </w:r>
          </w:p>
        </w:tc>
        <w:tc>
          <w:tcPr>
            <w:tcW w:w="8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财政归口处室：</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005-经建科</w:t>
            </w: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部门联系人：</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唐政</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b/>
                <w:bCs/>
                <w:color w:val="000000"/>
                <w:sz w:val="18"/>
                <w:szCs w:val="18"/>
              </w:rPr>
            </w:pPr>
            <w:r>
              <w:rPr>
                <w:rFonts w:ascii="方正仿宋_GBK" w:eastAsia="方正仿宋_GBK" w:cs="宋体"/>
                <w:b/>
                <w:bCs/>
                <w:color w:val="000000"/>
                <w:sz w:val="18"/>
                <w:szCs w:val="18"/>
              </w:rPr>
              <w:t>联系电话：</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74684700</w:t>
            </w:r>
          </w:p>
        </w:tc>
      </w:tr>
      <w:tr>
        <w:tblPrEx>
          <w:tblCellMar>
            <w:top w:w="0" w:type="dxa"/>
            <w:left w:w="108" w:type="dxa"/>
            <w:bottom w:w="0" w:type="dxa"/>
            <w:right w:w="108" w:type="dxa"/>
          </w:tblCellMar>
        </w:tblPrEx>
        <w:trPr>
          <w:trHeight w:val="306" w:hRule="atLeast"/>
        </w:trPr>
        <w:tc>
          <w:tcPr>
            <w:tcW w:w="8588"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微软雅黑" w:eastAsia="方正仿宋_GBK" w:cs="宋体"/>
                <w:b/>
                <w:bCs/>
                <w:color w:val="808080"/>
                <w:sz w:val="18"/>
                <w:szCs w:val="18"/>
              </w:rPr>
            </w:pPr>
            <w:r>
              <w:rPr>
                <w:rFonts w:ascii="方正仿宋_GBK" w:hAnsi="微软雅黑" w:eastAsia="方正仿宋_GBK" w:cs="宋体"/>
                <w:b/>
                <w:bCs/>
                <w:color w:val="808080"/>
                <w:sz w:val="18"/>
                <w:szCs w:val="18"/>
              </w:rPr>
              <w:t>资金情况</w:t>
            </w:r>
          </w:p>
        </w:tc>
      </w:tr>
      <w:tr>
        <w:tblPrEx>
          <w:tblCellMar>
            <w:top w:w="0" w:type="dxa"/>
            <w:left w:w="108" w:type="dxa"/>
            <w:bottom w:w="0" w:type="dxa"/>
            <w:right w:w="108" w:type="dxa"/>
          </w:tblCellMar>
        </w:tblPrEx>
        <w:trPr>
          <w:trHeight w:val="733"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p>
        </w:tc>
        <w:tc>
          <w:tcPr>
            <w:tcW w:w="1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年初预算数</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全年（调整）预算数</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全年执行数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执行率</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执行率权重</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执行率得分</w:t>
            </w:r>
          </w:p>
        </w:tc>
      </w:tr>
      <w:tr>
        <w:tblPrEx>
          <w:tblCellMar>
            <w:top w:w="0" w:type="dxa"/>
            <w:left w:w="108" w:type="dxa"/>
            <w:bottom w:w="0" w:type="dxa"/>
            <w:right w:w="108" w:type="dxa"/>
          </w:tblCellMar>
        </w:tblPrEx>
        <w:trPr>
          <w:trHeight w:val="254"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年度总金额</w:t>
            </w:r>
          </w:p>
        </w:tc>
        <w:tc>
          <w:tcPr>
            <w:tcW w:w="236"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default" w:ascii="方正仿宋_GBK" w:eastAsia="方正仿宋_GBK" w:cs="宋体"/>
                <w:color w:val="000000"/>
                <w:sz w:val="18"/>
                <w:szCs w:val="18"/>
              </w:rPr>
            </w:pPr>
          </w:p>
        </w:tc>
        <w:tc>
          <w:tcPr>
            <w:tcW w:w="1040" w:type="dxa"/>
            <w:gridSpan w:val="3"/>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358"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其中：财政拨款</w:t>
            </w:r>
          </w:p>
        </w:tc>
        <w:tc>
          <w:tcPr>
            <w:tcW w:w="236"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default" w:ascii="方正仿宋_GBK" w:eastAsia="方正仿宋_GBK" w:cs="宋体"/>
                <w:color w:val="000000"/>
                <w:sz w:val="18"/>
                <w:szCs w:val="18"/>
              </w:rPr>
            </w:pPr>
          </w:p>
        </w:tc>
        <w:tc>
          <w:tcPr>
            <w:tcW w:w="1040" w:type="dxa"/>
            <w:gridSpan w:val="3"/>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116,000,000.00 </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10.00</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 xml:space="preserve">10.00 </w:t>
            </w:r>
          </w:p>
        </w:tc>
      </w:tr>
      <w:tr>
        <w:tblPrEx>
          <w:tblCellMar>
            <w:top w:w="0" w:type="dxa"/>
            <w:left w:w="108" w:type="dxa"/>
            <w:bottom w:w="0" w:type="dxa"/>
            <w:right w:w="108" w:type="dxa"/>
          </w:tblCellMar>
        </w:tblPrEx>
        <w:trPr>
          <w:trHeight w:val="223" w:hRule="atLeast"/>
        </w:trPr>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一般公共预算</w:t>
            </w:r>
          </w:p>
        </w:tc>
        <w:tc>
          <w:tcPr>
            <w:tcW w:w="236"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default" w:ascii="方正仿宋_GBK" w:eastAsia="方正仿宋_GBK" w:cs="宋体"/>
                <w:color w:val="000000"/>
                <w:sz w:val="18"/>
                <w:szCs w:val="18"/>
              </w:rPr>
            </w:pPr>
          </w:p>
        </w:tc>
        <w:tc>
          <w:tcPr>
            <w:tcW w:w="1040" w:type="dxa"/>
            <w:gridSpan w:val="3"/>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 xml:space="preserve">0.00 </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right"/>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326" w:hRule="atLeast"/>
        </w:trPr>
        <w:tc>
          <w:tcPr>
            <w:tcW w:w="8588"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微软雅黑" w:eastAsia="方正仿宋_GBK" w:cs="宋体"/>
                <w:b/>
                <w:bCs/>
                <w:color w:val="808080"/>
                <w:sz w:val="18"/>
                <w:szCs w:val="18"/>
              </w:rPr>
            </w:pPr>
            <w:r>
              <w:rPr>
                <w:rFonts w:ascii="方正仿宋_GBK" w:hAnsi="微软雅黑" w:eastAsia="方正仿宋_GBK" w:cs="宋体"/>
                <w:b/>
                <w:bCs/>
                <w:color w:val="808080"/>
                <w:sz w:val="18"/>
                <w:szCs w:val="18"/>
              </w:rPr>
              <w:t>绩效目标</w:t>
            </w:r>
          </w:p>
        </w:tc>
      </w:tr>
      <w:tr>
        <w:tblPrEx>
          <w:tblCellMar>
            <w:top w:w="0" w:type="dxa"/>
            <w:left w:w="108" w:type="dxa"/>
            <w:bottom w:w="0" w:type="dxa"/>
            <w:right w:w="108" w:type="dxa"/>
          </w:tblCellMar>
        </w:tblPrEx>
        <w:trPr>
          <w:trHeight w:val="335" w:hRule="atLeast"/>
        </w:trPr>
        <w:tc>
          <w:tcPr>
            <w:tcW w:w="283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年初绩效目标</w:t>
            </w:r>
          </w:p>
        </w:tc>
        <w:tc>
          <w:tcPr>
            <w:tcW w:w="26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全年（调整）绩效目标</w:t>
            </w:r>
          </w:p>
        </w:tc>
        <w:tc>
          <w:tcPr>
            <w:tcW w:w="30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全年目标实际完成情况</w:t>
            </w:r>
          </w:p>
        </w:tc>
      </w:tr>
      <w:tr>
        <w:trPr>
          <w:trHeight w:val="567" w:hRule="atLeast"/>
        </w:trPr>
        <w:tc>
          <w:tcPr>
            <w:tcW w:w="2831" w:type="dxa"/>
            <w:gridSpan w:val="9"/>
            <w:tcBorders>
              <w:top w:val="single" w:color="000000" w:sz="4" w:space="0"/>
              <w:left w:val="single" w:color="000000" w:sz="4" w:space="0"/>
              <w:bottom w:val="single" w:color="000000" w:sz="4" w:space="0"/>
              <w:right w:val="single" w:color="000000" w:sz="4" w:space="0"/>
            </w:tcBorders>
            <w:shd w:val="clear" w:color="auto" w:fill="auto"/>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收回骏鸿公司超期未开发国有建设用地使用权。</w:t>
            </w:r>
          </w:p>
        </w:tc>
        <w:tc>
          <w:tcPr>
            <w:tcW w:w="2664" w:type="dxa"/>
            <w:gridSpan w:val="7"/>
            <w:tcBorders>
              <w:top w:val="single" w:color="000000" w:sz="4" w:space="0"/>
              <w:left w:val="single" w:color="000000" w:sz="4" w:space="0"/>
              <w:bottom w:val="single" w:color="000000" w:sz="4" w:space="0"/>
              <w:right w:val="single" w:color="000000" w:sz="4" w:space="0"/>
            </w:tcBorders>
            <w:shd w:val="clear" w:color="auto" w:fill="auto"/>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收回骏鸿公司超期未开发国有建设用地使用权。</w:t>
            </w:r>
          </w:p>
        </w:tc>
        <w:tc>
          <w:tcPr>
            <w:tcW w:w="3093" w:type="dxa"/>
            <w:gridSpan w:val="11"/>
            <w:tcBorders>
              <w:top w:val="single" w:color="000000" w:sz="4" w:space="0"/>
              <w:left w:val="single" w:color="000000" w:sz="4" w:space="0"/>
              <w:bottom w:val="single" w:color="000000" w:sz="4" w:space="0"/>
              <w:right w:val="single" w:color="000000" w:sz="4" w:space="0"/>
            </w:tcBorders>
            <w:shd w:val="clear" w:color="auto" w:fill="auto"/>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收回骏鸿公司超期未开发国有建设用地使用权6宗，共481.6亩。</w:t>
            </w:r>
          </w:p>
        </w:tc>
      </w:tr>
      <w:tr>
        <w:tblPrEx>
          <w:tblCellMar>
            <w:top w:w="0" w:type="dxa"/>
            <w:left w:w="108" w:type="dxa"/>
            <w:bottom w:w="0" w:type="dxa"/>
            <w:right w:w="108" w:type="dxa"/>
          </w:tblCellMar>
        </w:tblPrEx>
        <w:trPr>
          <w:trHeight w:val="316" w:hRule="atLeast"/>
        </w:trPr>
        <w:tc>
          <w:tcPr>
            <w:tcW w:w="8588"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hAnsi="微软雅黑" w:eastAsia="方正仿宋_GBK" w:cs="宋体"/>
                <w:b/>
                <w:bCs/>
                <w:color w:val="808080"/>
                <w:sz w:val="18"/>
                <w:szCs w:val="18"/>
              </w:rPr>
            </w:pPr>
            <w:r>
              <w:rPr>
                <w:rFonts w:ascii="方正仿宋_GBK" w:hAnsi="微软雅黑" w:eastAsia="方正仿宋_GBK" w:cs="宋体"/>
                <w:b/>
                <w:bCs/>
                <w:color w:val="808080"/>
                <w:sz w:val="18"/>
                <w:szCs w:val="18"/>
              </w:rPr>
              <w:t>绩效指标</w:t>
            </w:r>
          </w:p>
        </w:tc>
      </w:tr>
      <w:tr>
        <w:tblPrEx>
          <w:tblCellMar>
            <w:top w:w="0" w:type="dxa"/>
            <w:left w:w="108" w:type="dxa"/>
            <w:bottom w:w="0" w:type="dxa"/>
            <w:right w:w="108" w:type="dxa"/>
          </w:tblCellMar>
        </w:tblPrEx>
        <w:trPr>
          <w:trHeight w:val="86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指标名称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计量单位</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指标性质</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指标值</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全年完成值</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偏离度（%）</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得分系数（%）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指标权重</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指标得分</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是否核心指标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仿宋_GBK" w:eastAsia="方正仿宋_GBK" w:cs="宋体"/>
                <w:b/>
                <w:bCs/>
                <w:color w:val="000000"/>
                <w:sz w:val="18"/>
                <w:szCs w:val="18"/>
              </w:rPr>
            </w:pPr>
            <w:r>
              <w:rPr>
                <w:rFonts w:ascii="方正仿宋_GBK" w:eastAsia="方正仿宋_GBK" w:cs="宋体"/>
                <w:b/>
                <w:bCs/>
                <w:color w:val="000000"/>
                <w:sz w:val="18"/>
                <w:szCs w:val="18"/>
              </w:rPr>
              <w:t>说明</w:t>
            </w:r>
          </w:p>
        </w:tc>
      </w:tr>
      <w:tr>
        <w:tblPrEx>
          <w:tblCellMar>
            <w:top w:w="0" w:type="dxa"/>
            <w:left w:w="108" w:type="dxa"/>
            <w:bottom w:w="0" w:type="dxa"/>
            <w:right w:w="108" w:type="dxa"/>
          </w:tblCellMar>
        </w:tblPrEx>
        <w:trPr>
          <w:trHeight w:val="40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收回面积</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亩</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481.6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481.6</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446"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方正仿宋_GBK" w:eastAsia="方正仿宋_GBK" w:cs="宋体"/>
                <w:color w:val="000000"/>
                <w:sz w:val="18"/>
                <w:szCs w:val="18"/>
              </w:rPr>
            </w:pPr>
            <w:r>
              <w:rPr>
                <w:rFonts w:ascii="方正仿宋_GBK" w:eastAsia="方正仿宋_GBK" w:cs="宋体"/>
                <w:color w:val="000000"/>
                <w:sz w:val="18"/>
                <w:szCs w:val="18"/>
              </w:rPr>
              <w:t>收回宗数</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宗</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方正仿宋_GBK" w:eastAsia="方正仿宋_GBK" w:cs="宋体"/>
                <w:color w:val="000000"/>
                <w:sz w:val="18"/>
                <w:szCs w:val="18"/>
              </w:rPr>
            </w:pPr>
            <w:r>
              <w:rPr>
                <w:rFonts w:ascii="方正仿宋_GBK" w:eastAsia="方正仿宋_GBK" w:cs="宋体"/>
                <w:color w:val="000000"/>
                <w:sz w:val="18"/>
                <w:szCs w:val="18"/>
              </w:rPr>
              <w:t>6</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7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减少土地资源浪费率</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收回时间</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定性</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2024.12</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方正仿宋_GBK" w:eastAsia="方正仿宋_GBK" w:cs="宋体"/>
                <w:color w:val="000000"/>
                <w:sz w:val="18"/>
                <w:szCs w:val="18"/>
              </w:rPr>
            </w:pPr>
            <w:r>
              <w:rPr>
                <w:rFonts w:ascii="方正仿宋_GBK" w:eastAsia="方正仿宋_GBK" w:cs="宋体"/>
                <w:color w:val="000000"/>
                <w:sz w:val="18"/>
                <w:szCs w:val="18"/>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5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收回成本</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万元</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11600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ascii="方正仿宋_GBK" w:eastAsia="方正仿宋_GBK" w:cs="宋体"/>
                <w:color w:val="000000"/>
                <w:sz w:val="18"/>
                <w:szCs w:val="18"/>
              </w:rPr>
            </w:pPr>
            <w:r>
              <w:rPr>
                <w:rFonts w:ascii="方正仿宋_GBK" w:eastAsia="方正仿宋_GBK" w:cs="宋体"/>
                <w:color w:val="000000"/>
                <w:sz w:val="18"/>
                <w:szCs w:val="18"/>
              </w:rPr>
              <w:t>11600</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15</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9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对垫江工业发展的影响</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定性</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ascii="方正仿宋_GBK" w:eastAsia="方正仿宋_GBK" w:cs="宋体"/>
                <w:color w:val="000000"/>
                <w:sz w:val="18"/>
                <w:szCs w:val="18"/>
              </w:rPr>
            </w:pPr>
            <w:r>
              <w:rPr>
                <w:rFonts w:ascii="方正仿宋_GBK" w:eastAsia="方正仿宋_GBK" w:cs="宋体"/>
                <w:color w:val="000000"/>
                <w:sz w:val="18"/>
                <w:szCs w:val="18"/>
              </w:rPr>
              <w:t>利于优化工业园区澄溪组团产业布局调整</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92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对垫江招商引资的影响</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定性</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ascii="方正仿宋_GBK" w:eastAsia="方正仿宋_GBK" w:cs="宋体"/>
                <w:color w:val="000000"/>
                <w:sz w:val="18"/>
                <w:szCs w:val="18"/>
              </w:rPr>
            </w:pPr>
            <w:r>
              <w:rPr>
                <w:rFonts w:ascii="方正仿宋_GBK" w:eastAsia="方正仿宋_GBK" w:cs="宋体"/>
                <w:color w:val="000000"/>
                <w:sz w:val="18"/>
                <w:szCs w:val="18"/>
              </w:rPr>
              <w:t>利于重新招商引进新的工业企业，保障新企业用地</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r>
      <w:tr>
        <w:tblPrEx>
          <w:tblCellMar>
            <w:top w:w="0" w:type="dxa"/>
            <w:left w:w="108" w:type="dxa"/>
            <w:bottom w:w="0" w:type="dxa"/>
            <w:right w:w="108" w:type="dxa"/>
          </w:tblCellMar>
        </w:tblPrEx>
        <w:trPr>
          <w:trHeight w:val="64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ascii="方正仿宋_GBK" w:eastAsia="方正仿宋_GBK" w:cs="宋体"/>
                <w:color w:val="000000"/>
                <w:sz w:val="18"/>
                <w:szCs w:val="18"/>
              </w:rPr>
            </w:pPr>
            <w:r>
              <w:rPr>
                <w:rFonts w:ascii="方正仿宋_GBK" w:eastAsia="方正仿宋_GBK" w:cs="宋体"/>
                <w:color w:val="000000"/>
                <w:sz w:val="18"/>
                <w:szCs w:val="18"/>
              </w:rPr>
              <w:t>被收回对象的满意度</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r>
              <w:rPr>
                <w:rFonts w:ascii="方正仿宋_GBK" w:eastAsia="方正仿宋_GBK" w:cs="宋体"/>
                <w:color w:val="000000"/>
                <w:sz w:val="18"/>
                <w:szCs w:val="18"/>
              </w:rPr>
              <w:t>≥</w:t>
            </w:r>
          </w:p>
        </w:tc>
        <w:tc>
          <w:tcPr>
            <w:tcW w:w="13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90</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85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5.56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44.4</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10</w:t>
            </w:r>
          </w:p>
        </w:tc>
        <w:tc>
          <w:tcPr>
            <w:tcW w:w="7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4.44</w:t>
            </w:r>
          </w:p>
        </w:tc>
        <w:tc>
          <w:tcPr>
            <w:tcW w:w="7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jc w:val="center"/>
              <w:rPr>
                <w:rFonts w:hint="default" w:ascii="方正仿宋_GBK" w:eastAsia="方正仿宋_GBK" w:cs="宋体"/>
                <w:color w:val="000000"/>
                <w:sz w:val="18"/>
                <w:szCs w:val="18"/>
              </w:rPr>
            </w:pPr>
            <w:r>
              <w:rPr>
                <w:rFonts w:ascii="方正仿宋_GBK" w:eastAsia="方正仿宋_GBK" w:cs="宋体"/>
                <w:color w:val="000000"/>
                <w:sz w:val="18"/>
                <w:szCs w:val="18"/>
              </w:rPr>
              <w:t>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80" w:firstLineChars="100"/>
              <w:rPr>
                <w:rFonts w:hint="default" w:ascii="方正仿宋_GBK" w:eastAsia="方正仿宋_GBK" w:cs="宋体"/>
                <w:color w:val="000000"/>
                <w:sz w:val="18"/>
                <w:szCs w:val="18"/>
              </w:rPr>
            </w:pPr>
          </w:p>
        </w:tc>
      </w:tr>
    </w:tbl>
    <w:p>
      <w:pPr>
        <w:pStyle w:val="18"/>
        <w:spacing w:before="0" w:beforeAutospacing="0"/>
        <w:rPr>
          <w:rStyle w:val="19"/>
          <w:rFonts w:ascii="方正仿宋_GBK" w:hAnsi="方正仿宋_GBK" w:eastAsia="方正仿宋_GBK" w:cs="方正仿宋_GBK"/>
          <w:color w:val="FF0000"/>
          <w:sz w:val="32"/>
          <w:szCs w:val="32"/>
          <w:shd w:val="clear" w:color="auto" w:fill="FFFFFF"/>
        </w:rPr>
      </w:pPr>
    </w:p>
    <w:tbl>
      <w:tblPr>
        <w:tblStyle w:val="13"/>
        <w:tblW w:w="9120" w:type="dxa"/>
        <w:tblInd w:w="0" w:type="dxa"/>
        <w:tblLayout w:type="autofit"/>
        <w:tblCellMar>
          <w:top w:w="0" w:type="dxa"/>
          <w:left w:w="0" w:type="dxa"/>
          <w:bottom w:w="0" w:type="dxa"/>
          <w:right w:w="0" w:type="dxa"/>
        </w:tblCellMar>
      </w:tblPr>
      <w:tblGrid>
        <w:gridCol w:w="1942"/>
        <w:gridCol w:w="619"/>
        <w:gridCol w:w="563"/>
        <w:gridCol w:w="744"/>
        <w:gridCol w:w="915"/>
        <w:gridCol w:w="802"/>
        <w:gridCol w:w="775"/>
        <w:gridCol w:w="576"/>
        <w:gridCol w:w="577"/>
        <w:gridCol w:w="800"/>
        <w:gridCol w:w="807"/>
      </w:tblGrid>
      <w:tr>
        <w:tblPrEx>
          <w:tblCellMar>
            <w:top w:w="0" w:type="dxa"/>
            <w:left w:w="0" w:type="dxa"/>
            <w:bottom w:w="0" w:type="dxa"/>
            <w:right w:w="0" w:type="dxa"/>
          </w:tblCellMar>
        </w:tblPrEx>
        <w:trPr>
          <w:trHeight w:val="800" w:hRule="atLeast"/>
        </w:trPr>
        <w:tc>
          <w:tcPr>
            <w:tcW w:w="9120" w:type="dxa"/>
            <w:gridSpan w:val="11"/>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32"/>
                <w:szCs w:val="32"/>
              </w:rPr>
            </w:pPr>
            <w:r>
              <w:rPr>
                <w:rFonts w:ascii="微软雅黑" w:hAnsi="微软雅黑" w:eastAsia="微软雅黑" w:cs="微软雅黑"/>
                <w:b/>
                <w:color w:val="000000"/>
                <w:sz w:val="32"/>
                <w:szCs w:val="32"/>
                <w:lang w:bidi="ar"/>
              </w:rPr>
              <w:t>2024年度二级项目绩效自评表</w:t>
            </w:r>
          </w:p>
        </w:tc>
      </w:tr>
      <w:tr>
        <w:tblPrEx>
          <w:tblCellMar>
            <w:top w:w="0" w:type="dxa"/>
            <w:left w:w="0" w:type="dxa"/>
            <w:bottom w:w="0" w:type="dxa"/>
            <w:right w:w="0" w:type="dxa"/>
          </w:tblCellMar>
        </w:tblPrEx>
        <w:trPr>
          <w:trHeight w:val="500"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7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项目名称：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耕地保护和生态修复相关技术服务</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项目编码：</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50023124T000004151641</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自评总分：</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98.40</w:t>
            </w:r>
          </w:p>
        </w:tc>
      </w:tr>
      <w:tr>
        <w:tblPrEx>
          <w:tblCellMar>
            <w:top w:w="0" w:type="dxa"/>
            <w:left w:w="0" w:type="dxa"/>
            <w:bottom w:w="0" w:type="dxa"/>
            <w:right w:w="0" w:type="dxa"/>
          </w:tblCellMar>
        </w:tblPrEx>
        <w:trPr>
          <w:trHeight w:val="64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项目主管部门：</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209-垫江县规划和自然资源局</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财政归口处室：</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005-经建科</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部门联系人：</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2"/>
                <w:szCs w:val="22"/>
              </w:rPr>
            </w:pPr>
            <w:r>
              <w:rPr>
                <w:rFonts w:cs="宋体"/>
                <w:color w:val="000000"/>
                <w:sz w:val="22"/>
                <w:szCs w:val="22"/>
                <w:lang w:bidi="ar"/>
              </w:rPr>
              <w:t>朱建波</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联系电话：</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74684700</w:t>
            </w:r>
          </w:p>
        </w:tc>
      </w:tr>
      <w:tr>
        <w:tblPrEx>
          <w:tblCellMar>
            <w:top w:w="0" w:type="dxa"/>
            <w:left w:w="0" w:type="dxa"/>
            <w:bottom w:w="0" w:type="dxa"/>
            <w:right w:w="0" w:type="dxa"/>
          </w:tblCellMar>
        </w:tblPrEx>
        <w:trPr>
          <w:trHeight w:val="600"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2"/>
                <w:szCs w:val="22"/>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年初预算数</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全年（调整）预算数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执行率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color w:val="000000"/>
                <w:sz w:val="18"/>
                <w:szCs w:val="18"/>
              </w:rPr>
            </w:pPr>
            <w:r>
              <w:rPr>
                <w:rFonts w:cs="宋体"/>
                <w:b/>
                <w:color w:val="000000"/>
                <w:sz w:val="18"/>
                <w:szCs w:val="18"/>
                <w:lang w:bidi="ar"/>
              </w:rPr>
              <w:t>执行率权重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执行率得分</w:t>
            </w:r>
          </w:p>
        </w:tc>
      </w:tr>
      <w:tr>
        <w:tblPrEx>
          <w:tblCellMar>
            <w:top w:w="0" w:type="dxa"/>
            <w:left w:w="0" w:type="dxa"/>
            <w:bottom w:w="0" w:type="dxa"/>
            <w:right w:w="0" w:type="dxa"/>
          </w:tblCellMar>
        </w:tblPrEx>
        <w:trPr>
          <w:trHeight w:val="437"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8"/>
                <w:szCs w:val="18"/>
              </w:rPr>
            </w:pPr>
            <w:r>
              <w:rPr>
                <w:rFonts w:cs="宋体"/>
                <w:color w:val="000000"/>
                <w:sz w:val="18"/>
                <w:szCs w:val="18"/>
                <w:lang w:bidi="ar"/>
              </w:rPr>
              <w:t>年度总金额</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1200000.00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16"/>
                <w:szCs w:val="16"/>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16"/>
                <w:szCs w:val="16"/>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16"/>
                <w:szCs w:val="16"/>
              </w:rPr>
            </w:pPr>
          </w:p>
        </w:tc>
      </w:tr>
      <w:tr>
        <w:tblPrEx>
          <w:tblCellMar>
            <w:top w:w="0" w:type="dxa"/>
            <w:left w:w="0" w:type="dxa"/>
            <w:bottom w:w="0" w:type="dxa"/>
            <w:right w:w="0" w:type="dxa"/>
          </w:tblCellMar>
        </w:tblPrEx>
        <w:trPr>
          <w:trHeight w:val="420"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8"/>
                <w:szCs w:val="18"/>
              </w:rPr>
            </w:pPr>
            <w:r>
              <w:rPr>
                <w:rFonts w:cs="宋体"/>
                <w:color w:val="000000"/>
                <w:sz w:val="18"/>
                <w:szCs w:val="18"/>
                <w:lang w:bidi="ar"/>
              </w:rPr>
              <w:t>其中：财政拨款</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1200000.00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16"/>
                <w:szCs w:val="16"/>
              </w:rPr>
            </w:pPr>
            <w:r>
              <w:rPr>
                <w:rFonts w:cs="宋体"/>
                <w:color w:val="000000"/>
                <w:sz w:val="16"/>
                <w:szCs w:val="16"/>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16"/>
                <w:szCs w:val="16"/>
              </w:rPr>
            </w:pPr>
            <w:r>
              <w:rPr>
                <w:rFonts w:cs="宋体"/>
                <w:color w:val="000000"/>
                <w:sz w:val="16"/>
                <w:szCs w:val="16"/>
                <w:lang w:bidi="ar"/>
              </w:rPr>
              <w:t xml:space="preserve">10.00 </w:t>
            </w:r>
          </w:p>
        </w:tc>
      </w:tr>
      <w:tr>
        <w:tblPrEx>
          <w:tblCellMar>
            <w:top w:w="0" w:type="dxa"/>
            <w:left w:w="0" w:type="dxa"/>
            <w:bottom w:w="0" w:type="dxa"/>
            <w:right w:w="0" w:type="dxa"/>
          </w:tblCellMar>
        </w:tblPrEx>
        <w:trPr>
          <w:trHeight w:val="419"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8"/>
                <w:szCs w:val="18"/>
              </w:rPr>
            </w:pPr>
            <w:r>
              <w:rPr>
                <w:rFonts w:cs="宋体"/>
                <w:color w:val="000000"/>
                <w:sz w:val="18"/>
                <w:szCs w:val="18"/>
                <w:lang w:bidi="ar"/>
              </w:rPr>
              <w:t>一般公共预算</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1200000.00 </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 xml:space="preserve">1569000.00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cs="宋体"/>
                <w:color w:val="000000"/>
                <w:sz w:val="16"/>
                <w:szCs w:val="16"/>
              </w:rPr>
            </w:pPr>
            <w:r>
              <w:rPr>
                <w:rFonts w:cs="宋体"/>
                <w:color w:val="000000"/>
                <w:sz w:val="16"/>
                <w:szCs w:val="16"/>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color w:val="000000"/>
                <w:sz w:val="16"/>
                <w:szCs w:val="16"/>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cs="宋体"/>
                <w:color w:val="000000"/>
                <w:sz w:val="16"/>
                <w:szCs w:val="16"/>
              </w:rPr>
            </w:pPr>
          </w:p>
        </w:tc>
      </w:tr>
      <w:tr>
        <w:tblPrEx>
          <w:tblCellMar>
            <w:top w:w="0" w:type="dxa"/>
            <w:left w:w="0" w:type="dxa"/>
            <w:bottom w:w="0" w:type="dxa"/>
            <w:right w:w="0" w:type="dxa"/>
          </w:tblCellMar>
        </w:tblPrEx>
        <w:trPr>
          <w:trHeight w:val="418"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年初绩效目标</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全年（调整）绩效目标</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全年目标实际完成情况</w:t>
            </w:r>
          </w:p>
        </w:tc>
      </w:tr>
      <w:tr>
        <w:tblPrEx>
          <w:tblCellMar>
            <w:top w:w="0" w:type="dxa"/>
            <w:left w:w="0" w:type="dxa"/>
            <w:bottom w:w="0" w:type="dxa"/>
            <w:right w:w="0" w:type="dxa"/>
          </w:tblCellMar>
        </w:tblPrEx>
        <w:trPr>
          <w:trHeight w:val="1600" w:hRule="atLeast"/>
        </w:trPr>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20" w:lineRule="exact"/>
              <w:textAlignment w:val="top"/>
              <w:rPr>
                <w:rFonts w:hint="default" w:cs="宋体"/>
                <w:color w:val="000000"/>
                <w:sz w:val="16"/>
                <w:szCs w:val="16"/>
              </w:rPr>
            </w:pPr>
            <w:r>
              <w:rPr>
                <w:rFonts w:cs="宋体"/>
                <w:color w:val="000000"/>
                <w:sz w:val="16"/>
                <w:szCs w:val="16"/>
                <w:lang w:bidi="ar"/>
              </w:rPr>
              <w:t>根据自然资源部、市规资局工作要求，开展耕地监督保护，确保我县永久性基本农田保护面积不减少、质量不降低；避免耕地非农化、非粮化，落实最严格的耕地保护制度，确保县域内耕地流出、流入年度平衡</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20" w:lineRule="exact"/>
              <w:textAlignment w:val="top"/>
              <w:rPr>
                <w:rFonts w:hint="default" w:cs="宋体"/>
                <w:color w:val="000000"/>
                <w:sz w:val="16"/>
                <w:szCs w:val="16"/>
              </w:rPr>
            </w:pPr>
            <w:r>
              <w:rPr>
                <w:rFonts w:cs="宋体"/>
                <w:color w:val="000000"/>
                <w:sz w:val="16"/>
                <w:szCs w:val="16"/>
                <w:lang w:bidi="ar"/>
              </w:rPr>
              <w:t>根据自然资源部、市规资局工作要求，开展耕地监督保护，确保我县永久性基本农田保护面积不减少、质量不降低；避免耕地非农化、非粮化，落实最严格的耕地保护制度，确保县域内耕地流出、流入年度平衡</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pacing w:line="220" w:lineRule="exact"/>
              <w:textAlignment w:val="top"/>
              <w:rPr>
                <w:rFonts w:hint="default" w:cs="宋体"/>
                <w:color w:val="000000"/>
                <w:sz w:val="16"/>
                <w:szCs w:val="16"/>
              </w:rPr>
            </w:pPr>
            <w:r>
              <w:rPr>
                <w:rFonts w:cs="宋体"/>
                <w:color w:val="000000"/>
                <w:sz w:val="16"/>
                <w:szCs w:val="16"/>
                <w:lang w:bidi="ar"/>
              </w:rPr>
              <w:t>根据自然资源部、市规资局工作要求，开展耕地监督保护，确保我县永久性基本农田保护面积不减少、质量不降低；避免耕地非农化、非粮化，落实最严格的耕地保护制度，确保县域内耕地流出、流入年度平衡</w:t>
            </w:r>
          </w:p>
        </w:tc>
      </w:tr>
      <w:tr>
        <w:tblPrEx>
          <w:tblCellMar>
            <w:top w:w="0" w:type="dxa"/>
            <w:left w:w="0" w:type="dxa"/>
            <w:bottom w:w="0" w:type="dxa"/>
            <w:right w:w="0" w:type="dxa"/>
          </w:tblCellMar>
        </w:tblPrEx>
        <w:trPr>
          <w:trHeight w:val="600" w:hRule="atLeast"/>
        </w:trPr>
        <w:tc>
          <w:tcPr>
            <w:tcW w:w="91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全年完成值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偏离度（%）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得分系数（%）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指标得分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是否核心指标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18"/>
                <w:szCs w:val="18"/>
              </w:rPr>
            </w:pPr>
            <w:r>
              <w:rPr>
                <w:rFonts w:cs="宋体"/>
                <w:b/>
                <w:color w:val="000000"/>
                <w:sz w:val="18"/>
                <w:szCs w:val="18"/>
                <w:lang w:bidi="ar"/>
              </w:rPr>
              <w:t>说明</w:t>
            </w: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耕地保护总量</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万亩</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103.7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105.1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1.35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完成矿山生态修复面积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公顷</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3.06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永久基本农田保护面积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万亩</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89.2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89.58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0.43</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442"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落实耕地保护政策合格率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及时完成上级下发目标任务及时率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确保县域可长期稳定利用的耕地不减少，质量不降低，实现耕地“进出平衡”，永久基本农田面积不减少</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16"/>
                <w:szCs w:val="16"/>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定性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是</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436"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受益人群满意度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5.26</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r>
        <w:tblPrEx>
          <w:tblCellMar>
            <w:top w:w="0" w:type="dxa"/>
            <w:left w:w="0" w:type="dxa"/>
            <w:bottom w:w="0" w:type="dxa"/>
            <w:right w:w="0" w:type="dxa"/>
          </w:tblCellMar>
        </w:tblPrEx>
        <w:trPr>
          <w:trHeight w:val="50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16"/>
                <w:szCs w:val="16"/>
              </w:rPr>
            </w:pPr>
            <w:r>
              <w:rPr>
                <w:rFonts w:cs="宋体"/>
                <w:color w:val="000000"/>
                <w:sz w:val="16"/>
                <w:szCs w:val="16"/>
                <w:lang w:bidi="ar"/>
              </w:rPr>
              <w:t>编制经费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万元</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160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156.9</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1.94</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16"/>
                <w:szCs w:val="16"/>
              </w:rPr>
            </w:pPr>
            <w:r>
              <w:rPr>
                <w:rFonts w:cs="宋体"/>
                <w:color w:val="000000"/>
                <w:sz w:val="16"/>
                <w:szCs w:val="16"/>
                <w:lang w:bidi="ar"/>
              </w:rPr>
              <w:t>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color w:val="000000"/>
                <w:sz w:val="20"/>
                <w:szCs w:val="20"/>
              </w:rPr>
            </w:pPr>
          </w:p>
        </w:tc>
      </w:tr>
    </w:tbl>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7"/>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7"/>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7"/>
        <w:autoSpaceDE w:val="0"/>
        <w:spacing w:line="596"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12"/>
        <w:shd w:val="clear" w:color="auto" w:fill="FFFFFF"/>
        <w:spacing w:before="0" w:beforeAutospacing="0" w:after="0" w:afterAutospacing="0" w:line="596" w:lineRule="exact"/>
        <w:ind w:firstLine="643" w:firstLineChars="200"/>
        <w:rPr>
          <w:rStyle w:val="16"/>
          <w:rFonts w:hint="default" w:ascii="方正仿宋_GBK" w:hAnsi="方正仿宋_GBK" w:eastAsia="方正仿宋_GBK" w:cs="方正仿宋_GBK"/>
          <w:sz w:val="32"/>
          <w:szCs w:val="32"/>
          <w:shd w:val="clear" w:color="auto" w:fill="FFFFFF"/>
        </w:rPr>
      </w:pPr>
      <w:r>
        <w:rPr>
          <w:rStyle w:val="16"/>
          <w:rFonts w:ascii="黑体" w:hAnsi="黑体" w:eastAsia="黑体" w:cs="黑体"/>
          <w:sz w:val="32"/>
          <w:szCs w:val="32"/>
          <w:shd w:val="clear" w:color="auto" w:fill="FFFFFF"/>
        </w:rPr>
        <w:t>六、专业名词解释</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2"/>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6"/>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hd w:val="clear" w:color="auto" w:fill="FFFFFF"/>
        <w:spacing w:before="0" w:beforeAutospacing="0" w:after="0" w:afterAutospacing="0" w:line="596" w:lineRule="exact"/>
        <w:ind w:firstLine="643" w:firstLineChars="200"/>
        <w:rPr>
          <w:rStyle w:val="16"/>
          <w:rFonts w:hint="default" w:ascii="方正仿宋_GBK" w:hAnsi="方正仿宋_GBK" w:eastAsia="方正仿宋_GBK" w:cs="方正仿宋_GBK"/>
          <w:sz w:val="32"/>
          <w:szCs w:val="32"/>
          <w:shd w:val="clear" w:color="auto" w:fill="FFFFFF"/>
        </w:rPr>
      </w:pPr>
      <w:r>
        <w:rPr>
          <w:rStyle w:val="16"/>
          <w:rFonts w:ascii="黑体" w:hAnsi="黑体" w:eastAsia="黑体" w:cs="黑体"/>
          <w:sz w:val="32"/>
          <w:szCs w:val="32"/>
          <w:shd w:val="clear" w:color="auto" w:fill="FFFFFF"/>
        </w:rPr>
        <w:t>七、决算公开联系方式及信息反馈渠道</w:t>
      </w:r>
    </w:p>
    <w:p>
      <w:pPr>
        <w:pStyle w:val="17"/>
        <w:autoSpaceDE w:val="0"/>
        <w:spacing w:line="596" w:lineRule="exact"/>
        <w:ind w:firstLine="640"/>
        <w:rPr>
          <w:rStyle w:val="16"/>
          <w:rFonts w:ascii="方正仿宋_GBK" w:hAnsi="方正仿宋_GBK" w:eastAsia="方正仿宋_GBK" w:cs="方正仿宋_GBK"/>
          <w:sz w:val="32"/>
          <w:szCs w:val="32"/>
          <w:shd w:val="clear" w:color="auto" w:fill="FFFF00"/>
        </w:rPr>
        <w:sectPr>
          <w:footerReference r:id="rId5" w:type="first"/>
          <w:footerReference r:id="rId3" w:type="default"/>
          <w:footerReference r:id="rId4" w:type="even"/>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02374684685。</w:t>
      </w:r>
    </w:p>
    <w:tbl>
      <w:tblPr>
        <w:tblStyle w:val="13"/>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垫江县规划和自然资源局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7,778.24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12,020.45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12,212.91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5,098.43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2,692.89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19,980.36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21,231.42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251.82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4,624.02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3,479.06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24,856.20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24,856.20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垫江县规划和自然资源局</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19,980.36</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19,798.69</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173.48</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855.71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851.29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851.29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443.21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443.21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222.75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222.75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12,212.91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12,212.91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3,855.63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173.48</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3,855.63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3,673.96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173.48</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自然资源规划及管理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自然资源行业业务管理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自然资源调查与确权登记</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地质矿产资源与环境调查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地质勘查与矿产资源管理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基础测绘与地理信息监管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2,780.31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2,606.83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173.48</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2,213.70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2,213.70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3"/>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垫江县规划和自然资源局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21,231.42</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4,559.53</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16,671.89</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863.31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859.18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185.32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114.31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12,212.91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12,212.73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5,098.43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3,332.44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1,765.98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5,098.43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3,332.44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1,765.98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自然资源规划及管理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917.12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917.12</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自然资源行业业务管理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自然资源调查与确权登记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地质矿产资源与环境调查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地质勘查与矿产资源管理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2200129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基础测绘与地理信息监管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2,886.41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2,886.41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329.71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225.49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225.49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2,213.70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2,213.70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3"/>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垫江县规划和自然资源局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7,778.24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12,020.45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12,212.91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12,020.45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3,759.74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3,759.74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2,692.89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2,692.89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19,798.69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19,892.74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12,020.45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19,892.74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19,892.74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7,872.29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12,020.45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垫江县规划和自然资源局</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7,872.29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4,170.39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3,701.89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863.31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859.18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448.48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448.48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185.32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185.32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114.31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114.31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192.46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城乡社区规划与管理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城乡社区规划与管理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3,759.74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2,943.30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3,759.74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2,943.30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自然资源规划及管理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自然资源行业业务管理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自然资源调查与确权登记</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地质矿产资源与环境调查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地质勘查与矿产资源管理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2200129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基础测绘与地理信息监管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2,606.83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2,606.83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225.49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225.49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2,692.89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2,213.70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479.19</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垫江县规划和自然资源局</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3,542.23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430.30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736.09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100.41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448.48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94.42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225.49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3,733.07</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437.32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5000" w:type="pct"/>
        <w:tblInd w:w="0" w:type="dxa"/>
        <w:tblLayout w:type="autofit"/>
        <w:tblCellMar>
          <w:top w:w="0" w:type="dxa"/>
          <w:left w:w="0" w:type="dxa"/>
          <w:bottom w:w="0" w:type="dxa"/>
          <w:right w:w="0" w:type="dxa"/>
        </w:tblCellMar>
      </w:tblPr>
      <w:tblGrid>
        <w:gridCol w:w="1586"/>
        <w:gridCol w:w="3630"/>
        <w:gridCol w:w="1651"/>
        <w:gridCol w:w="1651"/>
        <w:gridCol w:w="1652"/>
        <w:gridCol w:w="1652"/>
        <w:gridCol w:w="1716"/>
        <w:gridCol w:w="1784"/>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垫江县规划和自然资源局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12,020.45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12,020.45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12,020.45</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12,020.45</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11,868.02</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135.64</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垫江县规划和自然资源局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垫江县规划和自然资源局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73.44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43.84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43.84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73.44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39.62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39.62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39.62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39.62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75.06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80"/>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left="480"/>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ind w:left="480"/>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8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8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80"/>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ind w:left="480"/>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ind w:left="480"/>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07480"/>
    <w:rsid w:val="00197271"/>
    <w:rsid w:val="00261065"/>
    <w:rsid w:val="002D0E5A"/>
    <w:rsid w:val="002E5443"/>
    <w:rsid w:val="0032196C"/>
    <w:rsid w:val="00367E91"/>
    <w:rsid w:val="004C12FF"/>
    <w:rsid w:val="00550ABE"/>
    <w:rsid w:val="005B023C"/>
    <w:rsid w:val="00600322"/>
    <w:rsid w:val="006137D7"/>
    <w:rsid w:val="00634FA8"/>
    <w:rsid w:val="0063613A"/>
    <w:rsid w:val="006E2034"/>
    <w:rsid w:val="00732392"/>
    <w:rsid w:val="0076489E"/>
    <w:rsid w:val="00792285"/>
    <w:rsid w:val="007A0D2E"/>
    <w:rsid w:val="007A3314"/>
    <w:rsid w:val="007B419D"/>
    <w:rsid w:val="007C7BB4"/>
    <w:rsid w:val="00810F13"/>
    <w:rsid w:val="009205E8"/>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500DC"/>
    <w:rsid w:val="00F73F90"/>
    <w:rsid w:val="00F7623D"/>
    <w:rsid w:val="00F8598B"/>
    <w:rsid w:val="00FA0819"/>
    <w:rsid w:val="01474EBF"/>
    <w:rsid w:val="01F0494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7674CF"/>
    <w:rsid w:val="17C374FC"/>
    <w:rsid w:val="187843AE"/>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1975290"/>
    <w:rsid w:val="22403BD3"/>
    <w:rsid w:val="23DA37D9"/>
    <w:rsid w:val="24B92327"/>
    <w:rsid w:val="24C14514"/>
    <w:rsid w:val="24F60046"/>
    <w:rsid w:val="2533755C"/>
    <w:rsid w:val="25791755"/>
    <w:rsid w:val="26396DF4"/>
    <w:rsid w:val="27167136"/>
    <w:rsid w:val="27B23302"/>
    <w:rsid w:val="292F564D"/>
    <w:rsid w:val="29310A5F"/>
    <w:rsid w:val="29C37A35"/>
    <w:rsid w:val="2A076083"/>
    <w:rsid w:val="2A73162E"/>
    <w:rsid w:val="2B167953"/>
    <w:rsid w:val="2B200583"/>
    <w:rsid w:val="2B8209DE"/>
    <w:rsid w:val="2C6762A3"/>
    <w:rsid w:val="2D3C0C89"/>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1E0A6E"/>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B854040"/>
    <w:rsid w:val="4DAC4ACA"/>
    <w:rsid w:val="4DBE01D2"/>
    <w:rsid w:val="4EFC6D10"/>
    <w:rsid w:val="4F0C6BA3"/>
    <w:rsid w:val="4F10477D"/>
    <w:rsid w:val="4F186D58"/>
    <w:rsid w:val="4FEA65B7"/>
    <w:rsid w:val="4FF4660A"/>
    <w:rsid w:val="50F06B6E"/>
    <w:rsid w:val="511C4FE5"/>
    <w:rsid w:val="52234D33"/>
    <w:rsid w:val="522F6E0C"/>
    <w:rsid w:val="52463BA1"/>
    <w:rsid w:val="52F163D4"/>
    <w:rsid w:val="530074D8"/>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2C0BE0"/>
    <w:rsid w:val="663F505A"/>
    <w:rsid w:val="66967186"/>
    <w:rsid w:val="66EE5541"/>
    <w:rsid w:val="67924660"/>
    <w:rsid w:val="68407834"/>
    <w:rsid w:val="6883293E"/>
    <w:rsid w:val="688412AD"/>
    <w:rsid w:val="68EB1B71"/>
    <w:rsid w:val="69475C96"/>
    <w:rsid w:val="6AAD2300"/>
    <w:rsid w:val="6B474EF5"/>
    <w:rsid w:val="6BBF53FD"/>
    <w:rsid w:val="6C560CAE"/>
    <w:rsid w:val="6C576495"/>
    <w:rsid w:val="6D8A1400"/>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5695640"/>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footer"/>
    <w:basedOn w:val="3"/>
    <w:next w:val="5"/>
    <w:qFormat/>
    <w:uiPriority w:val="0"/>
    <w:pPr>
      <w:tabs>
        <w:tab w:val="center" w:pos="4153"/>
        <w:tab w:val="right" w:pos="8306"/>
      </w:tabs>
    </w:pPr>
  </w:style>
  <w:style w:type="paragraph" w:customStyle="1" w:styleId="3">
    <w:name w:val="正文1"/>
    <w:basedOn w:val="4"/>
    <w:qFormat/>
    <w:uiPriority w:val="0"/>
    <w:pPr>
      <w:spacing w:line="500" w:lineRule="exact"/>
    </w:pPr>
    <w:rPr>
      <w:rFonts w:ascii="仿宋_GB2312"/>
      <w:color w:val="0000FF"/>
      <w:sz w:val="18"/>
      <w:szCs w:val="18"/>
    </w:rPr>
  </w:style>
  <w:style w:type="paragraph" w:styleId="4">
    <w:name w:val="Body Text Indent"/>
    <w:basedOn w:val="1"/>
    <w:qFormat/>
    <w:uiPriority w:val="0"/>
    <w:pPr>
      <w:snapToGrid w:val="0"/>
      <w:spacing w:after="120"/>
      <w:ind w:left="420" w:leftChars="200"/>
    </w:pPr>
    <w:rPr>
      <w:rFonts w:eastAsia="仿宋_GB2312"/>
      <w:sz w:val="32"/>
    </w:rPr>
  </w:style>
  <w:style w:type="paragraph" w:customStyle="1" w:styleId="5">
    <w:name w:val="报告正文"/>
    <w:basedOn w:val="6"/>
    <w:qFormat/>
    <w:uiPriority w:val="0"/>
    <w:pPr>
      <w:spacing w:line="500" w:lineRule="exact"/>
      <w:ind w:firstLine="520"/>
    </w:pPr>
    <w:rPr>
      <w:color w:val="000000"/>
      <w:spacing w:val="10"/>
      <w:szCs w:val="20"/>
    </w:rPr>
  </w:style>
  <w:style w:type="paragraph" w:styleId="6">
    <w:name w:val="Body Text First Indent"/>
    <w:basedOn w:val="7"/>
    <w:qFormat/>
    <w:uiPriority w:val="0"/>
    <w:pPr>
      <w:ind w:firstLine="420" w:firstLineChars="100"/>
    </w:pPr>
  </w:style>
  <w:style w:type="paragraph" w:styleId="7">
    <w:name w:val="Body Text"/>
    <w:basedOn w:val="1"/>
    <w:next w:val="1"/>
    <w:qFormat/>
    <w:uiPriority w:val="0"/>
    <w:pPr>
      <w:spacing w:before="100" w:beforeAutospacing="1" w:after="100" w:afterAutospacing="1"/>
    </w:pPr>
    <w:rPr>
      <w:rFonts w:cs="宋体"/>
    </w:rPr>
  </w:style>
  <w:style w:type="paragraph" w:styleId="8">
    <w:name w:val="Normal Indent"/>
    <w:basedOn w:val="1"/>
    <w:next w:val="1"/>
    <w:unhideWhenUsed/>
    <w:qFormat/>
    <w:uiPriority w:val="99"/>
    <w:pPr>
      <w:ind w:firstLine="567"/>
    </w:pPr>
  </w:style>
  <w:style w:type="paragraph" w:styleId="9">
    <w:name w:val="Balloon Text"/>
    <w:basedOn w:val="1"/>
    <w:link w:val="21"/>
    <w:qFormat/>
    <w:uiPriority w:val="0"/>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2">
    <w:name w:val="Normal (Web)"/>
    <w:basedOn w:val="1"/>
    <w:unhideWhenUsed/>
    <w:qFormat/>
    <w:uiPriority w:val="0"/>
    <w:pPr>
      <w:spacing w:before="100" w:beforeAutospacing="1" w:after="100" w:afterAutospacing="1"/>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paragraph" w:customStyle="1" w:styleId="17">
    <w:name w:val="列出段落1"/>
    <w:basedOn w:val="1"/>
    <w:qFormat/>
    <w:uiPriority w:val="99"/>
    <w:pPr>
      <w:ind w:firstLine="420" w:firstLineChars="200"/>
    </w:pPr>
    <w:rPr>
      <w:rFonts w:hint="default"/>
    </w:rPr>
  </w:style>
  <w:style w:type="paragraph" w:customStyle="1" w:styleId="1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9">
    <w:name w:val="21"/>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字符"/>
    <w:basedOn w:val="15"/>
    <w:link w:val="9"/>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3618</Words>
  <Characters>20627</Characters>
  <Lines>171</Lines>
  <Paragraphs>48</Paragraphs>
  <TotalTime>11</TotalTime>
  <ScaleCrop>false</ScaleCrop>
  <LinksUpToDate>false</LinksUpToDate>
  <CharactersWithSpaces>24197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dcterms:modified xsi:type="dcterms:W3CDTF">2025-09-18T01:28:19Z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