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800" w:lineRule="exact"/>
        <w:jc w:val="center"/>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垫江县规划和自然资源局规划自然资源所</w:t>
      </w:r>
    </w:p>
    <w:p>
      <w:pPr>
        <w:pStyle w:val="13"/>
        <w:spacing w:before="0" w:beforeAutospacing="0" w:after="0" w:afterAutospacing="0" w:line="800" w:lineRule="exact"/>
        <w:jc w:val="center"/>
        <w:rPr>
          <w:rFonts w:hint="default" w:ascii="方正小标宋_GBK" w:hAnsi="方正小标宋_GBK" w:eastAsia="方正小标宋_GBK" w:cs="方正小标宋_GBK"/>
          <w:b/>
          <w:bCs/>
          <w:sz w:val="44"/>
          <w:szCs w:val="44"/>
          <w:shd w:val="clear" w:color="auto" w:fill="FFFFFF"/>
        </w:rPr>
      </w:pPr>
      <w:r>
        <w:rPr>
          <w:rFonts w:hint="default" w:ascii="Times New Roman" w:hAnsi="Times New Roman" w:eastAsia="方正小标宋_GBK"/>
          <w:b/>
          <w:bCs/>
          <w:sz w:val="44"/>
          <w:szCs w:val="44"/>
          <w:shd w:val="clear" w:color="auto" w:fill="FFFFFF"/>
        </w:rPr>
        <w:t>2024</w:t>
      </w:r>
      <w:r>
        <w:rPr>
          <w:rFonts w:ascii="方正小标宋_GBK" w:hAnsi="方正小标宋_GBK" w:eastAsia="方正小标宋_GBK" w:cs="方正小标宋_GBK"/>
          <w:b/>
          <w:bCs/>
          <w:sz w:val="44"/>
          <w:szCs w:val="44"/>
          <w:shd w:val="clear" w:color="auto" w:fill="FFFFFF"/>
        </w:rPr>
        <w:t>年度决算公开说明</w:t>
      </w:r>
    </w:p>
    <w:p>
      <w:pPr>
        <w:pStyle w:val="13"/>
        <w:shd w:val="clear" w:color="auto" w:fill="FFFFFF"/>
        <w:spacing w:before="0" w:beforeAutospacing="0" w:after="0" w:afterAutospacing="0" w:line="596" w:lineRule="exact"/>
        <w:ind w:firstLine="643" w:firstLineChars="200"/>
        <w:rPr>
          <w:rStyle w:val="17"/>
          <w:rFonts w:hint="default" w:ascii="黑体" w:hAnsi="黑体" w:eastAsia="黑体" w:cs="黑体"/>
          <w:sz w:val="32"/>
          <w:szCs w:val="32"/>
          <w:shd w:val="clear" w:color="auto" w:fill="FFFFFF"/>
        </w:rPr>
      </w:pPr>
    </w:p>
    <w:p>
      <w:pPr>
        <w:pStyle w:val="13"/>
        <w:shd w:val="clear" w:color="auto" w:fill="FFFFFF"/>
        <w:spacing w:before="0" w:beforeAutospacing="0" w:after="0" w:afterAutospacing="0" w:line="596" w:lineRule="exact"/>
        <w:ind w:firstLine="643" w:firstLineChars="200"/>
        <w:rPr>
          <w:rStyle w:val="17"/>
          <w:rFonts w:hint="default" w:ascii="方正黑体_GBK" w:hAnsi="方正黑体_GBK" w:eastAsia="方正黑体_GBK" w:cs="方正黑体_GBK"/>
          <w:sz w:val="32"/>
          <w:szCs w:val="32"/>
          <w:shd w:val="clear" w:color="auto" w:fill="FFFFFF"/>
        </w:rPr>
      </w:pPr>
      <w:r>
        <w:rPr>
          <w:rStyle w:val="17"/>
          <w:rFonts w:ascii="方正黑体_GBK" w:hAnsi="方正黑体_GBK" w:eastAsia="方正黑体_GBK" w:cs="方正黑体_GBK"/>
          <w:sz w:val="32"/>
          <w:szCs w:val="32"/>
          <w:shd w:val="clear" w:color="auto" w:fill="FFFFFF"/>
        </w:rPr>
        <w:t>一、单位基本情况</w:t>
      </w:r>
    </w:p>
    <w:p>
      <w:pPr>
        <w:pStyle w:val="13"/>
        <w:shd w:val="clear" w:color="auto" w:fill="FFFFFF"/>
        <w:spacing w:beforeAutospacing="0" w:afterAutospacing="0" w:line="596" w:lineRule="exact"/>
        <w:ind w:firstLine="420"/>
        <w:rPr>
          <w:rFonts w:hint="default" w:ascii="方正楷体_GBK" w:hAnsi="方正楷体_GBK" w:eastAsia="方正楷体_GBK" w:cs="方正楷体_GBK"/>
          <w:bCs/>
          <w:sz w:val="32"/>
          <w:szCs w:val="32"/>
        </w:rPr>
      </w:pPr>
      <w:r>
        <w:rPr>
          <w:rStyle w:val="17"/>
          <w:rFonts w:ascii="方正楷体_GBK" w:hAnsi="方正楷体_GBK" w:eastAsia="方正楷体_GBK" w:cs="方正楷体_GBK"/>
          <w:b w:val="0"/>
          <w:bCs/>
          <w:sz w:val="32"/>
          <w:szCs w:val="32"/>
          <w:shd w:val="clear" w:color="auto" w:fill="FFFFFF"/>
        </w:rPr>
        <w:t>（一）职能职责</w:t>
      </w:r>
    </w:p>
    <w:p>
      <w:pPr>
        <w:spacing w:line="596" w:lineRule="exact"/>
        <w:ind w:firstLine="640" w:firstLineChars="200"/>
        <w:rPr>
          <w:rFonts w:hint="default" w:eastAsia="方正仿宋_GBK"/>
          <w:sz w:val="32"/>
          <w:szCs w:val="32"/>
        </w:rPr>
      </w:pPr>
      <w:r>
        <w:rPr>
          <w:rFonts w:eastAsia="方正仿宋_GBK"/>
          <w:sz w:val="32"/>
          <w:szCs w:val="32"/>
        </w:rPr>
        <w:t>（1）负责宣传并执行国土资源法律、法规和方针政策，严格执行土地用途管制制度；（2）负责依法受理和审查辖区内农村村民住宅用地、临时用地、设施农用地等其他农村建设用地申请事项，负责做好辖区内农村土地房屋权属登记发证初核工作，负责做好辖区内住房安全排查、报告工作；（3）协助县局和乡镇做好耕地保护特别是基本农田保护工作，协助县局做好辖区内土地开发整理、建设用地复垦和高标准基本农田建设工作，协助县局做好辖区内农村集体土地征收、国有土地上房屋征收工作，协助县局做好辖区内国有土地划拨、出让和转让工作，协助县局做好辖区内土地资源调查、土地变更调查和土地统计工作，协助县、乡两级政府调查调解处理土地房屋权属纠纷；（4）负责实施全县矿产资源总体规划并做好辖区内的矿产资源动态巡查工作，负责做好地质灾害隐患点巡查和灾（险）情速报工作，协助乡镇做好地质灾害隐患点的预防和治理工作。</w:t>
      </w:r>
    </w:p>
    <w:p>
      <w:pPr>
        <w:pStyle w:val="13"/>
        <w:shd w:val="clear" w:color="auto" w:fill="FFFFFF"/>
        <w:spacing w:beforeAutospacing="0" w:afterAutospacing="0" w:line="596" w:lineRule="exact"/>
        <w:ind w:firstLine="640" w:firstLineChars="20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（二）机构设置</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rPr>
        <w:t>本单位属财政全额拨款的事业单位，为副科级单位，未设置独立的内设科室</w:t>
      </w:r>
      <w:r>
        <w:rPr>
          <w:rFonts w:ascii="方正仿宋_GBK" w:hAnsi="方正仿宋_GBK" w:eastAsia="方正仿宋_GBK" w:cs="方正仿宋_GBK"/>
          <w:color w:val="000000" w:themeColor="text1"/>
          <w:sz w:val="32"/>
          <w:szCs w:val="32"/>
          <w14:textFill>
            <w14:solidFill>
              <w14:schemeClr w14:val="tx1"/>
            </w14:solidFill>
          </w14:textFill>
        </w:rPr>
        <w:t>。本年新增</w:t>
      </w:r>
      <w:r>
        <w:rPr>
          <w:rFonts w:eastAsia="方正仿宋_GBK"/>
          <w:color w:val="000000" w:themeColor="text1"/>
          <w:sz w:val="32"/>
          <w:szCs w:val="32"/>
          <w14:textFill>
            <w14:solidFill>
              <w14:schemeClr w14:val="tx1"/>
            </w14:solidFill>
          </w14:textFill>
        </w:rPr>
        <w:t>核算单位。</w:t>
      </w:r>
    </w:p>
    <w:p>
      <w:pPr>
        <w:pStyle w:val="13"/>
        <w:shd w:val="clear" w:color="auto" w:fill="FFFFFF"/>
        <w:spacing w:before="0" w:beforeAutospacing="0" w:after="0" w:afterAutospacing="0" w:line="596" w:lineRule="exact"/>
        <w:ind w:firstLine="643" w:firstLineChars="200"/>
        <w:rPr>
          <w:rStyle w:val="17"/>
          <w:rFonts w:hint="default" w:ascii="方正黑体_GBK" w:hAnsi="方正黑体_GBK" w:eastAsia="方正黑体_GBK" w:cs="方正黑体_GBK"/>
          <w:sz w:val="32"/>
          <w:szCs w:val="32"/>
          <w:shd w:val="clear" w:color="auto" w:fill="FFFFFF"/>
        </w:rPr>
      </w:pPr>
      <w:r>
        <w:rPr>
          <w:rStyle w:val="17"/>
          <w:rFonts w:ascii="方正黑体_GBK" w:hAnsi="方正黑体_GBK" w:eastAsia="方正黑体_GBK" w:cs="方正黑体_GBK"/>
          <w:sz w:val="32"/>
          <w:szCs w:val="32"/>
          <w:shd w:val="clear" w:color="auto" w:fill="FFFFFF"/>
        </w:rPr>
        <w:t>二、单位决算收支情况说明</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（一）收入支出决算总体情况说明</w:t>
      </w:r>
    </w:p>
    <w:p>
      <w:pPr>
        <w:pStyle w:val="13"/>
        <w:shd w:val="clear" w:color="auto" w:fill="FFFFFF"/>
        <w:spacing w:beforeAutospacing="0" w:afterAutospacing="0" w:line="596"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7"/>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2024年度收入总计1405.26万元，支出总计</w:t>
      </w:r>
      <w:r>
        <w:rPr>
          <w:rFonts w:ascii="方正仿宋_GBK" w:hAnsi="方正仿宋_GBK" w:eastAsia="方正仿宋_GBK" w:cs="方正仿宋_GBK"/>
          <w:sz w:val="32"/>
          <w:szCs w:val="32"/>
        </w:rPr>
        <w:t>1405.26</w:t>
      </w:r>
      <w:r>
        <w:rPr>
          <w:rFonts w:ascii="方正仿宋_GBK" w:hAnsi="方正仿宋_GBK" w:eastAsia="方正仿宋_GBK" w:cs="方正仿宋_GBK"/>
          <w:sz w:val="32"/>
          <w:szCs w:val="32"/>
          <w:shd w:val="clear" w:color="auto" w:fill="FFFFFF"/>
        </w:rPr>
        <w:t>万元。收、支与2023年度相比，增加1405.26万元，增长100.00%，主要原因是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本年决算新增单位，无上年数。</w:t>
      </w:r>
    </w:p>
    <w:p>
      <w:pPr>
        <w:pStyle w:val="13"/>
        <w:shd w:val="clear" w:color="auto" w:fill="FFFFFF"/>
        <w:spacing w:beforeAutospacing="0" w:afterAutospacing="0" w:line="596"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2024年度收入合计1320.31万元，与2023年度相比，增加1320.31万元，增长100.00%，主要原因是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1320.31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万元，占0.00%；其他收入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84.95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13"/>
        <w:shd w:val="clear" w:color="auto" w:fill="FFFFFF"/>
        <w:spacing w:beforeAutospacing="0" w:afterAutospacing="0" w:line="596"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2024年度支出合计</w:t>
      </w:r>
      <w:r>
        <w:rPr>
          <w:rFonts w:ascii="方正仿宋_GBK" w:hAnsi="方正仿宋_GBK" w:eastAsia="方正仿宋_GBK" w:cs="方正仿宋_GBK"/>
          <w:color w:val="000000" w:themeColor="text1"/>
          <w:sz w:val="32"/>
          <w:szCs w:val="32"/>
          <w14:textFill>
            <w14:solidFill>
              <w14:schemeClr w14:val="tx1"/>
            </w14:solidFill>
          </w14:textFill>
        </w:rPr>
        <w:t>1405.26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万元，与2023年度相比，增加1405.26万元，增长100.00%，主要原因是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1405.26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万元，占100.00%；项目支出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2024年度年末结转和结余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万元，与2023年度相比，无增减，主要原因是本年决算新增单位，无上年数。</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7"/>
          <w:rFonts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（二）财政拨款收入支出决算总体情况说明</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2024年度财政拨款收、支总计1320.31万元。与2023年相比，财政拨款收、支总计各增加1320.31万元，增长100.00%。主要原因是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3"/>
        <w:numPr>
          <w:ilvl w:val="0"/>
          <w:numId w:val="1"/>
        </w:numPr>
        <w:shd w:val="clear" w:color="auto" w:fill="FFFFFF"/>
        <w:spacing w:beforeAutospacing="0" w:afterAutospacing="0" w:line="596" w:lineRule="exact"/>
        <w:ind w:firstLine="420"/>
        <w:rPr>
          <w:rStyle w:val="17"/>
          <w:rFonts w:hint="default"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Style w:val="17"/>
          <w:rFonts w:ascii="方正楷体_GBK" w:hAnsi="方正楷体_GBK" w:eastAsia="方正楷体_GBK" w:cs="方正楷体_GBK"/>
          <w:color w:val="000000" w:themeColor="text1"/>
          <w:sz w:val="32"/>
          <w:szCs w:val="32"/>
          <w:shd w:val="clear" w:color="auto" w:fill="FFFFFF"/>
          <w14:textFill>
            <w14:solidFill>
              <w14:schemeClr w14:val="tx1"/>
            </w14:solidFill>
          </w14:textFill>
        </w:rPr>
        <w:t>一般公共预算财政拨款收入支出决算情况说明</w:t>
      </w:r>
    </w:p>
    <w:p>
      <w:pPr>
        <w:pStyle w:val="13"/>
        <w:shd w:val="clear" w:color="auto" w:fill="FFFFFF"/>
        <w:spacing w:beforeAutospacing="0" w:afterAutospacing="0" w:line="596"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1320.31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万元，与2023年度相比，增加1320.31万元，增长100.00%。主要原因是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。较年初预算数增加161.27万元，增长13.91%。主要原因是</w:t>
      </w:r>
      <w:r>
        <w:rPr>
          <w:rFonts w:ascii="方正仿宋_GBK" w:hAnsi="方正仿宋_GBK" w:eastAsia="方正仿宋_GBK" w:cs="方正仿宋_GBK"/>
          <w:color w:val="000000" w:themeColor="text1"/>
          <w:kern w:val="2"/>
          <w:sz w:val="32"/>
          <w:szCs w:val="32"/>
          <w14:textFill>
            <w14:solidFill>
              <w14:schemeClr w14:val="tx1"/>
            </w14:solidFill>
          </w14:textFill>
        </w:rPr>
        <w:t>人员晋升</w:t>
      </w:r>
      <w:r>
        <w:rPr>
          <w:rFonts w:ascii="方正仿宋_GBK" w:hAnsi="仿宋_GB2312" w:eastAsia="方正仿宋_GBK" w:cs="仿宋_GB2312"/>
          <w:color w:val="000000" w:themeColor="text1"/>
          <w:sz w:val="32"/>
          <w14:textFill>
            <w14:solidFill>
              <w14:schemeClr w14:val="tx1"/>
            </w14:solidFill>
          </w14:textFill>
        </w:rPr>
        <w:t>和补缴2022-2023年养老保险和职业年金增加的人员经费</w:t>
      </w:r>
      <w:r>
        <w:rPr>
          <w:rFonts w:ascii="方正仿宋_GBK" w:hAnsi="方正仿宋_GBK" w:eastAsia="方正仿宋_GBK" w:cs="方正仿宋_GBK"/>
          <w:color w:val="000000" w:themeColor="text1"/>
          <w:kern w:val="2"/>
          <w:sz w:val="32"/>
          <w:szCs w:val="32"/>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万元。 </w:t>
      </w:r>
    </w:p>
    <w:p>
      <w:pPr>
        <w:pStyle w:val="13"/>
        <w:shd w:val="clear" w:color="auto" w:fill="FFFFFF"/>
        <w:spacing w:beforeAutospacing="0" w:afterAutospacing="0" w:line="596" w:lineRule="exact"/>
        <w:ind w:firstLine="643" w:firstLineChars="200"/>
        <w:rPr>
          <w:rFonts w:hint="default" w:ascii="方正仿宋_GBK" w:hAnsi="仿宋_GB2312" w:eastAsia="方正仿宋_GBK" w:cs="仿宋_GB2312"/>
          <w:color w:val="000000" w:themeColor="text1"/>
          <w:sz w:val="32"/>
          <w14:textFill>
            <w14:solidFill>
              <w14:schemeClr w14:val="tx1"/>
            </w14:solidFill>
          </w14:textFill>
        </w:rPr>
      </w:pP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1320.31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万元，与2023年度相比，增加1320.31万元，增长100.00%。主要原因是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。较年初预算数增加161.27万元，增长13.91%。主要原因是</w:t>
      </w:r>
      <w:r>
        <w:rPr>
          <w:rFonts w:ascii="方正仿宋_GBK" w:hAnsi="方正仿宋_GBK" w:eastAsia="方正仿宋_GBK" w:cs="方正仿宋_GBK"/>
          <w:color w:val="000000" w:themeColor="text1"/>
          <w:kern w:val="2"/>
          <w:sz w:val="32"/>
          <w:szCs w:val="32"/>
          <w14:textFill>
            <w14:solidFill>
              <w14:schemeClr w14:val="tx1"/>
            </w14:solidFill>
          </w14:textFill>
        </w:rPr>
        <w:t>人员晋升</w:t>
      </w:r>
      <w:r>
        <w:rPr>
          <w:rFonts w:ascii="方正仿宋_GBK" w:hAnsi="仿宋_GB2312" w:eastAsia="方正仿宋_GBK" w:cs="仿宋_GB2312"/>
          <w:color w:val="000000" w:themeColor="text1"/>
          <w:sz w:val="32"/>
          <w14:textFill>
            <w14:solidFill>
              <w14:schemeClr w14:val="tx1"/>
            </w14:solidFill>
          </w14:textFill>
        </w:rPr>
        <w:t>和补缴2022-2023年养老保险和职业年金增加的人员经费。</w:t>
      </w:r>
    </w:p>
    <w:p>
      <w:pPr>
        <w:pStyle w:val="13"/>
        <w:shd w:val="clear" w:color="auto" w:fill="FFFFFF"/>
        <w:spacing w:beforeAutospacing="0" w:afterAutospacing="0" w:line="596" w:lineRule="exact"/>
        <w:ind w:firstLine="643" w:firstLineChars="200"/>
        <w:rPr>
          <w:rStyle w:val="17"/>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万元，与2023年度相比，无增减，主要原因是本年决算新增单位，无上年数。</w:t>
      </w: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p>
    <w:p>
      <w:pPr>
        <w:pStyle w:val="13"/>
        <w:shd w:val="clear" w:color="auto" w:fill="FFFFFF"/>
        <w:spacing w:beforeAutospacing="0" w:afterAutospacing="0" w:line="596"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7"/>
          <w:rFonts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本单位2024年度一般公共预算财政拨款支出主要用于以下几个方面：</w:t>
      </w:r>
    </w:p>
    <w:p>
      <w:pPr>
        <w:pStyle w:val="13"/>
        <w:spacing w:beforeAutospacing="0" w:afterAutospacing="0" w:line="596" w:lineRule="exact"/>
        <w:ind w:firstLine="640" w:firstLineChars="200"/>
        <w:rPr>
          <w:rFonts w:hint="default" w:ascii="方正仿宋_GBK" w:hAnsi="方正仿宋_GBK" w:eastAsia="方正仿宋_GBK" w:cs="方正仿宋_GBK"/>
          <w:color w:val="000000" w:themeColor="text1"/>
          <w:kern w:val="2"/>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（1）教育支出</w:t>
      </w:r>
      <w:r>
        <w:rPr>
          <w:rFonts w:ascii="方正仿宋_GBK" w:hAnsi="方正仿宋_GBK" w:eastAsia="方正仿宋_GBK" w:cs="方正仿宋_GBK"/>
          <w:color w:val="000000" w:themeColor="text1"/>
          <w:sz w:val="32"/>
          <w:szCs w:val="32"/>
          <w14:textFill>
            <w14:solidFill>
              <w14:schemeClr w14:val="tx1"/>
            </w14:solidFill>
          </w14:textFill>
        </w:rPr>
        <w:t>0.33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0.03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%，较年初预算数减少3.31万元，下降90.93%，主要原因是</w:t>
      </w:r>
      <w:r>
        <w:rPr>
          <w:rFonts w:ascii="方正仿宋_GBK" w:hAnsi="方正仿宋_GBK" w:eastAsia="方正仿宋_GBK" w:cs="方正仿宋_GBK"/>
          <w:color w:val="000000" w:themeColor="text1"/>
          <w:kern w:val="2"/>
          <w:sz w:val="32"/>
          <w:szCs w:val="32"/>
          <w14:textFill>
            <w14:solidFill>
              <w14:schemeClr w14:val="tx1"/>
            </w14:solidFill>
          </w14:textFill>
        </w:rPr>
        <w:t>本年安排职工培训较少。</w:t>
      </w:r>
    </w:p>
    <w:p>
      <w:pPr>
        <w:pStyle w:val="13"/>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247.76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18.77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%，较年初预算数增加111.21万元，增长81.44%，主要原因是</w:t>
      </w:r>
      <w:r>
        <w:rPr>
          <w:rFonts w:ascii="方正仿宋_GBK" w:hAnsi="方正仿宋_GBK" w:eastAsia="方正仿宋_GBK" w:cs="方正仿宋_GBK"/>
          <w:color w:val="000000" w:themeColor="text1"/>
          <w:kern w:val="2"/>
          <w:sz w:val="32"/>
          <w:szCs w:val="32"/>
          <w14:textFill>
            <w14:solidFill>
              <w14:schemeClr w14:val="tx1"/>
            </w14:solidFill>
          </w14:textFill>
        </w:rPr>
        <w:t>社保缴费基数调整，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补缴2022-2023年因基数调整增加</w:t>
      </w:r>
      <w:r>
        <w:rPr>
          <w:rFonts w:ascii="方正仿宋_GBK" w:hAnsi="方正仿宋_GBK" w:eastAsia="方正仿宋_GBK" w:cs="方正仿宋_GBK"/>
          <w:color w:val="000000" w:themeColor="text1"/>
          <w:kern w:val="2"/>
          <w:sz w:val="32"/>
          <w:szCs w:val="32"/>
          <w14:textFill>
            <w14:solidFill>
              <w14:schemeClr w14:val="tx1"/>
            </w14:solidFill>
          </w14:textFill>
        </w:rPr>
        <w:t>的缴费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p>
    <w:p>
      <w:pPr>
        <w:pStyle w:val="13"/>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（3）卫生健康支出</w:t>
      </w:r>
      <w:r>
        <w:rPr>
          <w:rFonts w:ascii="方正仿宋_GBK" w:hAnsi="方正仿宋_GBK" w:eastAsia="方正仿宋_GBK" w:cs="方正仿宋_GBK"/>
          <w:color w:val="000000" w:themeColor="text1"/>
          <w:sz w:val="32"/>
          <w:szCs w:val="32"/>
          <w14:textFill>
            <w14:solidFill>
              <w14:schemeClr w14:val="tx1"/>
            </w14:solidFill>
          </w14:textFill>
        </w:rPr>
        <w:t>41.17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%，较年初预算数减少5.00万元，下降10.83%，主要原因是本年度有3名人员退休，缴费支出相应减少。</w:t>
      </w:r>
    </w:p>
    <w:p>
      <w:pPr>
        <w:pStyle w:val="13"/>
        <w:shd w:val="clear" w:color="auto" w:fill="FFFFFF"/>
        <w:spacing w:beforeAutospacing="0" w:afterAutospacing="0" w:line="596" w:lineRule="exact"/>
        <w:ind w:firstLine="568"/>
        <w:rPr>
          <w:rFonts w:hint="default" w:ascii="方正仿宋_GBK" w:eastAsia="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自然资源海洋气象等支出957.67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72.53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%，较年初预算数增加40.39万元，增长4.40%，主要原因是</w:t>
      </w:r>
      <w:r>
        <w:rPr>
          <w:rFonts w:ascii="方正仿宋_GBK" w:eastAsia="方正仿宋_GBK"/>
          <w:color w:val="000000" w:themeColor="text1"/>
          <w:sz w:val="32"/>
          <w:szCs w:val="32"/>
          <w14:textFill>
            <w14:solidFill>
              <w14:schemeClr w14:val="tx1"/>
            </w14:solidFill>
          </w14:textFill>
        </w:rPr>
        <w:t>人员正常晋升薪资标准调高和补发绩效工资，人员费用增加。</w:t>
      </w:r>
    </w:p>
    <w:p>
      <w:pPr>
        <w:pStyle w:val="13"/>
        <w:shd w:val="clear" w:color="auto" w:fill="FFFFFF"/>
        <w:spacing w:beforeAutospacing="0" w:afterAutospacing="0" w:line="596" w:lineRule="exact"/>
        <w:ind w:firstLine="568"/>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住房保障支出73.38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%，较年初预算数增加17.98万元，增长32.45%，主要原因是缴费基数调高，缴费支出增加。</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7"/>
          <w:rFonts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（四）一般公共预算财政拨款基本支出决算情况说明</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2024年度一般公共财政拨款基本支出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1320.31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1177.83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万元，与2023年度相比，增加1177.83万元，增长100.00%，主要原因是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仿宋" w:hAnsi="仿宋" w:eastAsia="仿宋" w:cs="方正仿宋_GBK"/>
          <w:color w:val="000000" w:themeColor="text1"/>
          <w:sz w:val="32"/>
          <w:szCs w:val="32"/>
          <w14:textFill>
            <w14:solidFill>
              <w14:schemeClr w14:val="tx1"/>
            </w14:solidFill>
          </w14:textFill>
        </w:rPr>
        <w:t>基本工资、津贴补贴、绩效工资、机关事业单位基本养老保险缴费、职业年金缴费、职工基本医疗保险缴费、其他社会保障费、住房公积金、医疗费、其他工资福利支出。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142.49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万元，与2023年度相比，增加142.49万元，增长100.00%，主要原因是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方正仿宋_GBK" w:eastAsia="方正仿宋_GBK"/>
          <w:color w:val="000000" w:themeColor="text1"/>
          <w:sz w:val="32"/>
          <w:szCs w:val="32"/>
          <w:shd w:val="clear" w:color="auto" w:fill="FFFFFF"/>
          <w14:textFill>
            <w14:solidFill>
              <w14:schemeClr w14:val="tx1"/>
            </w14:solidFill>
          </w14:textFill>
        </w:rPr>
        <w:t>办公费、印刷费、咨询费、手续费、水电费、电话费、差旅费、劳务费、培训费、公务用车运行维护费、其他交通费用等。</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7"/>
          <w:rFonts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（五）政府性基金预算收支决算情况说明</w:t>
      </w:r>
    </w:p>
    <w:p>
      <w:pPr>
        <w:pStyle w:val="13"/>
        <w:snapToGrid w:val="0"/>
        <w:spacing w:beforeAutospacing="0" w:afterAutospacing="0" w:line="596" w:lineRule="exact"/>
        <w:ind w:firstLine="640" w:firstLineChars="200"/>
        <w:rPr>
          <w:rFonts w:hint="default" w:ascii="方正仿宋_GBK" w:hAnsi="方正仿宋_GBK" w:eastAsia="方正仿宋_GBK" w:cs="方正仿宋_GBK"/>
          <w:color w:val="000000" w:themeColor="text1"/>
          <w:kern w:val="2"/>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7"/>
          <w:rFonts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（六）国有资本经营预算财政拨款支出决算情况说明</w:t>
      </w:r>
    </w:p>
    <w:p>
      <w:pPr>
        <w:pStyle w:val="1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3"/>
        <w:shd w:val="clear" w:color="auto" w:fill="FFFFFF"/>
        <w:spacing w:before="0" w:beforeAutospacing="0" w:after="0" w:afterAutospacing="0" w:line="596" w:lineRule="exact"/>
        <w:ind w:firstLine="643" w:firstLineChars="200"/>
        <w:rPr>
          <w:rStyle w:val="17"/>
          <w:rFonts w:hint="default"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17"/>
          <w:rFonts w:ascii="方正黑体_GBK" w:hAnsi="方正黑体_GBK" w:eastAsia="方正黑体_GBK" w:cs="方正黑体_GBK"/>
          <w:color w:val="000000" w:themeColor="text1"/>
          <w:sz w:val="32"/>
          <w:szCs w:val="32"/>
          <w:shd w:val="clear" w:color="auto" w:fill="FFFFFF"/>
          <w14:textFill>
            <w14:solidFill>
              <w14:schemeClr w14:val="tx1"/>
            </w14:solidFill>
          </w14:textFill>
        </w:rPr>
        <w:t>三、财政拨款“三公”经费情况说明</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7"/>
          <w:rFonts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（一）“三公”经费支出总体情况说明</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18.70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万元，较年初预算数减少8.30万元，下降30.74%，主要原因是</w:t>
      </w:r>
      <w:r>
        <w:rPr>
          <w:rFonts w:ascii="仿宋" w:hAnsi="仿宋" w:eastAsia="仿宋" w:cs="方正仿宋_GBK"/>
          <w:color w:val="000000" w:themeColor="text1"/>
          <w:sz w:val="32"/>
          <w:szCs w:val="32"/>
          <w:shd w:val="clear" w:color="auto" w:fill="FFFFFF"/>
          <w14:textFill>
            <w14:solidFill>
              <w14:schemeClr w14:val="tx1"/>
            </w14:solidFill>
          </w14:textFill>
        </w:rPr>
        <w:t>认真贯彻落实中央</w:t>
      </w:r>
      <w:bookmarkStart w:id="0" w:name="_GoBack"/>
      <w:bookmarkEnd w:id="0"/>
      <w:r>
        <w:rPr>
          <w:rFonts w:ascii="仿宋" w:hAnsi="仿宋" w:eastAsia="仿宋" w:cs="方正仿宋_GBK"/>
          <w:color w:val="000000" w:themeColor="text1"/>
          <w:sz w:val="32"/>
          <w:szCs w:val="32"/>
          <w:shd w:val="clear" w:color="auto" w:fill="FFFFFF"/>
          <w14:textFill>
            <w14:solidFill>
              <w14:schemeClr w14:val="tx1"/>
            </w14:solidFill>
          </w14:textFill>
        </w:rPr>
        <w:t>八项规定精神和厉行节约要求，按照只减不增的要求从严控制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“三公”</w:t>
      </w:r>
      <w:r>
        <w:rPr>
          <w:rFonts w:ascii="仿宋" w:hAnsi="仿宋" w:eastAsia="仿宋" w:cs="方正仿宋_GBK"/>
          <w:color w:val="000000" w:themeColor="text1"/>
          <w:sz w:val="32"/>
          <w:szCs w:val="32"/>
          <w:shd w:val="clear" w:color="auto" w:fill="FFFFFF"/>
          <w14:textFill>
            <w14:solidFill>
              <w14:schemeClr w14:val="tx1"/>
            </w14:solidFill>
          </w14:textFill>
        </w:rPr>
        <w:t>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较上年支出数增加18.70万元，增长100.00%，主要原因是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（二）“三公”经费分项支出情况</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2024年度本单位因公出国（境）费用0.00万元。</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与上年持平。主要原因是今年和去年均未安排单位人员出国出访，2024年未发生因公出国（境）费用。</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与上年持平。主要原因是今年和去年未购置公务车辆，2024年未发生公务车购置费。</w:t>
      </w:r>
    </w:p>
    <w:p>
      <w:pPr>
        <w:pStyle w:val="13"/>
        <w:shd w:val="clear" w:color="auto" w:fill="FFFFFF"/>
        <w:spacing w:beforeAutospacing="0" w:afterAutospacing="0" w:line="596" w:lineRule="exact"/>
        <w:ind w:firstLine="640" w:firstLineChars="200"/>
        <w:rPr>
          <w:rFonts w:hint="default" w:eastAsia="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18.70</w:t>
      </w:r>
      <w:r>
        <w:rPr>
          <w:rFonts w:ascii="方正仿宋_GBK" w:hAnsi="方正仿宋_GBK" w:eastAsia="方正仿宋_GBK" w:cs="方正仿宋_GBK"/>
          <w:sz w:val="32"/>
          <w:szCs w:val="32"/>
          <w:shd w:val="clear" w:color="auto" w:fill="FFFFFF"/>
        </w:rPr>
        <w:t>万元，主要用于</w:t>
      </w:r>
      <w:r>
        <w:rPr>
          <w:rFonts w:eastAsia="方正仿宋_GBK"/>
          <w:sz w:val="32"/>
          <w:szCs w:val="32"/>
        </w:rPr>
        <w:t>耕地保护动态巡查、现场踏勘农村居民建房选址、设施农用地选址、协助当地政府核实征地拆迁户不动产权登记信息、各类卫片监测图斑外业核实举证、办理不动产权登记、巡查矿产资源无证开采、非法开采、地质灾害隐患点巡查检查</w:t>
      </w:r>
      <w:r>
        <w:rPr>
          <w:rStyle w:val="17"/>
          <w:rFonts w:ascii="方正仿宋_GBK" w:hAnsi="方正仿宋_GBK" w:eastAsia="方正仿宋_GBK" w:cs="方正仿宋_GBK"/>
          <w:b w:val="0"/>
          <w:bCs/>
          <w:sz w:val="32"/>
          <w:szCs w:val="32"/>
        </w:rPr>
        <w:t>等</w:t>
      </w:r>
      <w:r>
        <w:rPr>
          <w:rStyle w:val="17"/>
          <w:rFonts w:hint="default" w:ascii="方正仿宋_GBK" w:hAnsi="方正仿宋_GBK" w:eastAsia="方正仿宋_GBK" w:cs="方正仿宋_GBK"/>
          <w:b w:val="0"/>
          <w:bCs/>
          <w:sz w:val="32"/>
          <w:szCs w:val="32"/>
        </w:rPr>
        <w:t>所需车辆的燃料费、维修费、保险费等。</w:t>
      </w:r>
      <w:r>
        <w:rPr>
          <w:rFonts w:ascii="方正仿宋_GBK" w:hAnsi="方正仿宋_GBK" w:eastAsia="方正仿宋_GBK" w:cs="方正仿宋_GBK"/>
          <w:sz w:val="32"/>
          <w:szCs w:val="32"/>
          <w:shd w:val="clear" w:color="auto" w:fill="FFFFFF"/>
        </w:rPr>
        <w:t>费用支出较年初预算数减少8.30万元，下降30.74%，主要原因是</w:t>
      </w:r>
      <w:r>
        <w:rPr>
          <w:rFonts w:ascii="仿宋" w:hAnsi="仿宋" w:eastAsia="仿宋" w:cs="方正仿宋_GBK"/>
          <w:sz w:val="32"/>
          <w:szCs w:val="32"/>
          <w:shd w:val="clear" w:color="auto" w:fill="FFFFFF"/>
        </w:rPr>
        <w:t>认真贯彻落实中央八项规定精神和厉行节约要求，</w:t>
      </w:r>
      <w:r>
        <w:rPr>
          <w:rFonts w:ascii="方正仿宋_GBK" w:hAnsi="方正仿宋_GBK" w:eastAsia="方正仿宋_GBK" w:cs="方正仿宋_GBK"/>
          <w:sz w:val="32"/>
          <w:szCs w:val="32"/>
        </w:rPr>
        <w:t>严格落实公车使用规定，严禁公车私用，厉行节约，降低公车运行维护费。</w:t>
      </w:r>
      <w:r>
        <w:rPr>
          <w:rFonts w:ascii="方正仿宋_GBK" w:hAnsi="方正仿宋_GBK" w:eastAsia="方正仿宋_GBK" w:cs="方正仿宋_GBK"/>
          <w:sz w:val="32"/>
          <w:szCs w:val="32"/>
          <w:shd w:val="clear" w:color="auto" w:fill="FFFFFF"/>
        </w:rPr>
        <w:t>较上年支出数增加18.70万元，增长100.00%，</w:t>
      </w:r>
      <w:r>
        <w:rPr>
          <w:rFonts w:eastAsia="方正仿宋_GBK"/>
          <w:sz w:val="32"/>
          <w:szCs w:val="32"/>
        </w:rPr>
        <w:t>主要原因是</w:t>
      </w:r>
      <w:r>
        <w:rPr>
          <w:rFonts w:eastAsia="方正仿宋_GBK"/>
          <w:color w:val="000000" w:themeColor="text1"/>
          <w:sz w:val="32"/>
          <w:szCs w:val="32"/>
          <w14:textFill>
            <w14:solidFill>
              <w14:schemeClr w14:val="tx1"/>
            </w14:solidFill>
          </w14:textFill>
        </w:rPr>
        <w:t>本年决算新增单位，无上年数。</w:t>
      </w:r>
    </w:p>
    <w:p>
      <w:pPr>
        <w:pStyle w:val="13"/>
        <w:shd w:val="clear" w:color="auto" w:fill="FFFFFF"/>
        <w:spacing w:beforeAutospacing="0" w:afterAutospacing="0" w:line="59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本单位2024年度未发生公务接待费。</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（三）“三公”经费实物量情况</w:t>
      </w:r>
    </w:p>
    <w:p>
      <w:pPr>
        <w:pStyle w:val="13"/>
        <w:shd w:val="clear" w:color="auto" w:fill="FFFFFF"/>
        <w:spacing w:beforeAutospacing="0" w:afterAutospacing="0" w:line="596"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万元。</w:t>
      </w:r>
    </w:p>
    <w:p>
      <w:pPr>
        <w:pStyle w:val="13"/>
        <w:shd w:val="clear" w:color="auto" w:fill="FFFFFF"/>
        <w:spacing w:before="0" w:beforeAutospacing="0" w:after="0" w:afterAutospacing="0" w:line="596" w:lineRule="exact"/>
        <w:ind w:firstLine="643" w:firstLineChars="200"/>
        <w:rPr>
          <w:rStyle w:val="17"/>
          <w:rFonts w:hint="default" w:ascii="方正黑体_GBK" w:hAnsi="方正黑体_GBK" w:eastAsia="方正黑体_GBK" w:cs="方正黑体_GBK"/>
          <w:sz w:val="32"/>
          <w:szCs w:val="32"/>
          <w:shd w:val="clear" w:color="auto" w:fill="FFFFFF"/>
        </w:rPr>
      </w:pPr>
      <w:r>
        <w:rPr>
          <w:rStyle w:val="17"/>
          <w:rFonts w:ascii="方正黑体_GBK" w:hAnsi="方正黑体_GBK" w:eastAsia="方正黑体_GBK" w:cs="方正黑体_GBK"/>
          <w:sz w:val="32"/>
          <w:szCs w:val="32"/>
          <w:shd w:val="clear" w:color="auto" w:fill="FFFFFF"/>
        </w:rPr>
        <w:t>四、其他需要说明的事项</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（一）财政拨款会议费和培训费情况说明</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kern w:val="2"/>
          <w:sz w:val="32"/>
          <w:szCs w:val="32"/>
        </w:rPr>
        <w:t>单位上年和当年未举办大型的会议活动。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0.33</w:t>
      </w:r>
      <w:r>
        <w:rPr>
          <w:rFonts w:ascii="方正仿宋_GBK" w:hAnsi="方正仿宋_GBK" w:eastAsia="方正仿宋_GBK" w:cs="方正仿宋_GBK"/>
          <w:sz w:val="32"/>
          <w:szCs w:val="32"/>
          <w:shd w:val="clear" w:color="auto" w:fill="FFFFFF"/>
        </w:rPr>
        <w:t>万元，与2023年度相比，增加0.33万元，增长100.00%，主要原因是</w:t>
      </w:r>
      <w:r>
        <w:rPr>
          <w:rFonts w:eastAsia="方正仿宋_GBK"/>
          <w:color w:val="000000" w:themeColor="text1"/>
          <w:sz w:val="32"/>
          <w:szCs w:val="32"/>
          <w14:textFill>
            <w14:solidFill>
              <w14:schemeClr w14:val="tx1"/>
            </w14:solidFill>
          </w14:textFill>
        </w:rPr>
        <w:t>本年决算新增单位，无上年数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（二）机关运行经费情况说明</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（三）国有资产占用情况说明</w:t>
      </w:r>
    </w:p>
    <w:p>
      <w:pPr>
        <w:pStyle w:val="13"/>
        <w:shd w:val="clear" w:color="auto" w:fill="FFFFFF"/>
        <w:spacing w:beforeAutospacing="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（四）政府采购支出情况说明</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.0%。2024年度我单位未发生政府采购事项，无相关经费支出。</w:t>
      </w:r>
    </w:p>
    <w:p>
      <w:pPr>
        <w:pStyle w:val="19"/>
        <w:spacing w:before="0" w:beforeAutospacing="0" w:after="0" w:afterAutospacing="0" w:line="596" w:lineRule="exact"/>
        <w:ind w:firstLine="643" w:firstLineChars="200"/>
        <w:rPr>
          <w:rStyle w:val="17"/>
          <w:rFonts w:ascii="黑体" w:hAnsi="黑体" w:eastAsia="黑体" w:cs="黑体"/>
          <w:sz w:val="32"/>
          <w:szCs w:val="32"/>
          <w:shd w:val="clear" w:color="auto" w:fill="FFFFFF"/>
        </w:rPr>
      </w:pPr>
      <w:r>
        <w:rPr>
          <w:rStyle w:val="17"/>
          <w:rFonts w:hint="eastAsia" w:ascii="方正黑体_GBK" w:hAnsi="方正黑体_GBK" w:eastAsia="方正黑体_GBK" w:cs="方正黑体_GBK"/>
          <w:sz w:val="32"/>
          <w:szCs w:val="32"/>
          <w:shd w:val="clear" w:color="auto" w:fill="FFFFFF"/>
        </w:rPr>
        <w:t>五、2024年度预算绩效管理情况说明</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（一）单位自评情况</w:t>
      </w:r>
    </w:p>
    <w:p>
      <w:pPr>
        <w:pStyle w:val="13"/>
        <w:snapToGrid w:val="0"/>
        <w:spacing w:beforeAutospacing="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根据预算绩效管理要求，我单位未开展绩效自评。</w:t>
      </w:r>
    </w:p>
    <w:p>
      <w:pPr>
        <w:pStyle w:val="13"/>
        <w:shd w:val="clear" w:color="auto" w:fill="FFFFFF"/>
        <w:spacing w:beforeAutospacing="0" w:afterAutospacing="0" w:line="596" w:lineRule="exact"/>
        <w:ind w:firstLine="42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（二）单位绩效评价情况</w:t>
      </w:r>
    </w:p>
    <w:p>
      <w:pPr>
        <w:pStyle w:val="13"/>
        <w:snapToGrid w:val="0"/>
        <w:spacing w:beforeAutospacing="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pStyle w:val="23"/>
        <w:autoSpaceDE w:val="0"/>
        <w:spacing w:line="596" w:lineRule="exact"/>
        <w:ind w:firstLine="640"/>
        <w:rPr>
          <w:rStyle w:val="17"/>
          <w:rFonts w:hint="default" w:ascii="方正楷体_GBK" w:hAnsi="方正楷体_GBK" w:eastAsia="方正楷体_GBK" w:cs="方正楷体_GBK"/>
          <w:b w:val="0"/>
          <w:bCs/>
          <w:sz w:val="32"/>
          <w:szCs w:val="32"/>
          <w:shd w:val="clear" w:color="auto" w:fill="FFFFFF"/>
        </w:rPr>
      </w:pPr>
      <w:r>
        <w:rPr>
          <w:rStyle w:val="17"/>
          <w:rFonts w:ascii="方正楷体_GBK" w:hAnsi="方正楷体_GBK" w:eastAsia="方正楷体_GBK" w:cs="方正楷体_GBK"/>
          <w:b w:val="0"/>
          <w:bCs/>
          <w:sz w:val="32"/>
          <w:szCs w:val="32"/>
          <w:shd w:val="clear" w:color="auto" w:fill="FFFFFF"/>
        </w:rPr>
        <w:t>（三）财政绩效评价情况</w:t>
      </w:r>
    </w:p>
    <w:p>
      <w:pPr>
        <w:pStyle w:val="18"/>
        <w:autoSpaceDE w:val="0"/>
        <w:spacing w:line="596"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pPr>
        <w:pStyle w:val="19"/>
        <w:autoSpaceDE w:val="0"/>
        <w:spacing w:before="0" w:beforeAutospacing="0" w:after="0" w:afterAutospacing="0" w:line="596" w:lineRule="exact"/>
        <w:rPr>
          <w:rFonts w:ascii="方正仿宋_GBK" w:hAnsi="方正仿宋_GBK" w:eastAsia="方正仿宋_GBK" w:cs="方正仿宋_GBK"/>
          <w:sz w:val="32"/>
          <w:szCs w:val="32"/>
        </w:rPr>
      </w:pPr>
      <w:r>
        <w:rPr>
          <w:rStyle w:val="20"/>
          <w:rFonts w:hint="eastAsia" w:ascii="方正仿宋_GBK" w:hAnsi="方正仿宋_GBK" w:eastAsia="方正仿宋_GBK" w:cs="方正仿宋_GBK"/>
          <w:sz w:val="32"/>
          <w:szCs w:val="32"/>
          <w:shd w:val="clear" w:color="auto" w:fill="FFFFFF"/>
        </w:rPr>
        <w:t xml:space="preserve">  </w:t>
      </w:r>
      <w:r>
        <w:rPr>
          <w:rStyle w:val="17"/>
          <w:rFonts w:hint="eastAsia" w:ascii="方正黑体_GBK" w:hAnsi="方正黑体_GBK" w:eastAsia="方正黑体_GBK" w:cs="方正黑体_GBK"/>
          <w:sz w:val="32"/>
          <w:szCs w:val="32"/>
          <w:shd w:val="clear" w:color="auto" w:fill="FFFFFF"/>
        </w:rPr>
        <w:t xml:space="preserve">  六、专业名词解释</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9"/>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7"/>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hd w:val="clear" w:color="auto" w:fill="FFFFFF"/>
        <w:spacing w:before="0" w:beforeAutospacing="0" w:after="0" w:afterAutospacing="0" w:line="596" w:lineRule="exact"/>
        <w:ind w:firstLine="643" w:firstLineChars="200"/>
        <w:rPr>
          <w:rStyle w:val="17"/>
          <w:rFonts w:hint="default" w:ascii="方正黑体_GBK" w:hAnsi="方正黑体_GBK" w:eastAsia="方正黑体_GBK" w:cs="方正黑体_GBK"/>
          <w:sz w:val="32"/>
          <w:szCs w:val="32"/>
          <w:shd w:val="clear" w:color="auto" w:fill="FFFFFF"/>
        </w:rPr>
      </w:pPr>
      <w:r>
        <w:rPr>
          <w:rStyle w:val="17"/>
          <w:rFonts w:ascii="方正黑体_GBK" w:hAnsi="方正黑体_GBK" w:eastAsia="方正黑体_GBK" w:cs="方正黑体_GBK"/>
          <w:sz w:val="32"/>
          <w:szCs w:val="32"/>
          <w:shd w:val="clear" w:color="auto" w:fill="FFFFFF"/>
        </w:rPr>
        <w:t>七、决算公开联系方式及信息反馈渠道</w:t>
      </w:r>
    </w:p>
    <w:p>
      <w:pPr>
        <w:pStyle w:val="18"/>
        <w:autoSpaceDE w:val="0"/>
        <w:spacing w:line="596" w:lineRule="exact"/>
        <w:ind w:firstLine="640"/>
        <w:rPr>
          <w:rStyle w:val="17"/>
          <w:rFonts w:ascii="方正仿宋_GBK" w:hAnsi="方正仿宋_GBK" w:eastAsia="方正仿宋_GBK" w:cs="方正仿宋_GBK"/>
          <w:sz w:val="32"/>
          <w:szCs w:val="32"/>
          <w:shd w:val="clear" w:color="auto" w:fill="FFFF00"/>
        </w:rPr>
        <w:sectPr>
          <w:footerReference r:id="rId5" w:type="first"/>
          <w:footerReference r:id="rId3" w:type="default"/>
          <w:footerReference r:id="rId4" w:type="even"/>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本单位决算公开信息反馈和联系方式：023-74684688。</w:t>
      </w:r>
    </w:p>
    <w:tbl>
      <w:tblPr>
        <w:tblStyle w:val="14"/>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垫江县规划和自然资源局规划自然资源所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1,405.26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1,405.26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4"/>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424"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垫江县规划和自然资源局规划自然资源所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212"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1,320.31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1,320.31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5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592"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145.42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145.42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6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9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4"/>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垫江县规划和自然资源局规划自然资源所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1,405.26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1,405.26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145.42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145.42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1,042.62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1,042.62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1,042.62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1,042.62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1,042.62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1,042.62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4"/>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垫江县规划和自然资源局规划自然资源所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垫江县规划和自然资源局规划自然资源所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4"/>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垫江县规划和自然资源局规划自然资源所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1,177.83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垫江县规划和自然资源局规划自然资源所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4"/>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垫江县规划和自然资源局规划自然资源所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4"/>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垫江县规划和自然资源局规划自然资源所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8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left="480"/>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7"/>
                      <w:ind w:left="480"/>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8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8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80"/>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ind w:left="480"/>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ind w:left="480"/>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A83"/>
    <w:multiLevelType w:val="singleLevel"/>
    <w:tmpl w:val="0DAB0A8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A720C"/>
    <w:rsid w:val="001D3BB7"/>
    <w:rsid w:val="002B254B"/>
    <w:rsid w:val="003223B2"/>
    <w:rsid w:val="0034050A"/>
    <w:rsid w:val="0044504F"/>
    <w:rsid w:val="00466C9B"/>
    <w:rsid w:val="00486CFC"/>
    <w:rsid w:val="00491DDD"/>
    <w:rsid w:val="00550ABE"/>
    <w:rsid w:val="00623A85"/>
    <w:rsid w:val="00770383"/>
    <w:rsid w:val="007819D4"/>
    <w:rsid w:val="007B419D"/>
    <w:rsid w:val="007B7C4B"/>
    <w:rsid w:val="007D3D39"/>
    <w:rsid w:val="00815017"/>
    <w:rsid w:val="00984C6A"/>
    <w:rsid w:val="00994AF7"/>
    <w:rsid w:val="009B67B8"/>
    <w:rsid w:val="009C14C9"/>
    <w:rsid w:val="009C6363"/>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592FDF"/>
    <w:rsid w:val="06A2550B"/>
    <w:rsid w:val="06A477B0"/>
    <w:rsid w:val="06F80EE2"/>
    <w:rsid w:val="07001CCA"/>
    <w:rsid w:val="075678DB"/>
    <w:rsid w:val="077B465F"/>
    <w:rsid w:val="079D7CC7"/>
    <w:rsid w:val="08051BCA"/>
    <w:rsid w:val="086C12F4"/>
    <w:rsid w:val="08705944"/>
    <w:rsid w:val="08BA052C"/>
    <w:rsid w:val="08DB07BA"/>
    <w:rsid w:val="0969353F"/>
    <w:rsid w:val="098305D0"/>
    <w:rsid w:val="09B1218B"/>
    <w:rsid w:val="0A3317EA"/>
    <w:rsid w:val="0A4B50EB"/>
    <w:rsid w:val="0A5C4B69"/>
    <w:rsid w:val="0A86124A"/>
    <w:rsid w:val="0AB54CC0"/>
    <w:rsid w:val="0B9335CE"/>
    <w:rsid w:val="0BF2311A"/>
    <w:rsid w:val="0C7927C4"/>
    <w:rsid w:val="0C9B098C"/>
    <w:rsid w:val="0D673E11"/>
    <w:rsid w:val="0DDA54E4"/>
    <w:rsid w:val="0E3A5F83"/>
    <w:rsid w:val="0EDA556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3A54A4"/>
    <w:rsid w:val="1F4B0B02"/>
    <w:rsid w:val="1FBB35CD"/>
    <w:rsid w:val="1FCD26AF"/>
    <w:rsid w:val="20642787"/>
    <w:rsid w:val="21556F04"/>
    <w:rsid w:val="22403BD3"/>
    <w:rsid w:val="22AD3177"/>
    <w:rsid w:val="235417B6"/>
    <w:rsid w:val="239B5B51"/>
    <w:rsid w:val="24B92327"/>
    <w:rsid w:val="24C14514"/>
    <w:rsid w:val="252D4D73"/>
    <w:rsid w:val="2533755C"/>
    <w:rsid w:val="25791755"/>
    <w:rsid w:val="26396DF4"/>
    <w:rsid w:val="27167136"/>
    <w:rsid w:val="2717737F"/>
    <w:rsid w:val="271B442C"/>
    <w:rsid w:val="27B23302"/>
    <w:rsid w:val="29310A5F"/>
    <w:rsid w:val="29C3648C"/>
    <w:rsid w:val="29C37A35"/>
    <w:rsid w:val="2A076083"/>
    <w:rsid w:val="2A73162E"/>
    <w:rsid w:val="2B167953"/>
    <w:rsid w:val="2B200583"/>
    <w:rsid w:val="2B2729C0"/>
    <w:rsid w:val="2B506FD0"/>
    <w:rsid w:val="2B8209DE"/>
    <w:rsid w:val="2B821C91"/>
    <w:rsid w:val="2BF81A22"/>
    <w:rsid w:val="2C636760"/>
    <w:rsid w:val="2C6762A3"/>
    <w:rsid w:val="2EFB547A"/>
    <w:rsid w:val="2F4B1F67"/>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2B095F"/>
    <w:rsid w:val="383C3F15"/>
    <w:rsid w:val="38BE4696"/>
    <w:rsid w:val="3939115E"/>
    <w:rsid w:val="398C473A"/>
    <w:rsid w:val="39B00841"/>
    <w:rsid w:val="39B82A39"/>
    <w:rsid w:val="39C42CA8"/>
    <w:rsid w:val="39DC4FD6"/>
    <w:rsid w:val="39F03D7A"/>
    <w:rsid w:val="39F33306"/>
    <w:rsid w:val="3A2C1C67"/>
    <w:rsid w:val="3A6A77C9"/>
    <w:rsid w:val="3ADD7F09"/>
    <w:rsid w:val="3B1705E5"/>
    <w:rsid w:val="3B18334B"/>
    <w:rsid w:val="3B36794F"/>
    <w:rsid w:val="3B541341"/>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F2CD2"/>
    <w:rsid w:val="4A263DF2"/>
    <w:rsid w:val="4A2F278B"/>
    <w:rsid w:val="4A4941BD"/>
    <w:rsid w:val="4A540FBF"/>
    <w:rsid w:val="4A6F6675"/>
    <w:rsid w:val="4B135857"/>
    <w:rsid w:val="4B7951CB"/>
    <w:rsid w:val="4B7C315C"/>
    <w:rsid w:val="4D1F53CA"/>
    <w:rsid w:val="4D433323"/>
    <w:rsid w:val="4DAC4ACA"/>
    <w:rsid w:val="4DBE01D2"/>
    <w:rsid w:val="4ED71298"/>
    <w:rsid w:val="4EFD467F"/>
    <w:rsid w:val="4F0C6BA3"/>
    <w:rsid w:val="4F186D58"/>
    <w:rsid w:val="504B6EAA"/>
    <w:rsid w:val="50F06B6E"/>
    <w:rsid w:val="51D21804"/>
    <w:rsid w:val="52234D33"/>
    <w:rsid w:val="522F6E0C"/>
    <w:rsid w:val="52463BA1"/>
    <w:rsid w:val="52F163D4"/>
    <w:rsid w:val="531A2DB4"/>
    <w:rsid w:val="53AF5180"/>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142548"/>
    <w:rsid w:val="583324B6"/>
    <w:rsid w:val="5842572D"/>
    <w:rsid w:val="5A3B59D6"/>
    <w:rsid w:val="5AD134D8"/>
    <w:rsid w:val="5AEF19E6"/>
    <w:rsid w:val="5BF41F67"/>
    <w:rsid w:val="5C263CE4"/>
    <w:rsid w:val="5C5D2777"/>
    <w:rsid w:val="5CF66BF3"/>
    <w:rsid w:val="5D290C69"/>
    <w:rsid w:val="5DA80C2C"/>
    <w:rsid w:val="5E0E418C"/>
    <w:rsid w:val="5F2D4A41"/>
    <w:rsid w:val="606C7335"/>
    <w:rsid w:val="6092107E"/>
    <w:rsid w:val="60C74F6C"/>
    <w:rsid w:val="61015958"/>
    <w:rsid w:val="61025A59"/>
    <w:rsid w:val="613D5BBC"/>
    <w:rsid w:val="61536C39"/>
    <w:rsid w:val="62944DD7"/>
    <w:rsid w:val="6319381F"/>
    <w:rsid w:val="63615834"/>
    <w:rsid w:val="63BF2ECE"/>
    <w:rsid w:val="63C25DC5"/>
    <w:rsid w:val="63C62057"/>
    <w:rsid w:val="64571EF5"/>
    <w:rsid w:val="64FB113D"/>
    <w:rsid w:val="656152C6"/>
    <w:rsid w:val="6587477F"/>
    <w:rsid w:val="658C3A08"/>
    <w:rsid w:val="65A02DE7"/>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B94331"/>
    <w:rsid w:val="6B474EF5"/>
    <w:rsid w:val="6BB34648"/>
    <w:rsid w:val="6BC62FA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6F0CA3"/>
    <w:rsid w:val="71C34D91"/>
    <w:rsid w:val="72DB435C"/>
    <w:rsid w:val="72E2613A"/>
    <w:rsid w:val="72F771F4"/>
    <w:rsid w:val="73934AD2"/>
    <w:rsid w:val="750837F0"/>
    <w:rsid w:val="7539085F"/>
    <w:rsid w:val="754758CF"/>
    <w:rsid w:val="75595ECD"/>
    <w:rsid w:val="764F62AB"/>
    <w:rsid w:val="765C45EC"/>
    <w:rsid w:val="768A7619"/>
    <w:rsid w:val="76BD23AB"/>
    <w:rsid w:val="76E92E65"/>
    <w:rsid w:val="772E1EBA"/>
    <w:rsid w:val="781926BC"/>
    <w:rsid w:val="78D27498"/>
    <w:rsid w:val="796D60A4"/>
    <w:rsid w:val="79A031D5"/>
    <w:rsid w:val="79B47FDF"/>
    <w:rsid w:val="79E569A9"/>
    <w:rsid w:val="79FC235B"/>
    <w:rsid w:val="7A1525F7"/>
    <w:rsid w:val="7B420052"/>
    <w:rsid w:val="7BD06A28"/>
    <w:rsid w:val="7C3A7C0B"/>
    <w:rsid w:val="7C5248E4"/>
    <w:rsid w:val="7C566698"/>
    <w:rsid w:val="7C5866A3"/>
    <w:rsid w:val="7D7406BB"/>
    <w:rsid w:val="7DD83B14"/>
    <w:rsid w:val="7DE94331"/>
    <w:rsid w:val="7DEB575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w:basedOn w:val="1"/>
    <w:next w:val="1"/>
    <w:qFormat/>
    <w:uiPriority w:val="0"/>
    <w:pPr>
      <w:spacing w:before="100" w:beforeAutospacing="1" w:after="100" w:afterAutospacing="1"/>
    </w:pPr>
    <w:rPr>
      <w:rFonts w:cs="宋体"/>
    </w:rPr>
  </w:style>
  <w:style w:type="paragraph" w:styleId="5">
    <w:name w:val="Body Text Indent"/>
    <w:basedOn w:val="1"/>
    <w:qFormat/>
    <w:uiPriority w:val="0"/>
    <w:pPr>
      <w:snapToGrid w:val="0"/>
      <w:spacing w:after="120"/>
      <w:ind w:left="420" w:leftChars="200"/>
    </w:pPr>
    <w:rPr>
      <w:rFonts w:eastAsia="仿宋_GB2312"/>
      <w:sz w:val="32"/>
    </w:rPr>
  </w:style>
  <w:style w:type="paragraph" w:styleId="6">
    <w:name w:val="Balloon Text"/>
    <w:basedOn w:val="1"/>
    <w:link w:val="22"/>
    <w:qFormat/>
    <w:uiPriority w:val="0"/>
    <w:rPr>
      <w:sz w:val="18"/>
      <w:szCs w:val="18"/>
    </w:rPr>
  </w:style>
  <w:style w:type="paragraph" w:styleId="7">
    <w:name w:val="footer"/>
    <w:basedOn w:val="8"/>
    <w:next w:val="9"/>
    <w:qFormat/>
    <w:uiPriority w:val="0"/>
    <w:pPr>
      <w:tabs>
        <w:tab w:val="center" w:pos="4153"/>
        <w:tab w:val="right" w:pos="8306"/>
      </w:tabs>
    </w:pPr>
  </w:style>
  <w:style w:type="paragraph" w:customStyle="1" w:styleId="8">
    <w:name w:val="正文1"/>
    <w:basedOn w:val="5"/>
    <w:qFormat/>
    <w:uiPriority w:val="0"/>
    <w:pPr>
      <w:spacing w:line="500" w:lineRule="exact"/>
    </w:pPr>
    <w:rPr>
      <w:rFonts w:ascii="仿宋_GB2312"/>
      <w:color w:val="0000FF"/>
      <w:sz w:val="18"/>
      <w:szCs w:val="18"/>
    </w:rPr>
  </w:style>
  <w:style w:type="paragraph" w:customStyle="1" w:styleId="9">
    <w:name w:val="报告正文"/>
    <w:basedOn w:val="10"/>
    <w:qFormat/>
    <w:uiPriority w:val="0"/>
    <w:pPr>
      <w:spacing w:line="500" w:lineRule="exact"/>
      <w:ind w:firstLine="520"/>
    </w:pPr>
    <w:rPr>
      <w:color w:val="000000"/>
      <w:spacing w:val="10"/>
      <w:szCs w:val="20"/>
    </w:rPr>
  </w:style>
  <w:style w:type="paragraph" w:styleId="10">
    <w:name w:val="Body Text First Indent"/>
    <w:basedOn w:val="4"/>
    <w:qFormat/>
    <w:uiPriority w:val="0"/>
    <w:pPr>
      <w:ind w:firstLine="420" w:firstLineChars="100"/>
    </w:p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0"/>
    <w:pPr>
      <w:spacing w:before="100" w:beforeAutospacing="1" w:after="100" w:afterAutospacing="1"/>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列出段落1"/>
    <w:basedOn w:val="1"/>
    <w:qFormat/>
    <w:uiPriority w:val="99"/>
    <w:pPr>
      <w:ind w:firstLine="420" w:firstLineChars="200"/>
    </w:pPr>
    <w:rPr>
      <w:rFonts w:hint="default"/>
    </w:rPr>
  </w:style>
  <w:style w:type="paragraph" w:customStyle="1" w:styleId="1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0">
    <w:name w:val="21"/>
    <w:basedOn w:val="16"/>
    <w:qFormat/>
    <w:uiPriority w:val="0"/>
    <w:rPr>
      <w:rFonts w:hint="default" w:ascii="Wingdings" w:hAnsi="Wingdings" w:cs="Wingdings"/>
      <w:b/>
      <w:bCs/>
    </w:rPr>
  </w:style>
  <w:style w:type="paragraph" w:customStyle="1" w:styleId="21">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2">
    <w:name w:val="批注框文本 字符"/>
    <w:basedOn w:val="16"/>
    <w:link w:val="6"/>
    <w:qFormat/>
    <w:uiPriority w:val="0"/>
    <w:rPr>
      <w:rFonts w:ascii="宋体" w:hAnsi="宋体"/>
      <w:sz w:val="18"/>
      <w:szCs w:val="18"/>
    </w:rPr>
  </w:style>
  <w:style w:type="paragraph" w:customStyle="1" w:styleId="23">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2171</Words>
  <Characters>12378</Characters>
  <Lines>103</Lines>
  <Paragraphs>29</Paragraphs>
  <TotalTime>5</TotalTime>
  <ScaleCrop>false</ScaleCrop>
  <LinksUpToDate>false</LinksUpToDate>
  <CharactersWithSpaces>14520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cp:lastPrinted>2025-08-18T03:56:00Z</cp:lastPrinted>
  <dcterms:modified xsi:type="dcterms:W3CDTF">2025-09-18T01:27:11Z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