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垫江县土地储备整治中心</w:t>
      </w:r>
    </w:p>
    <w:p>
      <w:pPr>
        <w:pStyle w:val="6"/>
        <w:spacing w:before="0" w:beforeAutospacing="0" w:line="60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autoSpaceDE w:val="0"/>
        <w:spacing w:line="596" w:lineRule="exact"/>
        <w:ind w:firstLine="640" w:firstLineChars="200"/>
        <w:rPr>
          <w:rFonts w:hint="default" w:ascii="方正黑体_GBK" w:eastAsia="方正黑体_GBK"/>
          <w:sz w:val="32"/>
          <w:szCs w:val="32"/>
        </w:rPr>
      </w:pPr>
      <w:r>
        <w:rPr>
          <w:rFonts w:ascii="方正黑体_GBK" w:eastAsia="方正黑体_GBK"/>
          <w:sz w:val="32"/>
          <w:szCs w:val="32"/>
        </w:rPr>
        <w:t>一、单位基本情况</w:t>
      </w:r>
    </w:p>
    <w:p>
      <w:pPr>
        <w:autoSpaceDE w:val="0"/>
        <w:spacing w:line="596" w:lineRule="exact"/>
        <w:ind w:firstLine="640" w:firstLineChars="200"/>
        <w:rPr>
          <w:rFonts w:hint="default" w:ascii="方正楷体_GBK" w:eastAsia="方正楷体_GBK"/>
          <w:sz w:val="32"/>
          <w:szCs w:val="32"/>
        </w:rPr>
      </w:pPr>
      <w:r>
        <w:rPr>
          <w:rFonts w:ascii="方正楷体_GBK" w:eastAsia="方正楷体_GBK"/>
          <w:sz w:val="32"/>
          <w:szCs w:val="32"/>
        </w:rPr>
        <w:t>（一）职能职责</w:t>
      </w:r>
    </w:p>
    <w:p>
      <w:pPr>
        <w:autoSpaceDE w:val="0"/>
        <w:spacing w:line="596" w:lineRule="exact"/>
        <w:ind w:firstLine="640" w:firstLineChars="200"/>
        <w:rPr>
          <w:rFonts w:hint="default" w:ascii="方正仿宋_GBK" w:eastAsia="方正仿宋_GBK"/>
          <w:sz w:val="32"/>
          <w:szCs w:val="32"/>
        </w:rPr>
      </w:pPr>
      <w:r>
        <w:rPr>
          <w:rFonts w:ascii="方正仿宋_GBK" w:eastAsia="方正仿宋_GBK"/>
          <w:sz w:val="32"/>
          <w:szCs w:val="32"/>
        </w:rPr>
        <w:t>制定土地储备工作计划；实施土地储备方案；规范储备土地，开展储备土地的前期开发整理；委托实施储备土地的招标拍卖挂牌出让。</w:t>
      </w:r>
    </w:p>
    <w:p>
      <w:pPr>
        <w:autoSpaceDE w:val="0"/>
        <w:spacing w:line="596" w:lineRule="exact"/>
        <w:ind w:firstLine="640" w:firstLineChars="200"/>
        <w:rPr>
          <w:rFonts w:hint="default" w:ascii="方正仿宋_GBK" w:eastAsia="方正仿宋_GBK"/>
          <w:sz w:val="32"/>
          <w:szCs w:val="32"/>
        </w:rPr>
      </w:pPr>
      <w:r>
        <w:rPr>
          <w:rFonts w:ascii="方正楷体_GBK" w:eastAsia="方正楷体_GBK"/>
          <w:sz w:val="32"/>
          <w:szCs w:val="32"/>
        </w:rPr>
        <w:t>（二）机构设置</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本单位属财政全额拨款的事业单位，为副科级单位，未设置独立的内设科室。</w:t>
      </w:r>
    </w:p>
    <w:p>
      <w:pPr>
        <w:pStyle w:val="6"/>
        <w:shd w:val="clear" w:color="auto" w:fill="FFFFFF"/>
        <w:spacing w:before="0" w:beforeAutospacing="0" w:after="0" w:afterAutospacing="0" w:line="596" w:lineRule="exact"/>
        <w:ind w:firstLine="630" w:firstLineChars="196"/>
        <w:rPr>
          <w:rFonts w:hint="default" w:ascii="方正黑体_GBK" w:hAnsi="黑体" w:eastAsia="方正黑体_GBK" w:cs="黑体"/>
          <w:b/>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autoSpaceDE w:val="0"/>
        <w:spacing w:line="596" w:lineRule="exact"/>
        <w:ind w:firstLine="640" w:firstLineChars="200"/>
        <w:rPr>
          <w:rFonts w:hint="default" w:ascii="方正楷体_GBK" w:eastAsia="方正楷体_GBK"/>
          <w:sz w:val="32"/>
          <w:szCs w:val="32"/>
        </w:rPr>
      </w:pPr>
      <w:r>
        <w:rPr>
          <w:rFonts w:ascii="方正楷体_GBK" w:eastAsia="方正楷体_GBK"/>
          <w:sz w:val="32"/>
          <w:szCs w:val="32"/>
        </w:rPr>
        <w:t>（一）收入支出决算总体情况说明</w:t>
      </w:r>
    </w:p>
    <w:p>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Style w:val="10"/>
          <w:rFonts w:ascii="方正仿宋_GBK" w:eastAsia="方正仿宋_GBK"/>
          <w:b w:val="0"/>
          <w:sz w:val="32"/>
          <w:szCs w:val="32"/>
        </w:rPr>
        <w:t>2024年度收入总计11741.67万元，支出总计</w:t>
      </w:r>
      <w:r>
        <w:rPr>
          <w:rStyle w:val="10"/>
          <w:rFonts w:ascii="方正仿宋_GBK" w:eastAsia="方正仿宋_GBK"/>
          <w:b w:val="0"/>
          <w:sz w:val="32"/>
          <w:szCs w:val="32"/>
          <w:shd w:val="clear" w:color="auto" w:fill="FFFFFF"/>
        </w:rPr>
        <w:t>11741.67</w:t>
      </w:r>
      <w:r>
        <w:rPr>
          <w:rStyle w:val="10"/>
          <w:rFonts w:ascii="方正仿宋_GBK" w:eastAsia="方正仿宋_GBK"/>
          <w:b w:val="0"/>
          <w:sz w:val="32"/>
          <w:szCs w:val="32"/>
        </w:rPr>
        <w:t>万元。收、支与2023年度相比，增加10885.31万元，增长1271.11%，主要原因是</w:t>
      </w:r>
      <w:r>
        <w:rPr>
          <w:rFonts w:ascii="方正仿宋_GBK" w:hAnsi="方正仿宋_GBK" w:eastAsia="方正仿宋_GBK" w:cs="方正仿宋_GBK"/>
          <w:sz w:val="32"/>
          <w:szCs w:val="32"/>
          <w:shd w:val="clear" w:color="auto" w:fill="FFFFFF"/>
        </w:rPr>
        <w:t>本年增加国有土地收购储备项目经费</w:t>
      </w:r>
      <w:r>
        <w:rPr>
          <w:rFonts w:ascii="方正仿宋_GBK" w:eastAsia="方正仿宋_GBK" w:cs="宋体"/>
          <w:sz w:val="32"/>
          <w:szCs w:val="32"/>
        </w:rPr>
        <w:t>。</w:t>
      </w:r>
    </w:p>
    <w:p>
      <w:pPr>
        <w:pStyle w:val="6"/>
        <w:shd w:val="clear" w:color="auto" w:fill="FFFFFF"/>
        <w:spacing w:before="0" w:beforeAutospacing="0" w:after="0" w:afterAutospacing="0" w:line="596" w:lineRule="exact"/>
        <w:ind w:firstLine="643" w:firstLineChars="200"/>
        <w:rPr>
          <w:rStyle w:val="10"/>
          <w:rFonts w:hint="default" w:ascii="方正仿宋_GBK" w:eastAsia="方正仿宋_GBK"/>
          <w:b w:val="0"/>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Style w:val="10"/>
          <w:rFonts w:ascii="方正仿宋_GBK" w:eastAsia="方正仿宋_GBK"/>
          <w:b w:val="0"/>
          <w:sz w:val="32"/>
          <w:szCs w:val="32"/>
        </w:rPr>
        <w:t>2024年度收入合计11737.16万元，与2023年度相比，增加10880.92万元，增长1270.78%，主要原因是本年增加国有土地收购储备项目经费</w:t>
      </w:r>
      <w:r>
        <w:rPr>
          <w:rStyle w:val="10"/>
          <w:rFonts w:ascii="方正仿宋_GBK" w:hAnsi="方正仿宋_GBK" w:eastAsia="方正仿宋_GBK" w:cs="方正仿宋_GBK"/>
          <w:b w:val="0"/>
          <w:sz w:val="32"/>
          <w:szCs w:val="32"/>
          <w:shd w:val="clear" w:color="auto" w:fill="FFFFFF"/>
        </w:rPr>
        <w:t>。</w:t>
      </w:r>
      <w:r>
        <w:rPr>
          <w:rStyle w:val="10"/>
          <w:rFonts w:ascii="方正仿宋_GBK" w:eastAsia="方正仿宋_GBK"/>
          <w:b w:val="0"/>
          <w:sz w:val="32"/>
          <w:szCs w:val="32"/>
        </w:rPr>
        <w:t>其中：财政拨款收入</w:t>
      </w:r>
      <w:r>
        <w:rPr>
          <w:rStyle w:val="10"/>
          <w:rFonts w:ascii="方正仿宋_GBK" w:eastAsia="方正仿宋_GBK"/>
          <w:b w:val="0"/>
          <w:sz w:val="32"/>
          <w:szCs w:val="32"/>
          <w:shd w:val="clear" w:color="auto" w:fill="FFFFFF"/>
        </w:rPr>
        <w:t>11737.16</w:t>
      </w:r>
      <w:r>
        <w:rPr>
          <w:rStyle w:val="10"/>
          <w:rFonts w:ascii="方正仿宋_GBK" w:eastAsia="方正仿宋_GBK"/>
          <w:b w:val="0"/>
          <w:sz w:val="32"/>
          <w:szCs w:val="32"/>
        </w:rPr>
        <w:t>万元，占</w:t>
      </w:r>
      <w:r>
        <w:rPr>
          <w:rStyle w:val="10"/>
          <w:rFonts w:ascii="方正仿宋_GBK" w:eastAsia="方正仿宋_GBK"/>
          <w:b w:val="0"/>
          <w:sz w:val="32"/>
          <w:szCs w:val="32"/>
          <w:shd w:val="clear" w:color="auto" w:fill="FFFFFF"/>
        </w:rPr>
        <w:t>100.00</w:t>
      </w:r>
      <w:r>
        <w:rPr>
          <w:rStyle w:val="10"/>
          <w:rFonts w:ascii="方正仿宋_GBK" w:eastAsia="方正仿宋_GBK"/>
          <w:b w:val="0"/>
          <w:sz w:val="32"/>
          <w:szCs w:val="32"/>
        </w:rPr>
        <w:t>%；事业收入</w:t>
      </w:r>
      <w:r>
        <w:rPr>
          <w:rStyle w:val="10"/>
          <w:rFonts w:ascii="方正仿宋_GBK" w:eastAsia="方正仿宋_GBK"/>
          <w:b w:val="0"/>
          <w:sz w:val="32"/>
          <w:szCs w:val="32"/>
          <w:shd w:val="clear" w:color="auto" w:fill="FFFFFF"/>
        </w:rPr>
        <w:t>0.00</w:t>
      </w:r>
      <w:r>
        <w:rPr>
          <w:rStyle w:val="10"/>
          <w:rFonts w:ascii="方正仿宋_GBK" w:eastAsia="方正仿宋_GBK"/>
          <w:b w:val="0"/>
          <w:sz w:val="32"/>
          <w:szCs w:val="32"/>
        </w:rPr>
        <w:t>万元，占0.00%；经营收入</w:t>
      </w:r>
      <w:r>
        <w:rPr>
          <w:rStyle w:val="10"/>
          <w:rFonts w:ascii="方正仿宋_GBK" w:eastAsia="方正仿宋_GBK"/>
          <w:b w:val="0"/>
          <w:sz w:val="32"/>
          <w:szCs w:val="32"/>
          <w:shd w:val="clear" w:color="auto" w:fill="FFFFFF"/>
        </w:rPr>
        <w:t>0.00</w:t>
      </w:r>
      <w:r>
        <w:rPr>
          <w:rStyle w:val="10"/>
          <w:rFonts w:ascii="方正仿宋_GBK" w:eastAsia="方正仿宋_GBK"/>
          <w:b w:val="0"/>
          <w:sz w:val="32"/>
          <w:szCs w:val="32"/>
        </w:rPr>
        <w:t>万元，占0.00%；其他收入</w:t>
      </w:r>
      <w:r>
        <w:rPr>
          <w:rStyle w:val="10"/>
          <w:rFonts w:ascii="方正仿宋_GBK" w:eastAsia="方正仿宋_GBK"/>
          <w:b w:val="0"/>
          <w:sz w:val="32"/>
          <w:szCs w:val="32"/>
          <w:shd w:val="clear" w:color="auto" w:fill="FFFFFF"/>
        </w:rPr>
        <w:t>0.00</w:t>
      </w:r>
      <w:r>
        <w:rPr>
          <w:rStyle w:val="10"/>
          <w:rFonts w:ascii="方正仿宋_GBK" w:eastAsia="方正仿宋_GBK"/>
          <w:b w:val="0"/>
          <w:sz w:val="32"/>
          <w:szCs w:val="32"/>
        </w:rPr>
        <w:t>万元，占0.00%。此外，使用非财政拨款结余和专用结余</w:t>
      </w:r>
      <w:r>
        <w:rPr>
          <w:rStyle w:val="10"/>
          <w:rFonts w:ascii="方正仿宋_GBK" w:eastAsia="方正仿宋_GBK"/>
          <w:b w:val="0"/>
          <w:sz w:val="32"/>
          <w:szCs w:val="32"/>
          <w:shd w:val="clear" w:color="auto" w:fill="FFFFFF"/>
        </w:rPr>
        <w:t>4.51</w:t>
      </w:r>
      <w:r>
        <w:rPr>
          <w:rStyle w:val="10"/>
          <w:rFonts w:ascii="方正仿宋_GBK" w:eastAsia="方正仿宋_GBK"/>
          <w:b w:val="0"/>
          <w:sz w:val="32"/>
          <w:szCs w:val="32"/>
        </w:rPr>
        <w:t>万元，年初结转和结余</w:t>
      </w:r>
      <w:r>
        <w:rPr>
          <w:rStyle w:val="10"/>
          <w:rFonts w:ascii="方正仿宋_GBK" w:eastAsia="方正仿宋_GBK"/>
          <w:b w:val="0"/>
          <w:sz w:val="32"/>
          <w:szCs w:val="32"/>
          <w:shd w:val="clear" w:color="auto" w:fill="FFFFFF"/>
        </w:rPr>
        <w:t>0.00</w:t>
      </w:r>
      <w:r>
        <w:rPr>
          <w:rStyle w:val="10"/>
          <w:rFonts w:ascii="方正仿宋_GBK" w:eastAsia="方正仿宋_GBK"/>
          <w:b w:val="0"/>
          <w:sz w:val="32"/>
          <w:szCs w:val="32"/>
        </w:rPr>
        <w:t>万元。</w:t>
      </w:r>
    </w:p>
    <w:p>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11741.67</w:t>
      </w:r>
      <w:r>
        <w:rPr>
          <w:rFonts w:ascii="方正仿宋_GBK" w:hAnsi="方正仿宋_GBK" w:eastAsia="方正仿宋_GBK" w:cs="方正仿宋_GBK"/>
          <w:sz w:val="32"/>
          <w:szCs w:val="32"/>
          <w:shd w:val="clear" w:color="auto" w:fill="FFFFFF"/>
        </w:rPr>
        <w:t>万元，与2023年度相比，增加10885.31万元，增长1271.11%，主要原因是本年增加国有土地收购储备项目经费</w:t>
      </w:r>
      <w:r>
        <w:rPr>
          <w:rFonts w:ascii="方正仿宋_GBK" w:eastAsia="方正仿宋_GBK" w:cs="宋体"/>
          <w:sz w:val="32"/>
          <w:szCs w:val="32"/>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141.67</w:t>
      </w:r>
      <w:r>
        <w:rPr>
          <w:rFonts w:ascii="方正仿宋_GBK" w:hAnsi="方正仿宋_GBK" w:eastAsia="方正仿宋_GBK" w:cs="方正仿宋_GBK"/>
          <w:sz w:val="32"/>
          <w:szCs w:val="32"/>
          <w:shd w:val="clear" w:color="auto" w:fill="FFFFFF"/>
        </w:rPr>
        <w:t>万元，占1.21%；项目支出</w:t>
      </w:r>
      <w:r>
        <w:rPr>
          <w:rFonts w:ascii="方正仿宋_GBK" w:hAnsi="方正仿宋_GBK" w:eastAsia="方正仿宋_GBK" w:cs="方正仿宋_GBK"/>
          <w:sz w:val="32"/>
          <w:szCs w:val="32"/>
        </w:rPr>
        <w:t>11600.00</w:t>
      </w:r>
      <w:r>
        <w:rPr>
          <w:rFonts w:ascii="方正仿宋_GBK" w:hAnsi="方正仿宋_GBK" w:eastAsia="方正仿宋_GBK" w:cs="方正仿宋_GBK"/>
          <w:sz w:val="32"/>
          <w:szCs w:val="32"/>
          <w:shd w:val="clear" w:color="auto" w:fill="FFFFFF"/>
        </w:rPr>
        <w:t>万元，占98.79%；经营支出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autoSpaceDE w:val="0"/>
        <w:spacing w:line="596" w:lineRule="exact"/>
        <w:ind w:firstLine="640" w:firstLineChars="200"/>
        <w:rPr>
          <w:rFonts w:hint="default" w:ascii="方正楷体_GBK" w:eastAsia="方正楷体_GBK"/>
          <w:sz w:val="32"/>
          <w:szCs w:val="32"/>
        </w:rPr>
      </w:pPr>
      <w:r>
        <w:rPr>
          <w:rFonts w:ascii="方正楷体_GBK" w:eastAsia="方正楷体_GBK"/>
          <w:sz w:val="32"/>
          <w:szCs w:val="32"/>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2024年度财政拨款收、支总计11737.16万元。与2023年相比，财政拨款收、支总计各增加11597.22万元，增长8287.28%。主要原因是</w:t>
      </w:r>
      <w:r>
        <w:rPr>
          <w:rFonts w:ascii="方正仿宋_GBK" w:eastAsia="方正仿宋_GBK"/>
          <w:sz w:val="32"/>
          <w:szCs w:val="32"/>
        </w:rPr>
        <w:t>工资正常晋升和</w:t>
      </w:r>
      <w:r>
        <w:rPr>
          <w:rFonts w:ascii="方正仿宋_GBK" w:hAnsi="方正仿宋_GBK" w:eastAsia="方正仿宋_GBK" w:cs="方正仿宋_GBK"/>
          <w:sz w:val="32"/>
          <w:szCs w:val="32"/>
          <w:shd w:val="clear" w:color="auto" w:fill="FFFFFF"/>
        </w:rPr>
        <w:t>增加国有土地收购储备项目经费。</w:t>
      </w:r>
    </w:p>
    <w:p>
      <w:pPr>
        <w:autoSpaceDE w:val="0"/>
        <w:spacing w:line="596" w:lineRule="exact"/>
        <w:ind w:firstLine="640" w:firstLineChars="200"/>
        <w:rPr>
          <w:rFonts w:hint="default" w:ascii="方正楷体_GBK" w:eastAsia="方正楷体_GBK"/>
          <w:sz w:val="32"/>
          <w:szCs w:val="32"/>
        </w:rPr>
      </w:pPr>
      <w:r>
        <w:rPr>
          <w:rFonts w:ascii="方正楷体_GBK" w:eastAsia="方正楷体_GBK"/>
          <w:sz w:val="32"/>
          <w:szCs w:val="32"/>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137.16</w:t>
      </w:r>
      <w:r>
        <w:rPr>
          <w:rFonts w:ascii="方正仿宋_GBK" w:hAnsi="方正仿宋_GBK" w:eastAsia="方正仿宋_GBK" w:cs="方正仿宋_GBK"/>
          <w:sz w:val="32"/>
          <w:szCs w:val="32"/>
          <w:shd w:val="clear" w:color="auto" w:fill="FFFFFF"/>
        </w:rPr>
        <w:t>万元，与2023年度相比，减少2.78万元，下降1.99%。主要原因是人员变动人员经费减少</w:t>
      </w:r>
      <w:r>
        <w:rPr>
          <w:rFonts w:ascii="方正仿宋_GBK" w:eastAsia="方正仿宋_GBK"/>
          <w:sz w:val="32"/>
          <w:szCs w:val="32"/>
        </w:rPr>
        <w:t>工资正常晋升。</w:t>
      </w:r>
      <w:r>
        <w:rPr>
          <w:rFonts w:ascii="方正仿宋_GBK" w:hAnsi="方正仿宋_GBK" w:eastAsia="方正仿宋_GBK" w:cs="方正仿宋_GBK"/>
          <w:sz w:val="32"/>
          <w:szCs w:val="32"/>
          <w:shd w:val="clear" w:color="auto" w:fill="FFFFFF"/>
        </w:rPr>
        <w:t>较年初预算数增加13.47万元，增长10.89%。主要原因是</w:t>
      </w:r>
      <w:r>
        <w:rPr>
          <w:rFonts w:ascii="方正仿宋_GBK" w:hAnsi="仿宋_GB2312" w:eastAsia="方正仿宋_GBK" w:cs="仿宋_GB2312"/>
          <w:sz w:val="32"/>
        </w:rPr>
        <w:t>补缴2022-2023年养老保险和职业年金增加的人员经费</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137.16</w:t>
      </w:r>
      <w:r>
        <w:rPr>
          <w:rFonts w:ascii="方正仿宋_GBK" w:hAnsi="方正仿宋_GBK" w:eastAsia="方正仿宋_GBK" w:cs="方正仿宋_GBK"/>
          <w:sz w:val="32"/>
          <w:szCs w:val="32"/>
          <w:shd w:val="clear" w:color="auto" w:fill="FFFFFF"/>
        </w:rPr>
        <w:t>万元，与2023年度相比，减少2.78万元，下降1.99%。主要原因是人员变动人员经费减少</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较年初预算数增加13.47万元，增长10.89%。主要原因是</w:t>
      </w:r>
      <w:r>
        <w:rPr>
          <w:rFonts w:ascii="方正仿宋_GBK" w:hAnsi="仿宋_GB2312" w:eastAsia="方正仿宋_GBK" w:cs="仿宋_GB2312"/>
          <w:sz w:val="32"/>
        </w:rPr>
        <w:t>补缴2022-2023年养老保险和职业年金增加的人员经费</w:t>
      </w:r>
      <w:r>
        <w:rPr>
          <w:rFonts w:ascii="方正仿宋_GBK" w:eastAsia="方正仿宋_GBK"/>
          <w:sz w:val="32"/>
          <w:szCs w:val="32"/>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本年度及</w:t>
      </w:r>
      <w:r>
        <w:rPr>
          <w:rFonts w:ascii="方正仿宋_GBK" w:hAnsi="方正仿宋_GBK" w:eastAsia="方正仿宋_GBK" w:cs="方正仿宋_GBK"/>
          <w:sz w:val="32"/>
          <w:szCs w:val="32"/>
          <w:shd w:val="clear" w:color="auto" w:fill="FFFFFF"/>
        </w:rPr>
        <w:t>上</w:t>
      </w:r>
      <w:r>
        <w:rPr>
          <w:rFonts w:hint="default" w:ascii="方正仿宋_GBK" w:hAnsi="方正仿宋_GBK" w:eastAsia="方正仿宋_GBK" w:cs="方正仿宋_GBK"/>
          <w:sz w:val="32"/>
          <w:szCs w:val="32"/>
          <w:shd w:val="clear" w:color="auto" w:fill="FFFFFF"/>
        </w:rPr>
        <w:t>年度均无结转结余。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%，较年初预算数减少0.19万元，下降55.88%，主要原因是</w:t>
      </w:r>
      <w:r>
        <w:rPr>
          <w:rFonts w:ascii="方正仿宋_GBK" w:hAnsi="方正仿宋_GBK" w:eastAsia="方正仿宋_GBK" w:cs="方正仿宋_GBK"/>
          <w:kern w:val="2"/>
          <w:sz w:val="32"/>
          <w:szCs w:val="32"/>
        </w:rPr>
        <w:t>本年安排职工培训较少。</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26.59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19.39</w:t>
      </w:r>
      <w:r>
        <w:rPr>
          <w:rFonts w:ascii="方正仿宋_GBK" w:hAnsi="方正仿宋_GBK" w:eastAsia="方正仿宋_GBK" w:cs="方正仿宋_GBK"/>
          <w:sz w:val="32"/>
          <w:szCs w:val="32"/>
          <w:shd w:val="clear" w:color="auto" w:fill="FFFFFF"/>
        </w:rPr>
        <w:t>%，较年初预算数增加13.21万元，增长98.73%，主要原因是</w:t>
      </w:r>
      <w:r>
        <w:rPr>
          <w:rFonts w:ascii="方正仿宋_GBK" w:hAnsi="仿宋_GB2312" w:eastAsia="方正仿宋_GBK" w:cs="仿宋_GB2312"/>
          <w:sz w:val="32"/>
        </w:rPr>
        <w:t>补缴2022-2023年养老保险和职业年金增加的人员经费</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%，较年初预算数增加0.06万元，增长1.37%，主要原因是人员变动，缴费基数增加。</w:t>
      </w:r>
    </w:p>
    <w:p>
      <w:pPr>
        <w:pStyle w:val="6"/>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自然资源海洋气象等支出98.02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71.46</w:t>
      </w:r>
      <w:r>
        <w:rPr>
          <w:rFonts w:ascii="方正仿宋_GBK" w:hAnsi="方正仿宋_GBK" w:eastAsia="方正仿宋_GBK" w:cs="方正仿宋_GBK"/>
          <w:sz w:val="32"/>
          <w:szCs w:val="32"/>
          <w:shd w:val="clear" w:color="auto" w:fill="FFFFFF"/>
        </w:rPr>
        <w:t>%，较年初预算数减少2.30万元，下降2.29%，主要原因是</w:t>
      </w:r>
      <w:r>
        <w:rPr>
          <w:rFonts w:ascii="方正仿宋_GBK" w:eastAsia="方正仿宋_GBK"/>
          <w:sz w:val="32"/>
          <w:szCs w:val="32"/>
        </w:rPr>
        <w:t>严格落实过紧日子要求，厉行节约减少公用经费。</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住房保障支出7.95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5.79</w:t>
      </w:r>
      <w:r>
        <w:rPr>
          <w:rFonts w:ascii="方正仿宋_GBK" w:hAnsi="方正仿宋_GBK" w:eastAsia="方正仿宋_GBK" w:cs="方正仿宋_GBK"/>
          <w:sz w:val="32"/>
          <w:szCs w:val="32"/>
          <w:shd w:val="clear" w:color="auto" w:fill="FFFFFF"/>
        </w:rPr>
        <w:t>%，较年初预算数增加2.69万元，增长51.14%，主要原因是缴费基数调高，缴费支出增加。</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137.16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125.01</w:t>
      </w:r>
      <w:r>
        <w:rPr>
          <w:rFonts w:ascii="方正仿宋_GBK" w:hAnsi="方正仿宋_GBK" w:eastAsia="方正仿宋_GBK" w:cs="方正仿宋_GBK"/>
          <w:sz w:val="32"/>
          <w:szCs w:val="32"/>
          <w:shd w:val="clear" w:color="auto" w:fill="FFFFFF"/>
        </w:rPr>
        <w:t>万元，与2023年度相比，增加3.79万元，增长3.13%，主要原因是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基本工资、津贴补贴、奖金、绩效工资、社会保障缴费、公积金缴费。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12.14</w:t>
      </w:r>
      <w:r>
        <w:rPr>
          <w:rFonts w:ascii="方正仿宋_GBK" w:hAnsi="方正仿宋_GBK" w:eastAsia="方正仿宋_GBK" w:cs="方正仿宋_GBK"/>
          <w:sz w:val="32"/>
          <w:szCs w:val="32"/>
          <w:shd w:val="clear" w:color="auto" w:fill="FFFFFF"/>
        </w:rPr>
        <w:t>万元，与2023年度相比，减少3.72万元，下降23.46%，主要原因是</w:t>
      </w:r>
      <w:r>
        <w:rPr>
          <w:rFonts w:ascii="方正仿宋_GBK" w:eastAsia="方正仿宋_GBK"/>
          <w:sz w:val="32"/>
          <w:szCs w:val="32"/>
        </w:rPr>
        <w:t>严格落实过紧日子要求，厉行节约，压缩一般性支出。</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sz w:val="32"/>
          <w:szCs w:val="32"/>
        </w:rPr>
        <w:t>办公费、印刷费、咨询费、手续费、水电费、电话费、差旅费、劳务费、培训费、公务用车运行维护费、其他交通费用等。</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11600.00</w:t>
      </w:r>
      <w:r>
        <w:rPr>
          <w:rFonts w:ascii="方正仿宋_GBK" w:hAnsi="方正仿宋_GBK" w:eastAsia="方正仿宋_GBK" w:cs="方正仿宋_GBK"/>
          <w:sz w:val="32"/>
          <w:szCs w:val="32"/>
          <w:shd w:val="clear" w:color="auto" w:fill="FFFFFF"/>
        </w:rPr>
        <w:t>万元，与2023年度相比，增加11600.00万元，增长100.00%，主要原因是</w:t>
      </w:r>
      <w:r>
        <w:rPr>
          <w:rFonts w:ascii="方正仿宋_GBK" w:hAnsi="方正仿宋_GBK" w:eastAsia="方正仿宋_GBK" w:cs="方正仿宋_GBK"/>
          <w:color w:val="000000" w:themeColor="text1"/>
          <w:sz w:val="32"/>
          <w:szCs w:val="32"/>
          <w:shd w:val="clear" w:color="auto" w:fill="FFFFFF"/>
        </w:rPr>
        <w:t>本年</w:t>
      </w:r>
      <w:r>
        <w:rPr>
          <w:rFonts w:ascii="方正仿宋_GBK" w:hAnsi="方正仿宋_GBK" w:eastAsia="方正仿宋_GBK" w:cs="方正仿宋_GBK"/>
          <w:sz w:val="32"/>
          <w:szCs w:val="32"/>
          <w:shd w:val="clear" w:color="auto" w:fill="FFFFFF"/>
        </w:rPr>
        <w:t>增加国有土地收购储备项目经费</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11600.00</w:t>
      </w:r>
      <w:r>
        <w:rPr>
          <w:rFonts w:ascii="方正仿宋_GBK" w:hAnsi="方正仿宋_GBK" w:eastAsia="方正仿宋_GBK" w:cs="方正仿宋_GBK"/>
          <w:sz w:val="32"/>
          <w:szCs w:val="32"/>
          <w:shd w:val="clear" w:color="auto" w:fill="FFFFFF"/>
        </w:rPr>
        <w:t>万元，与2023年度相比，增加11600.00万元，增长100.00%，主要原因是</w:t>
      </w:r>
      <w:r>
        <w:rPr>
          <w:rFonts w:ascii="方正仿宋_GBK" w:hAnsi="方正仿宋_GBK" w:eastAsia="方正仿宋_GBK" w:cs="方正仿宋_GBK"/>
          <w:color w:val="000000" w:themeColor="text1"/>
          <w:sz w:val="32"/>
          <w:szCs w:val="32"/>
          <w:shd w:val="clear" w:color="auto" w:fill="FFFFFF"/>
        </w:rPr>
        <w:t>本年</w:t>
      </w:r>
      <w:r>
        <w:rPr>
          <w:rFonts w:ascii="方正仿宋_GBK" w:hAnsi="方正仿宋_GBK" w:eastAsia="方正仿宋_GBK" w:cs="方正仿宋_GBK"/>
          <w:sz w:val="32"/>
          <w:szCs w:val="32"/>
          <w:shd w:val="clear" w:color="auto" w:fill="FFFFFF"/>
        </w:rPr>
        <w:t>增加国有土地收购储备项目经费</w:t>
      </w:r>
      <w:r>
        <w:rPr>
          <w:rFonts w:ascii="方正仿宋_GBK" w:hAnsi="方正仿宋_GBK" w:eastAsia="方正仿宋_GBK" w:cs="方正仿宋_GBK"/>
          <w:color w:val="000000" w:themeColor="text1"/>
          <w:sz w:val="32"/>
          <w:szCs w:val="32"/>
          <w:shd w:val="clear" w:color="auto" w:fill="FFFFFF"/>
        </w:rPr>
        <w:t>。</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napToGrid w:val="0"/>
        <w:spacing w:before="0" w:beforeAutospacing="0" w:after="0" w:afterAutospacing="0" w:line="596" w:lineRule="exact"/>
        <w:ind w:firstLine="643" w:firstLineChars="200"/>
        <w:jc w:val="both"/>
        <w:rPr>
          <w:rStyle w:val="10"/>
          <w:rFonts w:hint="default" w:ascii="方正黑体_GBK" w:hAnsi="黑体" w:eastAsia="方正黑体_GBK" w:cs="黑体"/>
          <w:b w:val="0"/>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pPr>
        <w:spacing w:line="59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eastAsia="方正仿宋_GBK"/>
          <w:sz w:val="32"/>
          <w:szCs w:val="32"/>
        </w:rPr>
        <w:t>年初预算数未安排</w:t>
      </w:r>
      <w:r>
        <w:rPr>
          <w:rFonts w:ascii="方正仿宋_GBK" w:hAnsi="方正仿宋_GBK" w:eastAsia="方正仿宋_GBK" w:cs="方正仿宋_GBK"/>
          <w:sz w:val="32"/>
          <w:szCs w:val="32"/>
        </w:rPr>
        <w:t>“三公”经费支出。</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主要原因是上年和本年均未发生“三公”经费开支。</w:t>
      </w:r>
    </w:p>
    <w:p>
      <w:pPr>
        <w:pStyle w:val="6"/>
        <w:snapToGrid w:val="0"/>
        <w:spacing w:before="0" w:beforeAutospacing="0" w:after="0" w:afterAutospacing="0" w:line="596"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年初预算数未安排因公出国（境）费用，也未发生因公出国（境）费用。</w:t>
      </w:r>
      <w:r>
        <w:rPr>
          <w:rFonts w:ascii="方正仿宋_GBK" w:hAnsi="方正仿宋_GBK" w:eastAsia="方正仿宋_GBK" w:cs="方正仿宋_GBK"/>
          <w:sz w:val="32"/>
          <w:szCs w:val="32"/>
          <w:shd w:val="clear" w:color="auto" w:fill="FFFFFF"/>
        </w:rPr>
        <w:t>与2023年度相比，无增减，主要原因是</w:t>
      </w:r>
      <w:r>
        <w:rPr>
          <w:rFonts w:ascii="方正仿宋_GBK" w:eastAsia="方正仿宋_GBK"/>
          <w:sz w:val="32"/>
          <w:szCs w:val="32"/>
        </w:rPr>
        <w:t>上年和本年均未发生因公出国（境）费用。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年初预算数未安排公务车购置费用</w:t>
      </w:r>
      <w:r>
        <w:rPr>
          <w:rFonts w:ascii="方正仿宋_GBK" w:hAnsi="方正仿宋_GBK" w:eastAsia="方正仿宋_GBK" w:cs="方正仿宋_GBK"/>
          <w:sz w:val="32"/>
          <w:szCs w:val="32"/>
          <w:shd w:val="clear" w:color="auto" w:fill="FFFFFF"/>
        </w:rPr>
        <w:t>。与2023年度相比，无增减，主要原因是</w:t>
      </w:r>
      <w:r>
        <w:rPr>
          <w:rFonts w:ascii="方正仿宋_GBK" w:eastAsia="方正仿宋_GBK"/>
          <w:sz w:val="32"/>
          <w:szCs w:val="32"/>
        </w:rPr>
        <w:t>上年和本年均未发生公务车购置费用。</w:t>
      </w:r>
    </w:p>
    <w:p>
      <w:pPr>
        <w:pStyle w:val="6"/>
        <w:snapToGrid w:val="0"/>
        <w:spacing w:before="0" w:beforeAutospacing="0" w:after="0" w:afterAutospacing="0" w:line="596" w:lineRule="exact"/>
        <w:ind w:firstLine="640" w:firstLineChars="200"/>
        <w:jc w:val="both"/>
        <w:rPr>
          <w:rFonts w:ascii="方正仿宋_GBK" w:eastAsia="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年初预算数未安排公务车运行维护费用</w:t>
      </w:r>
      <w:r>
        <w:rPr>
          <w:rFonts w:ascii="方正仿宋_GBK" w:hAnsi="方正仿宋_GBK" w:eastAsia="方正仿宋_GBK" w:cs="方正仿宋_GBK"/>
          <w:sz w:val="32"/>
          <w:szCs w:val="32"/>
          <w:shd w:val="clear" w:color="auto" w:fill="FFFFFF"/>
        </w:rPr>
        <w:t>。与2023年度相比，无增减，主要原因是本单位无公务车，</w:t>
      </w:r>
      <w:r>
        <w:rPr>
          <w:rFonts w:ascii="方正仿宋_GBK" w:eastAsia="方正仿宋_GBK"/>
          <w:sz w:val="32"/>
          <w:szCs w:val="32"/>
        </w:rPr>
        <w:t>上年和本年均未发生公务车运行维护费用。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sz w:val="32"/>
          <w:szCs w:val="32"/>
        </w:rPr>
        <w:t>上年和本年均未发生公务接待费用。</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pPr>
        <w:pStyle w:val="11"/>
        <w:autoSpaceDE w:val="0"/>
        <w:spacing w:line="596" w:lineRule="exact"/>
        <w:ind w:firstLine="576" w:firstLineChars="18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kern w:val="2"/>
          <w:sz w:val="32"/>
          <w:szCs w:val="32"/>
        </w:rPr>
        <w:t>单位本年度和上年度未举办大型的会议活动。</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万元，与2023年度相比，减少1.22万元，下降89.05%，主要原因是本年度安排职工培训以网络培训为主，其他外出培训减少</w:t>
      </w:r>
      <w:r>
        <w:rPr>
          <w:rFonts w:ascii="方正仿宋_GBK" w:eastAsia="方正仿宋_GBK"/>
          <w:sz w:val="32"/>
          <w:szCs w:val="32"/>
        </w:rPr>
        <w:t>。</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ascii="方正仿宋_GBK" w:eastAsia="方正仿宋_GBK"/>
          <w:sz w:val="32"/>
          <w:szCs w:val="32"/>
        </w:rPr>
        <w:t>按照部门决算列报口径，我单位不在机关运行经费统计范围之内。</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pPr>
        <w:pStyle w:val="6"/>
        <w:shd w:val="clear" w:color="auto" w:fill="FFFFFF"/>
        <w:spacing w:before="0" w:beforeAutospacing="0" w:after="0" w:afterAutospacing="0" w:line="596" w:lineRule="exact"/>
        <w:ind w:left="0" w:leftChars="0"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hd w:val="clear" w:color="auto" w:fill="FFFFFF"/>
        <w:spacing w:before="0" w:beforeAutospacing="0" w:after="0" w:afterAutospacing="0" w:line="596" w:lineRule="exact"/>
        <w:ind w:left="0" w:leftChars="0"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根据预算绩效管理要求，我单位对1个二级项目开展了绩效自评，涉及财政拨款项目支出资金11600.00万元。</w:t>
      </w:r>
    </w:p>
    <w:tbl>
      <w:tblPr>
        <w:tblStyle w:val="7"/>
        <w:tblpPr w:leftFromText="180" w:rightFromText="180" w:vertAnchor="text" w:horzAnchor="margin" w:tblpX="108" w:tblpY="-61"/>
        <w:tblW w:w="8330" w:type="dxa"/>
        <w:tblInd w:w="0" w:type="dxa"/>
        <w:tblLayout w:type="fixed"/>
        <w:tblCellMar>
          <w:top w:w="0" w:type="dxa"/>
          <w:left w:w="108" w:type="dxa"/>
          <w:bottom w:w="0" w:type="dxa"/>
          <w:right w:w="108" w:type="dxa"/>
        </w:tblCellMar>
      </w:tblPr>
      <w:tblGrid>
        <w:gridCol w:w="959"/>
        <w:gridCol w:w="34"/>
        <w:gridCol w:w="533"/>
        <w:gridCol w:w="142"/>
        <w:gridCol w:w="94"/>
        <w:gridCol w:w="614"/>
        <w:gridCol w:w="142"/>
        <w:gridCol w:w="284"/>
        <w:gridCol w:w="29"/>
        <w:gridCol w:w="538"/>
        <w:gridCol w:w="317"/>
        <w:gridCol w:w="675"/>
        <w:gridCol w:w="34"/>
        <w:gridCol w:w="283"/>
        <w:gridCol w:w="425"/>
        <w:gridCol w:w="392"/>
        <w:gridCol w:w="317"/>
        <w:gridCol w:w="108"/>
        <w:gridCol w:w="34"/>
        <w:gridCol w:w="567"/>
        <w:gridCol w:w="108"/>
        <w:gridCol w:w="175"/>
        <w:gridCol w:w="426"/>
        <w:gridCol w:w="249"/>
        <w:gridCol w:w="34"/>
        <w:gridCol w:w="425"/>
        <w:gridCol w:w="392"/>
      </w:tblGrid>
      <w:tr>
        <w:tblPrEx>
          <w:tblCellMar>
            <w:top w:w="0" w:type="dxa"/>
            <w:left w:w="108" w:type="dxa"/>
            <w:bottom w:w="0" w:type="dxa"/>
            <w:right w:w="108" w:type="dxa"/>
          </w:tblCellMar>
        </w:tblPrEx>
        <w:trPr>
          <w:trHeight w:val="706" w:hRule="atLeast"/>
        </w:trPr>
        <w:tc>
          <w:tcPr>
            <w:tcW w:w="8330"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319" w:hRule="atLeast"/>
        </w:trPr>
        <w:tc>
          <w:tcPr>
            <w:tcW w:w="8330"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696" w:hRule="atLeast"/>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项目名称：</w:t>
            </w:r>
          </w:p>
        </w:tc>
        <w:tc>
          <w:tcPr>
            <w:tcW w:w="1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国有建设用地使用权收购价款</w:t>
            </w: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项目编码：</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50023125T000004982069</w:t>
            </w: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自评总分：</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94.44</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564" w:hRule="atLeast"/>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项目主管部门：</w:t>
            </w:r>
          </w:p>
        </w:tc>
        <w:tc>
          <w:tcPr>
            <w:tcW w:w="1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209-垫江县规划和自然资源局</w:t>
            </w: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财政归口处室：</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005-经建科</w:t>
            </w: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部门联系人：</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唐政</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联系电话：</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lang w:val="en-US"/>
              </w:rPr>
            </w:pPr>
            <w:r>
              <w:rPr>
                <w:rFonts w:hint="eastAsia" w:ascii="方正仿宋_GBK" w:eastAsia="方正仿宋_GBK" w:cs="宋体"/>
                <w:color w:val="000000"/>
                <w:sz w:val="18"/>
                <w:szCs w:val="18"/>
                <w:lang w:val="en-US" w:eastAsia="zh-CN"/>
              </w:rPr>
              <w:t>74684700</w:t>
            </w:r>
            <w:bookmarkStart w:id="0" w:name="_GoBack"/>
            <w:bookmarkEnd w:id="0"/>
          </w:p>
        </w:tc>
      </w:tr>
      <w:tr>
        <w:tblPrEx>
          <w:tblCellMar>
            <w:top w:w="0" w:type="dxa"/>
            <w:left w:w="108" w:type="dxa"/>
            <w:bottom w:w="0" w:type="dxa"/>
            <w:right w:w="108" w:type="dxa"/>
          </w:tblCellMar>
        </w:tblPrEx>
        <w:trPr>
          <w:trHeight w:val="306" w:hRule="atLeast"/>
        </w:trPr>
        <w:tc>
          <w:tcPr>
            <w:tcW w:w="8330"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hAnsi="微软雅黑" w:eastAsia="方正仿宋_GBK" w:cs="宋体"/>
                <w:b/>
                <w:bCs/>
                <w:color w:val="808080"/>
                <w:sz w:val="18"/>
                <w:szCs w:val="18"/>
              </w:rPr>
            </w:pPr>
            <w:r>
              <w:rPr>
                <w:rFonts w:ascii="方正仿宋_GBK" w:hAnsi="微软雅黑" w:eastAsia="方正仿宋_GBK" w:cs="宋体"/>
                <w:b/>
                <w:bCs/>
                <w:color w:val="808080"/>
                <w:sz w:val="18"/>
                <w:szCs w:val="18"/>
              </w:rPr>
              <w:t>资金情况</w:t>
            </w:r>
          </w:p>
        </w:tc>
      </w:tr>
      <w:tr>
        <w:tblPrEx>
          <w:tblCellMar>
            <w:top w:w="0" w:type="dxa"/>
            <w:left w:w="108" w:type="dxa"/>
            <w:bottom w:w="0" w:type="dxa"/>
            <w:right w:w="108" w:type="dxa"/>
          </w:tblCellMar>
        </w:tblPrEx>
        <w:trPr>
          <w:trHeight w:val="733" w:hRule="atLeast"/>
        </w:trPr>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年初预算数</w:t>
            </w:r>
          </w:p>
        </w:tc>
        <w:tc>
          <w:tcPr>
            <w:tcW w:w="1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全年（调整）预算数</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全年执行数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执行率</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执行率权重</w:t>
            </w: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执行率得分</w:t>
            </w:r>
          </w:p>
        </w:tc>
      </w:tr>
      <w:tr>
        <w:tblPrEx>
          <w:tblCellMar>
            <w:top w:w="0" w:type="dxa"/>
            <w:left w:w="108" w:type="dxa"/>
            <w:bottom w:w="0" w:type="dxa"/>
            <w:right w:w="108" w:type="dxa"/>
          </w:tblCellMar>
        </w:tblPrEx>
        <w:trPr>
          <w:trHeight w:val="254" w:hRule="atLeast"/>
        </w:trPr>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年度总金额</w:t>
            </w:r>
          </w:p>
        </w:tc>
        <w:tc>
          <w:tcPr>
            <w:tcW w:w="236"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default" w:ascii="方正仿宋_GBK" w:eastAsia="方正仿宋_GBK" w:cs="宋体"/>
                <w:color w:val="000000"/>
                <w:sz w:val="18"/>
                <w:szCs w:val="18"/>
              </w:rPr>
            </w:pPr>
          </w:p>
        </w:tc>
        <w:tc>
          <w:tcPr>
            <w:tcW w:w="1040" w:type="dxa"/>
            <w:gridSpan w:val="3"/>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1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116,000,000.00 </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116,000,000.00 </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358" w:hRule="atLeast"/>
        </w:trPr>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其中：财政拨款</w:t>
            </w:r>
          </w:p>
        </w:tc>
        <w:tc>
          <w:tcPr>
            <w:tcW w:w="236"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default" w:ascii="方正仿宋_GBK" w:eastAsia="方正仿宋_GBK" w:cs="宋体"/>
                <w:color w:val="000000"/>
                <w:sz w:val="18"/>
                <w:szCs w:val="18"/>
              </w:rPr>
            </w:pPr>
          </w:p>
        </w:tc>
        <w:tc>
          <w:tcPr>
            <w:tcW w:w="1040" w:type="dxa"/>
            <w:gridSpan w:val="3"/>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1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116,000,000.00 </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116,000,000.00 </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10.00</w:t>
            </w: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10.00 </w:t>
            </w:r>
          </w:p>
        </w:tc>
      </w:tr>
      <w:tr>
        <w:tblPrEx>
          <w:tblCellMar>
            <w:top w:w="0" w:type="dxa"/>
            <w:left w:w="108" w:type="dxa"/>
            <w:bottom w:w="0" w:type="dxa"/>
            <w:right w:w="108" w:type="dxa"/>
          </w:tblCellMar>
        </w:tblPrEx>
        <w:trPr>
          <w:trHeight w:val="223" w:hRule="atLeast"/>
        </w:trPr>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一般公共预算</w:t>
            </w:r>
          </w:p>
        </w:tc>
        <w:tc>
          <w:tcPr>
            <w:tcW w:w="236"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default" w:ascii="方正仿宋_GBK" w:eastAsia="方正仿宋_GBK" w:cs="宋体"/>
                <w:color w:val="000000"/>
                <w:sz w:val="18"/>
                <w:szCs w:val="18"/>
              </w:rPr>
            </w:pPr>
          </w:p>
        </w:tc>
        <w:tc>
          <w:tcPr>
            <w:tcW w:w="1040" w:type="dxa"/>
            <w:gridSpan w:val="3"/>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1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326" w:hRule="atLeast"/>
        </w:trPr>
        <w:tc>
          <w:tcPr>
            <w:tcW w:w="8330"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hAnsi="微软雅黑" w:eastAsia="方正仿宋_GBK" w:cs="宋体"/>
                <w:b/>
                <w:bCs/>
                <w:color w:val="808080"/>
                <w:sz w:val="18"/>
                <w:szCs w:val="18"/>
              </w:rPr>
            </w:pPr>
            <w:r>
              <w:rPr>
                <w:rFonts w:ascii="方正仿宋_GBK" w:hAnsi="微软雅黑" w:eastAsia="方正仿宋_GBK" w:cs="宋体"/>
                <w:b/>
                <w:bCs/>
                <w:color w:val="808080"/>
                <w:sz w:val="18"/>
                <w:szCs w:val="18"/>
              </w:rPr>
              <w:t>绩效目标</w:t>
            </w:r>
          </w:p>
        </w:tc>
      </w:tr>
      <w:tr>
        <w:tblPrEx>
          <w:tblCellMar>
            <w:top w:w="0" w:type="dxa"/>
            <w:left w:w="108" w:type="dxa"/>
            <w:bottom w:w="0" w:type="dxa"/>
            <w:right w:w="108" w:type="dxa"/>
          </w:tblCellMar>
        </w:tblPrEx>
        <w:trPr>
          <w:trHeight w:val="335" w:hRule="atLeast"/>
        </w:trPr>
        <w:tc>
          <w:tcPr>
            <w:tcW w:w="283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年初绩效目标</w:t>
            </w:r>
          </w:p>
        </w:tc>
        <w:tc>
          <w:tcPr>
            <w:tcW w:w="26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全年（调整）绩效目标</w:t>
            </w:r>
          </w:p>
        </w:tc>
        <w:tc>
          <w:tcPr>
            <w:tcW w:w="28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全年目标实际完成情况</w:t>
            </w:r>
          </w:p>
        </w:tc>
      </w:tr>
      <w:tr>
        <w:tblPrEx>
          <w:tblCellMar>
            <w:top w:w="0" w:type="dxa"/>
            <w:left w:w="108" w:type="dxa"/>
            <w:bottom w:w="0" w:type="dxa"/>
            <w:right w:w="108" w:type="dxa"/>
          </w:tblCellMar>
        </w:tblPrEx>
        <w:trPr>
          <w:trHeight w:val="567" w:hRule="atLeast"/>
        </w:trPr>
        <w:tc>
          <w:tcPr>
            <w:tcW w:w="2831" w:type="dxa"/>
            <w:gridSpan w:val="9"/>
            <w:tcBorders>
              <w:top w:val="single" w:color="000000" w:sz="4" w:space="0"/>
              <w:left w:val="single" w:color="000000" w:sz="4" w:space="0"/>
              <w:bottom w:val="single" w:color="000000" w:sz="4" w:space="0"/>
              <w:right w:val="single" w:color="000000" w:sz="4" w:space="0"/>
            </w:tcBorders>
            <w:shd w:val="clear" w:color="auto" w:fill="auto"/>
          </w:tcPr>
          <w:p>
            <w:pPr>
              <w:rPr>
                <w:rFonts w:hint="default" w:ascii="方正仿宋_GBK" w:eastAsia="方正仿宋_GBK" w:cs="宋体"/>
                <w:color w:val="000000"/>
                <w:sz w:val="18"/>
                <w:szCs w:val="18"/>
              </w:rPr>
            </w:pPr>
            <w:r>
              <w:rPr>
                <w:rFonts w:ascii="方正仿宋_GBK" w:eastAsia="方正仿宋_GBK" w:cs="宋体"/>
                <w:color w:val="000000"/>
                <w:sz w:val="18"/>
                <w:szCs w:val="18"/>
              </w:rPr>
              <w:t>收回骏鸿公司超期未开发国有建设用地使用权。</w:t>
            </w:r>
          </w:p>
        </w:tc>
        <w:tc>
          <w:tcPr>
            <w:tcW w:w="2664" w:type="dxa"/>
            <w:gridSpan w:val="7"/>
            <w:tcBorders>
              <w:top w:val="single" w:color="000000" w:sz="4" w:space="0"/>
              <w:left w:val="single" w:color="000000" w:sz="4" w:space="0"/>
              <w:bottom w:val="single" w:color="000000" w:sz="4" w:space="0"/>
              <w:right w:val="single" w:color="000000" w:sz="4" w:space="0"/>
            </w:tcBorders>
            <w:shd w:val="clear" w:color="auto" w:fill="auto"/>
          </w:tcPr>
          <w:p>
            <w:pPr>
              <w:rPr>
                <w:rFonts w:hint="default" w:ascii="方正仿宋_GBK" w:eastAsia="方正仿宋_GBK" w:cs="宋体"/>
                <w:color w:val="000000"/>
                <w:sz w:val="18"/>
                <w:szCs w:val="18"/>
              </w:rPr>
            </w:pPr>
            <w:r>
              <w:rPr>
                <w:rFonts w:ascii="方正仿宋_GBK" w:eastAsia="方正仿宋_GBK" w:cs="宋体"/>
                <w:color w:val="000000"/>
                <w:sz w:val="18"/>
                <w:szCs w:val="18"/>
              </w:rPr>
              <w:t>收回骏鸿公司超期未开发国有建设用地使用权。</w:t>
            </w:r>
          </w:p>
        </w:tc>
        <w:tc>
          <w:tcPr>
            <w:tcW w:w="2835" w:type="dxa"/>
            <w:gridSpan w:val="11"/>
            <w:tcBorders>
              <w:top w:val="single" w:color="000000" w:sz="4" w:space="0"/>
              <w:left w:val="single" w:color="000000" w:sz="4" w:space="0"/>
              <w:bottom w:val="single" w:color="000000" w:sz="4" w:space="0"/>
              <w:right w:val="single" w:color="000000" w:sz="4" w:space="0"/>
            </w:tcBorders>
            <w:shd w:val="clear" w:color="auto" w:fill="auto"/>
          </w:tcPr>
          <w:p>
            <w:pPr>
              <w:rPr>
                <w:rFonts w:hint="default" w:ascii="方正仿宋_GBK" w:eastAsia="方正仿宋_GBK" w:cs="宋体"/>
                <w:color w:val="000000"/>
                <w:sz w:val="18"/>
                <w:szCs w:val="18"/>
              </w:rPr>
            </w:pPr>
            <w:r>
              <w:rPr>
                <w:rFonts w:ascii="方正仿宋_GBK" w:eastAsia="方正仿宋_GBK" w:cs="宋体"/>
                <w:color w:val="000000"/>
                <w:sz w:val="18"/>
                <w:szCs w:val="18"/>
              </w:rPr>
              <w:t>收回骏鸿公司超期未开发国有建设用地使用权6宗，共481.6亩。</w:t>
            </w:r>
          </w:p>
        </w:tc>
      </w:tr>
      <w:tr>
        <w:tblPrEx>
          <w:tblCellMar>
            <w:top w:w="0" w:type="dxa"/>
            <w:left w:w="108" w:type="dxa"/>
            <w:bottom w:w="0" w:type="dxa"/>
            <w:right w:w="108" w:type="dxa"/>
          </w:tblCellMar>
        </w:tblPrEx>
        <w:trPr>
          <w:trHeight w:val="316" w:hRule="atLeast"/>
        </w:trPr>
        <w:tc>
          <w:tcPr>
            <w:tcW w:w="8330"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hAnsi="微软雅黑" w:eastAsia="方正仿宋_GBK" w:cs="宋体"/>
                <w:b/>
                <w:bCs/>
                <w:color w:val="808080"/>
                <w:sz w:val="18"/>
                <w:szCs w:val="18"/>
              </w:rPr>
            </w:pPr>
            <w:r>
              <w:rPr>
                <w:rFonts w:ascii="方正仿宋_GBK" w:hAnsi="微软雅黑" w:eastAsia="方正仿宋_GBK" w:cs="宋体"/>
                <w:b/>
                <w:bCs/>
                <w:color w:val="808080"/>
                <w:sz w:val="18"/>
                <w:szCs w:val="18"/>
              </w:rPr>
              <w:t>绩效指标</w:t>
            </w:r>
          </w:p>
        </w:tc>
      </w:tr>
      <w:tr>
        <w:tblPrEx>
          <w:tblCellMar>
            <w:top w:w="0" w:type="dxa"/>
            <w:left w:w="108" w:type="dxa"/>
            <w:bottom w:w="0" w:type="dxa"/>
            <w:right w:w="108" w:type="dxa"/>
          </w:tblCellMar>
        </w:tblPrEx>
        <w:trPr>
          <w:trHeight w:val="86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指标名称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计量单位</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指标性质</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指标值</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全年完成值</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偏离度（%）</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得分系数（%）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指标权重</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指标得分</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是否核心指标</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说明</w:t>
            </w:r>
          </w:p>
        </w:tc>
      </w:tr>
      <w:tr>
        <w:tblPrEx>
          <w:tblCellMar>
            <w:top w:w="0" w:type="dxa"/>
            <w:left w:w="108" w:type="dxa"/>
            <w:bottom w:w="0" w:type="dxa"/>
            <w:right w:w="108" w:type="dxa"/>
          </w:tblCellMar>
        </w:tblPrEx>
        <w:trPr>
          <w:trHeight w:val="5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收回面积</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亩</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481.6</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481.6</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576"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收回宗数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宗</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6</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6</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88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减少土地资源浪费率</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15</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15</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是</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5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收回时间</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定性</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2024.12</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5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收回成本</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万元</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11600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11600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15</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15</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98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对垫江工业发展的影响</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定性</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利于优化工业园区澄溪组团产业布局调整</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92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对垫江招商引资的影响</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定性</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利于重新招商引进新的工业企业，保障新企业用地</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64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被收回对象的满意度</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90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85</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5.56</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44.4</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r>
              <w:rPr>
                <w:rFonts w:ascii="方正仿宋_GBK" w:eastAsia="方正仿宋_GBK" w:cs="宋体"/>
                <w:color w:val="000000"/>
                <w:sz w:val="18"/>
                <w:szCs w:val="18"/>
              </w:rPr>
              <w:t>4.44</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bl>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（二）单位绩效评价情况</w:t>
      </w:r>
    </w:p>
    <w:p>
      <w:pPr>
        <w:pStyle w:val="6"/>
        <w:snapToGrid w:val="0"/>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（三）财政绩效评价情况</w:t>
      </w:r>
    </w:p>
    <w:p>
      <w:pPr>
        <w:pStyle w:val="6"/>
        <w:snapToGrid w:val="0"/>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pPr>
        <w:pStyle w:val="6"/>
        <w:shd w:val="clear" w:color="auto" w:fill="FFFFFF"/>
        <w:spacing w:before="0" w:beforeAutospacing="0" w:after="0" w:afterAutospacing="0" w:line="596"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六、专业名词解释</w:t>
      </w:r>
    </w:p>
    <w:p>
      <w:pPr>
        <w:pStyle w:val="6"/>
        <w:shd w:val="clear" w:color="auto" w:fill="FFFFFF"/>
        <w:spacing w:before="0" w:beforeAutospacing="0" w:after="0" w:afterAutospacing="0" w:line="596" w:lineRule="exact"/>
        <w:ind w:firstLine="640" w:firstLineChars="200"/>
        <w:rPr>
          <w:rFonts w:hint="default" w:ascii="方正黑体_GBK" w:hAnsi="黑体" w:eastAsia="方正黑体_GBK" w:cs="黑体"/>
          <w:sz w:val="32"/>
          <w:szCs w:val="32"/>
          <w:shd w:val="clear" w:color="auto" w:fill="FFFFFF"/>
        </w:rPr>
      </w:pPr>
      <w:r>
        <w:rPr>
          <w:rStyle w:val="10"/>
          <w:rFonts w:ascii="方正楷体_GBK" w:hAnsi="方正楷体_GBK" w:eastAsia="方正楷体_GBK" w:cs="方正楷体_GBK"/>
          <w:b w:val="0"/>
          <w:bCs/>
          <w:sz w:val="32"/>
          <w:szCs w:val="32"/>
        </w:rPr>
        <w:t>（一）财政拨款收入</w:t>
      </w:r>
      <w:r>
        <w:rPr>
          <w:rFonts w:ascii="方正楷体_GBK" w:hAnsi="方正楷体_GBK" w:eastAsia="方正楷体_GBK" w:cs="方正楷体_GBK"/>
          <w:bCs/>
          <w:sz w:val="32"/>
          <w:szCs w:val="32"/>
        </w:rPr>
        <w:t>：</w:t>
      </w:r>
      <w:r>
        <w:rPr>
          <w:rFonts w:ascii="Times New Roman" w:hAnsi="Times New Roman" w:eastAsia="方正仿宋_GBK"/>
          <w:kern w:val="2"/>
          <w:sz w:val="32"/>
          <w:szCs w:val="32"/>
        </w:rPr>
        <w:t>指本年度从本级财政部门取得的财政拨款，包括一般公共预算财政拨款和政府性基金预算财政拨款。</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（二）事业收入：</w:t>
      </w:r>
      <w:r>
        <w:rPr>
          <w:rFonts w:ascii="Times New Roman" w:hAnsi="Times New Roman" w:eastAsia="方正仿宋_GBK"/>
          <w:kern w:val="2"/>
          <w:sz w:val="32"/>
          <w:szCs w:val="32"/>
        </w:rPr>
        <w:t>指事业单位开展专业业务活动及其辅助活动取得的现金流入；事业单位收到的财政专户实际核拨的教育收费等资金在此反映。</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（三）经营收入：</w:t>
      </w:r>
      <w:r>
        <w:rPr>
          <w:rFonts w:ascii="Times New Roman" w:hAnsi="Times New Roman" w:eastAsia="方正仿宋_GBK"/>
          <w:kern w:val="2"/>
          <w:sz w:val="32"/>
          <w:szCs w:val="32"/>
        </w:rPr>
        <w:t>指事业单位在专业业务活动及其辅助活动之外开展非独立核算经营活动取得的现金流入。</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（四）其他收入：</w:t>
      </w:r>
      <w:r>
        <w:rPr>
          <w:rFonts w:ascii="Times New Roman" w:hAnsi="Times New Roman" w:eastAsia="方正仿宋_GBK"/>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 在本项内。</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（五）使用非财政拨款结余：</w:t>
      </w:r>
      <w:r>
        <w:rPr>
          <w:rFonts w:ascii="Times New Roman" w:hAnsi="Times New Roman" w:eastAsia="方正仿宋_GBK"/>
          <w:kern w:val="2"/>
          <w:sz w:val="32"/>
          <w:szCs w:val="32"/>
        </w:rPr>
        <w:t>指单位在当年的“财政拨款收入”、“事业收入”、“经营收入”、“其他收入”等不足以安排当年支出的情况下，使用以前年度积累的非财政拨款结余弥补本年度收支缺口的资金。</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（六）年初结转和结余：</w:t>
      </w:r>
      <w:r>
        <w:rPr>
          <w:rFonts w:ascii="Times New Roman" w:hAnsi="Times New Roman" w:eastAsia="方正仿宋_GBK"/>
          <w:kern w:val="2"/>
          <w:sz w:val="32"/>
          <w:szCs w:val="32"/>
        </w:rPr>
        <w:t>指单位上年结转本年使用的基本支出结转、项目支出结转和结余、经营结余。</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（七）结余分配：</w:t>
      </w:r>
      <w:r>
        <w:rPr>
          <w:rFonts w:ascii="Times New Roman" w:hAnsi="Times New Roman" w:eastAsia="方正仿宋_GBK"/>
          <w:kern w:val="2"/>
          <w:sz w:val="32"/>
          <w:szCs w:val="32"/>
        </w:rPr>
        <w:t>指单位按照国家有关规定，缴纳所得税、提取专用基金、转入非财政拨款结余等当年结余的分配情况。</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（八）年末结转和结余：</w:t>
      </w:r>
      <w:r>
        <w:rPr>
          <w:rFonts w:ascii="Times New Roman" w:hAnsi="Times New Roman" w:eastAsia="方正仿宋_GBK"/>
          <w:kern w:val="2"/>
          <w:sz w:val="32"/>
          <w:szCs w:val="32"/>
        </w:rPr>
        <w:t>指单位结转下年的基本支出结转、项目支出结转和结余、经营结余。</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（九）基本支出：</w:t>
      </w:r>
      <w:r>
        <w:rPr>
          <w:rFonts w:ascii="Times New Roman" w:hAnsi="Times New Roman" w:eastAsia="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（十）项目支出：</w:t>
      </w:r>
      <w:r>
        <w:rPr>
          <w:rFonts w:ascii="Times New Roman" w:hAnsi="Times New Roman" w:eastAsia="方正仿宋_GBK"/>
          <w:kern w:val="2"/>
          <w:sz w:val="32"/>
          <w:szCs w:val="32"/>
        </w:rPr>
        <w:t>指在基本支出之外为完成特定行政任务和事业发展目标所发生的支出。</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（十一）经营支出：</w:t>
      </w:r>
      <w:r>
        <w:rPr>
          <w:rFonts w:ascii="Times New Roman" w:hAnsi="Times New Roman" w:eastAsia="方正仿宋_GBK"/>
          <w:kern w:val="2"/>
          <w:sz w:val="32"/>
          <w:szCs w:val="32"/>
        </w:rPr>
        <w:t>指事业单位在专业业务活动及其辅助活动之外开展非独立核算经营活动发生的支出。</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 xml:space="preserve">（十二）“三公”经费： </w:t>
      </w:r>
      <w:r>
        <w:rPr>
          <w:rFonts w:ascii="Times New Roman" w:hAnsi="Times New Roman" w:eastAsia="方正仿宋_GBK"/>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（十三）机关运行经费：</w:t>
      </w:r>
      <w:r>
        <w:rPr>
          <w:rFonts w:ascii="Times New Roman" w:hAnsi="Times New Roman" w:eastAsia="方正仿宋_GBK"/>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（十四）工资福利支出（支出经济分类科目类级）：</w:t>
      </w:r>
      <w:r>
        <w:rPr>
          <w:rFonts w:ascii="Times New Roman" w:hAnsi="Times New Roman" w:eastAsia="方正仿宋_GBK"/>
          <w:kern w:val="2"/>
          <w:sz w:val="32"/>
          <w:szCs w:val="32"/>
        </w:rPr>
        <w:t>反映单位开支的在职职工和编制外长期聘用人员的各类劳动报酬，以及为上述人员缴纳的各项社会保险费等。</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（十五）商品和服务支出（支出经济分类科目类级）：</w:t>
      </w:r>
      <w:r>
        <w:rPr>
          <w:rFonts w:ascii="Times New Roman" w:hAnsi="Times New Roman" w:eastAsia="方正仿宋_GBK"/>
          <w:kern w:val="2"/>
          <w:sz w:val="32"/>
          <w:szCs w:val="32"/>
        </w:rPr>
        <w:t>反映单位购买商品和服务的支出（不包括用于购置固定资产的支出、战略性和应急储备支出）。</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（十六）对个人和家庭的补助（支出经济分类科目类级）：</w:t>
      </w:r>
      <w:r>
        <w:rPr>
          <w:rFonts w:ascii="Times New Roman" w:hAnsi="Times New Roman" w:eastAsia="方正仿宋_GBK"/>
          <w:kern w:val="2"/>
          <w:sz w:val="32"/>
          <w:szCs w:val="32"/>
        </w:rPr>
        <w:t>反映用于对个人和家庭的补助支出。</w:t>
      </w:r>
    </w:p>
    <w:p>
      <w:pPr>
        <w:pStyle w:val="6"/>
        <w:spacing w:before="0" w:beforeAutospacing="0" w:after="0" w:afterAutospacing="0" w:line="596" w:lineRule="exact"/>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（十七）其他资本性支出（支出经济分类科目类级）</w:t>
      </w:r>
      <w:r>
        <w:rPr>
          <w:rFonts w:ascii="方正楷体_GBK" w:hAnsi="方正楷体_GBK" w:eastAsia="方正楷体_GBK" w:cs="方正楷体_GBK"/>
          <w:bCs/>
          <w:sz w:val="32"/>
          <w:szCs w:val="32"/>
        </w:rPr>
        <w:t>：</w:t>
      </w:r>
      <w:r>
        <w:rPr>
          <w:rFonts w:ascii="Times New Roman" w:hAnsi="Times New Roman" w:eastAsia="方正仿宋_GBK"/>
          <w:kern w:val="2"/>
          <w:sz w:val="32"/>
          <w:szCs w:val="32"/>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96" w:lineRule="exact"/>
        <w:ind w:firstLine="640" w:firstLineChars="200"/>
        <w:rPr>
          <w:rStyle w:val="10"/>
          <w:rFonts w:hint="default" w:ascii="方正黑体_GBK" w:hAnsi="方正仿宋_GBK" w:eastAsia="方正黑体_GBK" w:cs="方正仿宋_GBK"/>
          <w:b w:val="0"/>
          <w:sz w:val="32"/>
          <w:szCs w:val="32"/>
          <w:shd w:val="clear" w:color="auto" w:fill="FFFFFF"/>
        </w:rPr>
      </w:pPr>
      <w:r>
        <w:rPr>
          <w:rStyle w:val="10"/>
          <w:rFonts w:ascii="方正黑体_GBK" w:hAnsi="黑体" w:eastAsia="方正黑体_GBK" w:cs="黑体"/>
          <w:b w:val="0"/>
          <w:sz w:val="32"/>
          <w:szCs w:val="32"/>
          <w:shd w:val="clear" w:color="auto" w:fill="FFFFFF"/>
        </w:rPr>
        <w:t>七、决算公开联系方式及信息反馈渠道</w:t>
      </w:r>
    </w:p>
    <w:p>
      <w:pPr>
        <w:pStyle w:val="11"/>
        <w:autoSpaceDE w:val="0"/>
        <w:spacing w:line="596" w:lineRule="exact"/>
        <w:ind w:firstLine="640"/>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本单位决算公开信息反馈和联系方式：023-74684688。</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垫江县土地储备整治中心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11,600.00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11,737.16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11,741.67</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11,741.67</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11,741.67</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476"/>
        <w:gridCol w:w="3123"/>
        <w:gridCol w:w="1350"/>
        <w:gridCol w:w="1409"/>
        <w:gridCol w:w="1228"/>
        <w:gridCol w:w="1228"/>
        <w:gridCol w:w="1362"/>
        <w:gridCol w:w="1300"/>
        <w:gridCol w:w="1434"/>
        <w:gridCol w:w="1649"/>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18"/>
                <w:szCs w:val="18"/>
              </w:rPr>
            </w:pPr>
            <w:r>
              <w:rPr>
                <w:rFonts w:cs="宋体"/>
                <w:sz w:val="18"/>
                <w:szCs w:val="18"/>
              </w:rPr>
              <w:t>单位：</w:t>
            </w:r>
            <w:r>
              <w:rPr>
                <w:sz w:val="18"/>
                <w:szCs w:val="18"/>
              </w:rPr>
              <w:t>垫江县土地储备整治中心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18"/>
                <w:szCs w:val="18"/>
              </w:rPr>
            </w:pPr>
            <w:r>
              <w:rPr>
                <w:rFonts w:cs="宋体"/>
                <w:color w:val="000000"/>
                <w:sz w:val="18"/>
                <w:szCs w:val="18"/>
              </w:rPr>
              <w:t>公开</w:t>
            </w:r>
            <w:r>
              <w:rPr>
                <w:rFonts w:hint="default" w:ascii="Times New Roman" w:hAnsi="Times New Roman"/>
                <w:color w:val="000000"/>
                <w:sz w:val="18"/>
                <w:szCs w:val="18"/>
              </w:rPr>
              <w:t>02</w:t>
            </w:r>
            <w:r>
              <w:rPr>
                <w:rFonts w:cs="宋体"/>
                <w:color w:val="000000"/>
                <w:sz w:val="18"/>
                <w:szCs w:val="18"/>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18"/>
                <w:szCs w:val="18"/>
              </w:rPr>
            </w:pPr>
            <w:r>
              <w:rPr>
                <w:rFonts w:cs="宋体"/>
                <w:color w:val="000000"/>
                <w:sz w:val="18"/>
                <w:szCs w:val="18"/>
              </w:rPr>
              <w:t>单位：</w:t>
            </w:r>
            <w:r>
              <w:rPr>
                <w:rFonts w:cs="宋体"/>
                <w:sz w:val="18"/>
                <w:szCs w:val="18"/>
              </w:rPr>
              <w:t>万元</w:t>
            </w:r>
          </w:p>
        </w:tc>
      </w:tr>
      <w:tr>
        <w:tblPrEx>
          <w:tblCellMar>
            <w:top w:w="0" w:type="dxa"/>
            <w:left w:w="0" w:type="dxa"/>
            <w:bottom w:w="0" w:type="dxa"/>
            <w:right w:w="0" w:type="dxa"/>
          </w:tblCellMar>
        </w:tblPrEx>
        <w:trPr>
          <w:trHeight w:val="327"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18"/>
                <w:szCs w:val="18"/>
              </w:rPr>
            </w:pPr>
            <w:r>
              <w:rPr>
                <w:rFonts w:cs="宋体"/>
                <w:b/>
                <w:color w:val="000000"/>
                <w:sz w:val="18"/>
                <w:szCs w:val="18"/>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18"/>
                <w:szCs w:val="18"/>
              </w:rPr>
            </w:pPr>
            <w:r>
              <w:rPr>
                <w:rFonts w:cs="宋体"/>
                <w:b/>
                <w:color w:val="000000"/>
                <w:sz w:val="18"/>
                <w:szCs w:val="18"/>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其他收入</w:t>
            </w:r>
          </w:p>
        </w:tc>
      </w:tr>
      <w:tr>
        <w:tblPrEx>
          <w:tblCellMar>
            <w:top w:w="0" w:type="dxa"/>
            <w:left w:w="0" w:type="dxa"/>
            <w:bottom w:w="0" w:type="dxa"/>
            <w:right w:w="0" w:type="dxa"/>
          </w:tblCellMar>
        </w:tblPrEx>
        <w:trPr>
          <w:trHeight w:val="400"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rPr>
                <w:rFonts w:hint="default" w:cs="宋体"/>
                <w:b/>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rPr>
                <w:rFonts w:hint="default" w:cs="宋体"/>
                <w:b/>
                <w:color w:val="000000"/>
                <w:sz w:val="18"/>
                <w:szCs w:val="18"/>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rPr>
                <w:rFonts w:hint="default" w:cs="宋体"/>
                <w:b/>
                <w:color w:val="000000"/>
                <w:sz w:val="18"/>
                <w:szCs w:val="18"/>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default" w:cs="宋体"/>
                <w:b/>
                <w:color w:val="000000"/>
                <w:sz w:val="18"/>
                <w:szCs w:val="18"/>
              </w:rPr>
            </w:pPr>
            <w:r>
              <w:rPr>
                <w:rFonts w:cs="宋体"/>
                <w:b/>
                <w:color w:val="000000"/>
                <w:sz w:val="18"/>
                <w:szCs w:val="18"/>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rPr>
                <w:rFonts w:hint="default" w:cs="宋体"/>
                <w:b/>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rPr>
                <w:rFonts w:hint="default" w:cs="宋体"/>
                <w:b/>
                <w:color w:val="000000"/>
                <w:sz w:val="18"/>
                <w:szCs w:val="18"/>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rPr>
                <w:rFonts w:hint="default" w:cs="宋体"/>
                <w:b/>
                <w:color w:val="000000"/>
                <w:sz w:val="18"/>
                <w:szCs w:val="18"/>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18"/>
                <w:szCs w:val="18"/>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18"/>
                <w:szCs w:val="18"/>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r>
      <w:tr>
        <w:tblPrEx>
          <w:tblCellMar>
            <w:top w:w="0" w:type="dxa"/>
            <w:left w:w="0" w:type="dxa"/>
            <w:bottom w:w="0" w:type="dxa"/>
            <w:right w:w="0" w:type="dxa"/>
          </w:tblCellMar>
        </w:tblPrEx>
        <w:trPr>
          <w:trHeight w:val="170"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11,737.16</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11,737.16</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205</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0.15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20508</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0.15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2050803</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208</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26.59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26.59</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20805</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26.59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26.59</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2080505</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2080506</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2080599</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210</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4.45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4.45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21011</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4.45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4.45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2101102</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212</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11,600.00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11,600.00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21208</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11,600.00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11,600.00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2120801</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220</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98.02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98.02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22001</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98.02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98.02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2200150</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221</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7.95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7.95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22102</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7.95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7.95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2210201</w:t>
            </w: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bl>
    <w:p>
      <w:pPr>
        <w:ind w:left="450" w:hanging="450" w:hangingChars="300"/>
        <w:rPr>
          <w:rFonts w:hint="default" w:cs="宋体"/>
          <w:sz w:val="20"/>
          <w:szCs w:val="20"/>
        </w:rPr>
      </w:pPr>
      <w:r>
        <w:rPr>
          <w:rFonts w:cs="宋体"/>
          <w:sz w:val="15"/>
          <w:szCs w:val="15"/>
        </w:rPr>
        <w:t>备注：1.本表反映单位本年度取得的各项收入情况。</w:t>
      </w:r>
      <w:r>
        <w:rPr>
          <w:rFonts w:cs="宋体"/>
          <w:sz w:val="15"/>
          <w:szCs w:val="15"/>
        </w:rPr>
        <w:br w:type="textWrapping"/>
      </w:r>
      <w:r>
        <w:rPr>
          <w:rFonts w:cs="宋体"/>
          <w:sz w:val="15"/>
          <w:szCs w:val="15"/>
        </w:rPr>
        <w:t>2.本套报表金额单位转换时可能存在尾数误差。</w:t>
      </w:r>
      <w:r>
        <w:rPr>
          <w:rFonts w:cs="宋体"/>
          <w:sz w:val="15"/>
          <w:szCs w:val="15"/>
        </w:rPr>
        <w:br w:type="textWrapping"/>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636"/>
        <w:gridCol w:w="3565"/>
        <w:gridCol w:w="1670"/>
        <w:gridCol w:w="1722"/>
        <w:gridCol w:w="1655"/>
        <w:gridCol w:w="1587"/>
        <w:gridCol w:w="1722"/>
        <w:gridCol w:w="1821"/>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34"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18"/>
                <w:szCs w:val="18"/>
              </w:rPr>
            </w:pPr>
            <w:r>
              <w:rPr>
                <w:rFonts w:cs="宋体"/>
                <w:sz w:val="18"/>
                <w:szCs w:val="18"/>
              </w:rPr>
              <w:t>单位</w:t>
            </w:r>
            <w:r>
              <w:rPr>
                <w:rFonts w:cs="宋体"/>
                <w:color w:val="000000"/>
                <w:sz w:val="18"/>
                <w:szCs w:val="18"/>
              </w:rPr>
              <w:t>：</w:t>
            </w:r>
            <w:r>
              <w:rPr>
                <w:color w:val="000000"/>
                <w:sz w:val="18"/>
                <w:szCs w:val="18"/>
              </w:rPr>
              <w:t>垫江县土地储备整治中心</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9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18"/>
                <w:szCs w:val="18"/>
              </w:rPr>
            </w:pPr>
            <w:r>
              <w:rPr>
                <w:rFonts w:cs="宋体"/>
                <w:color w:val="000000"/>
                <w:sz w:val="18"/>
                <w:szCs w:val="18"/>
              </w:rPr>
              <w:t>公开</w:t>
            </w:r>
            <w:r>
              <w:rPr>
                <w:rFonts w:hint="default" w:ascii="Times New Roman" w:hAnsi="Times New Roman"/>
                <w:color w:val="000000"/>
                <w:sz w:val="18"/>
                <w:szCs w:val="18"/>
              </w:rPr>
              <w:t>03</w:t>
            </w:r>
            <w:r>
              <w:rPr>
                <w:rFonts w:cs="宋体"/>
                <w:color w:val="000000"/>
                <w:sz w:val="18"/>
                <w:szCs w:val="18"/>
              </w:rPr>
              <w:t>表</w:t>
            </w:r>
          </w:p>
        </w:tc>
      </w:tr>
      <w:tr>
        <w:tblPrEx>
          <w:tblCellMar>
            <w:top w:w="0" w:type="dxa"/>
            <w:left w:w="0" w:type="dxa"/>
            <w:bottom w:w="0" w:type="dxa"/>
            <w:right w:w="0" w:type="dxa"/>
          </w:tblCellMar>
        </w:tblPrEx>
        <w:trPr>
          <w:trHeight w:val="342" w:hRule="atLeast"/>
        </w:trPr>
        <w:tc>
          <w:tcPr>
            <w:tcW w:w="22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18"/>
                <w:szCs w:val="18"/>
              </w:rPr>
            </w:pPr>
          </w:p>
        </w:tc>
        <w:tc>
          <w:tcPr>
            <w:tcW w:w="59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18"/>
                <w:szCs w:val="18"/>
              </w:rPr>
            </w:pPr>
            <w:r>
              <w:rPr>
                <w:rFonts w:cs="宋体"/>
                <w:color w:val="000000"/>
                <w:sz w:val="18"/>
                <w:szCs w:val="18"/>
              </w:rPr>
              <w:t>单位：</w:t>
            </w:r>
            <w:r>
              <w:rPr>
                <w:rFonts w:cs="宋体"/>
                <w:sz w:val="18"/>
                <w:szCs w:val="18"/>
              </w:rPr>
              <w:t>万元</w:t>
            </w:r>
          </w:p>
        </w:tc>
      </w:tr>
      <w:tr>
        <w:tblPrEx>
          <w:tblCellMar>
            <w:top w:w="0" w:type="dxa"/>
            <w:left w:w="0" w:type="dxa"/>
            <w:bottom w:w="0" w:type="dxa"/>
            <w:right w:w="0" w:type="dxa"/>
          </w:tblCellMar>
        </w:tblPrEx>
        <w:trPr>
          <w:trHeight w:val="362" w:hRule="atLeast"/>
        </w:trPr>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18"/>
                <w:szCs w:val="18"/>
              </w:rPr>
            </w:pPr>
            <w:r>
              <w:rPr>
                <w:rFonts w:cs="宋体"/>
                <w:b/>
                <w:color w:val="000000"/>
                <w:sz w:val="18"/>
                <w:szCs w:val="18"/>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经营支出</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对附属单位补助支出</w:t>
            </w:r>
          </w:p>
        </w:tc>
      </w:tr>
      <w:tr>
        <w:tblPrEx>
          <w:tblCellMar>
            <w:top w:w="0" w:type="dxa"/>
            <w:left w:w="0" w:type="dxa"/>
            <w:bottom w:w="0" w:type="dxa"/>
            <w:right w:w="0" w:type="dxa"/>
          </w:tblCellMar>
        </w:tblPrEx>
        <w:trPr>
          <w:trHeight w:val="338"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功能分类科目编码</w:t>
            </w:r>
          </w:p>
        </w:tc>
        <w:tc>
          <w:tcPr>
            <w:tcW w:w="1159" w:type="pc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r>
      <w:tr>
        <w:tblPrEx>
          <w:tblCellMar>
            <w:top w:w="0" w:type="dxa"/>
            <w:left w:w="0" w:type="dxa"/>
            <w:bottom w:w="0" w:type="dxa"/>
            <w:right w:w="0" w:type="dxa"/>
          </w:tblCellMar>
        </w:tblPrEx>
        <w:trPr>
          <w:trHeight w:val="170" w:hRule="atLeast"/>
        </w:trPr>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11,741.67</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141.67</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11,600.00</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c>
          <w:tcPr>
            <w:tcW w:w="5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0.15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0.15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0.15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0.15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26.59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26.59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26.59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26.59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4.45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4.45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4.45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4.45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11,600.00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11,600.00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11,600.00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11,600.00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2120801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102.53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102.53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102.53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102.53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2200150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7.95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7.95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b/>
                <w:color w:val="000000"/>
                <w:sz w:val="18"/>
                <w:szCs w:val="18"/>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7.95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7.95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r>
    </w:tbl>
    <w:p>
      <w:pPr>
        <w:rPr>
          <w:rFonts w:hint="default" w:cs="宋体"/>
          <w:sz w:val="20"/>
          <w:szCs w:val="20"/>
        </w:rPr>
      </w:pPr>
      <w:r>
        <w:rPr>
          <w:rFonts w:cs="宋体"/>
          <w:sz w:val="18"/>
          <w:szCs w:val="18"/>
        </w:rPr>
        <w:t>备注：1.本表反映单位本年度各项支出情况。</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20"/>
          <w:szCs w:val="20"/>
        </w:rPr>
        <w:br w:type="textWrapping"/>
      </w: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垫江县土地储备整治中心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137.16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11,737.16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11,737.16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137.16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11,737.16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11,737.16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137.16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11,600.00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垫江县土地储备整治中心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137.16</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137.16</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26.59</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26.59</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26.59</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26.59</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15.84</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15.84</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垫江县土地储备整治中心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122.21</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125.01</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垫江县土地储备整治中心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11,600.00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11,600.00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11,600.00</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11,600.00</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11,600.00</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11,600.00</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垫江县土地储备整治中心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垫江县土地储备整治中心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14 -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trackRevisions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508DF"/>
    <w:rsid w:val="0007133E"/>
    <w:rsid w:val="000B7A3F"/>
    <w:rsid w:val="001347D2"/>
    <w:rsid w:val="001502A5"/>
    <w:rsid w:val="001D3BB7"/>
    <w:rsid w:val="00213D15"/>
    <w:rsid w:val="00226D09"/>
    <w:rsid w:val="002527A9"/>
    <w:rsid w:val="002540FB"/>
    <w:rsid w:val="002B254B"/>
    <w:rsid w:val="00466C9B"/>
    <w:rsid w:val="00482897"/>
    <w:rsid w:val="004F022E"/>
    <w:rsid w:val="00516169"/>
    <w:rsid w:val="00550ABE"/>
    <w:rsid w:val="00591244"/>
    <w:rsid w:val="00596834"/>
    <w:rsid w:val="005B253F"/>
    <w:rsid w:val="006F4B40"/>
    <w:rsid w:val="00770383"/>
    <w:rsid w:val="007819D4"/>
    <w:rsid w:val="007B0B4F"/>
    <w:rsid w:val="007B419D"/>
    <w:rsid w:val="007B7C4B"/>
    <w:rsid w:val="007D3D39"/>
    <w:rsid w:val="008A2CC2"/>
    <w:rsid w:val="008E18C3"/>
    <w:rsid w:val="00994AF7"/>
    <w:rsid w:val="009B1680"/>
    <w:rsid w:val="009B67B8"/>
    <w:rsid w:val="009D2B67"/>
    <w:rsid w:val="00A566F9"/>
    <w:rsid w:val="00AF2751"/>
    <w:rsid w:val="00B03CCD"/>
    <w:rsid w:val="00B73F80"/>
    <w:rsid w:val="00B9135C"/>
    <w:rsid w:val="00BE2B89"/>
    <w:rsid w:val="00C10E9E"/>
    <w:rsid w:val="00C20C3E"/>
    <w:rsid w:val="00C51E3C"/>
    <w:rsid w:val="00CB6EC2"/>
    <w:rsid w:val="00CE7C7A"/>
    <w:rsid w:val="00CF2ACF"/>
    <w:rsid w:val="00D8111B"/>
    <w:rsid w:val="00DD4B63"/>
    <w:rsid w:val="00F73F90"/>
    <w:rsid w:val="00FB4B3B"/>
    <w:rsid w:val="00FF36B8"/>
    <w:rsid w:val="01474EBF"/>
    <w:rsid w:val="01F3521E"/>
    <w:rsid w:val="031E6F16"/>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832DF6"/>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AF632F1"/>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AA57C8C"/>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4D6D30"/>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BBB82-3F10-406D-80C4-9E2497B3184E}">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21</Pages>
  <Words>5243</Words>
  <Characters>6084</Characters>
  <Lines>101</Lines>
  <Paragraphs>28</Paragraphs>
  <TotalTime>0</TotalTime>
  <ScaleCrop>false</ScaleCrop>
  <LinksUpToDate>false</LinksUpToDate>
  <CharactersWithSpaces>6102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垫江县规划和自然资源局（本级）</cp:lastModifiedBy>
  <dcterms:modified xsi:type="dcterms:W3CDTF">2025-09-18T01:11:08Z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