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垫江县矿产资源事务中心</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spacing w:before="0" w:beforeAutospacing="0" w:after="0" w:afterAutospacing="0" w:line="596" w:lineRule="exact"/>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shd w:val="clear" w:color="auto" w:fill="FFFFFF"/>
        <w:spacing w:before="0" w:beforeAutospacing="0" w:after="0" w:afterAutospacing="0" w:line="596"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拟定全县矿产资源开发利用与保护管理实施方案，制订全县矿产资源利用规划；负责全县探矿权、采矿权审批登记发证；负责矿产资源补偿费，探矿权、采矿权价款和使用费的征收管理；负责全县地质灾害的防治、监测；负责地质环境的保护和地下水资源开发；负责各类业务报表、数据的收集、统计和上报。</w:t>
      </w:r>
    </w:p>
    <w:p>
      <w:pPr>
        <w:pStyle w:val="6"/>
        <w:shd w:val="clear" w:color="auto" w:fill="FFFFFF"/>
        <w:spacing w:before="0" w:beforeAutospacing="0" w:after="0" w:afterAutospacing="0" w:line="596" w:lineRule="exact"/>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rPr>
          <w:rStyle w:val="10"/>
          <w:rFonts w:hint="default" w:ascii="黑体" w:hAnsi="黑体" w:eastAsia="黑体" w:cs="黑体"/>
          <w:sz w:val="32"/>
          <w:szCs w:val="32"/>
          <w:shd w:val="clear" w:color="auto" w:fill="FFFFFF"/>
        </w:rPr>
      </w:pPr>
      <w:r>
        <w:rPr>
          <w:rFonts w:ascii="方正仿宋_GBK" w:hAnsi="方正仿宋_GBK" w:eastAsia="方正仿宋_GBK" w:cs="方正仿宋_GBK"/>
          <w:sz w:val="32"/>
          <w:szCs w:val="32"/>
        </w:rPr>
        <w:t>本单位属财政全额拨款的事业单位，为正科级单位，下设综合科和矿管科两个科室。</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2024年度收入总计409.57万元，支出总计</w:t>
      </w:r>
      <w:r>
        <w:rPr>
          <w:rFonts w:ascii="方正仿宋_GBK" w:hAnsi="方正仿宋_GBK" w:eastAsia="方正仿宋_GBK" w:cs="方正仿宋_GBK"/>
          <w:sz w:val="32"/>
          <w:szCs w:val="32"/>
        </w:rPr>
        <w:t>409.57</w:t>
      </w:r>
      <w:r>
        <w:rPr>
          <w:rFonts w:ascii="方正仿宋_GBK" w:hAnsi="方正仿宋_GBK" w:eastAsia="方正仿宋_GBK" w:cs="方正仿宋_GBK"/>
          <w:sz w:val="32"/>
          <w:szCs w:val="32"/>
          <w:shd w:val="clear" w:color="auto" w:fill="FFFFFF"/>
        </w:rPr>
        <w:t>万元。收、支与2023年度相比，减少82.52万元，下降16.77%，主要原因是</w:t>
      </w:r>
      <w:r>
        <w:rPr>
          <w:rFonts w:ascii="方正仿宋_GBK" w:hAnsi="方正仿宋_GBK" w:eastAsia="方正仿宋_GBK" w:cs="方正仿宋_GBK"/>
          <w:sz w:val="32"/>
        </w:rPr>
        <w:t>减少地质灾害防治治理经费，主要用于地质勘查、矿产资源管理、自然灾害防治等重点工作。</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2024年度收入合计391.92万元，与2023年度相比，减少68.01万元，下降14.79%，主要原因</w:t>
      </w:r>
      <w:r>
        <w:rPr>
          <w:rFonts w:ascii="方正仿宋_GBK" w:hAnsi="方正仿宋_GBK" w:eastAsia="方正仿宋_GBK" w:cs="方正仿宋_GBK"/>
          <w:sz w:val="32"/>
        </w:rPr>
        <w:t>是矿产资源规划（2021-2025年）项目经费及避险搬迁等其他项目经费减少，主要用于地质勘查、矿产资源管理、避险搬迁等重点工作。</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391.92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17.65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409.57</w:t>
      </w:r>
      <w:r>
        <w:rPr>
          <w:rFonts w:ascii="方正仿宋_GBK" w:hAnsi="方正仿宋_GBK" w:eastAsia="方正仿宋_GBK" w:cs="方正仿宋_GBK"/>
          <w:sz w:val="32"/>
          <w:szCs w:val="32"/>
          <w:shd w:val="clear" w:color="auto" w:fill="FFFFFF"/>
        </w:rPr>
        <w:t>万元，与2023年度相比，减少82.52万元，下降16.77%，主要原因是</w:t>
      </w:r>
      <w:r>
        <w:rPr>
          <w:rFonts w:ascii="方正仿宋_GBK" w:hAnsi="方正仿宋_GBK" w:eastAsia="方正仿宋_GBK" w:cs="方正仿宋_GBK"/>
          <w:sz w:val="32"/>
        </w:rPr>
        <w:t>减少地质灾害防治治理经费，主要用于地质勘查、矿产资源管理、自然灾害防治等重点工作。</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256.82</w:t>
      </w:r>
      <w:r>
        <w:rPr>
          <w:rFonts w:ascii="方正仿宋_GBK" w:hAnsi="方正仿宋_GBK" w:eastAsia="方正仿宋_GBK" w:cs="方正仿宋_GBK"/>
          <w:sz w:val="32"/>
          <w:szCs w:val="32"/>
          <w:shd w:val="clear" w:color="auto" w:fill="FFFFFF"/>
        </w:rPr>
        <w:t>万元，占62.70%；项目支出</w:t>
      </w:r>
      <w:r>
        <w:rPr>
          <w:rFonts w:ascii="方正仿宋_GBK" w:hAnsi="方正仿宋_GBK" w:eastAsia="方正仿宋_GBK" w:cs="方正仿宋_GBK"/>
          <w:sz w:val="32"/>
          <w:szCs w:val="32"/>
        </w:rPr>
        <w:t>152.76</w:t>
      </w:r>
      <w:r>
        <w:rPr>
          <w:rFonts w:ascii="方正仿宋_GBK" w:hAnsi="方正仿宋_GBK" w:eastAsia="方正仿宋_GBK" w:cs="方正仿宋_GBK"/>
          <w:sz w:val="32"/>
          <w:szCs w:val="32"/>
          <w:shd w:val="clear" w:color="auto" w:fill="FFFFFF"/>
        </w:rPr>
        <w:t>万元，占37.30%；经营支出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r>
        <w:rPr>
          <w:rFonts w:ascii="方正仿宋_GBK" w:hAnsi="方正仿宋_GBK" w:eastAsia="方正仿宋_GBK" w:cs="方正仿宋_GBK"/>
          <w:sz w:val="32"/>
          <w:szCs w:val="32"/>
          <w:shd w:val="clear" w:color="auto" w:fill="FFFFFF"/>
        </w:rPr>
        <w:t>。</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2024年度财政拨款收、支总计391.92万元。与2023年相比，财政拨款收、支总计各减少68.01万元，下降14.79%。主要原因是本年</w:t>
      </w:r>
      <w:r>
        <w:rPr>
          <w:rFonts w:ascii="方正仿宋_GBK" w:hAnsi="方正仿宋_GBK" w:eastAsia="方正仿宋_GBK" w:cs="方正仿宋_GBK"/>
          <w:sz w:val="32"/>
        </w:rPr>
        <w:t>地质灾害防治治理经费减少。</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338.49</w:t>
      </w:r>
      <w:r>
        <w:rPr>
          <w:rFonts w:ascii="方正仿宋_GBK" w:hAnsi="方正仿宋_GBK" w:eastAsia="方正仿宋_GBK" w:cs="方正仿宋_GBK"/>
          <w:sz w:val="32"/>
          <w:szCs w:val="32"/>
          <w:shd w:val="clear" w:color="auto" w:fill="FFFFFF"/>
        </w:rPr>
        <w:t>万元，与2023年度相比，减少6.91万元，下降2.00%。主要原因是本年有1人退休，人员经费和公用经费减少</w:t>
      </w:r>
      <w:r>
        <w:rPr>
          <w:rFonts w:ascii="方正仿宋_GBK" w:hAnsi="方正仿宋_GBK" w:eastAsia="方正仿宋_GBK" w:cs="方正仿宋_GBK"/>
          <w:sz w:val="32"/>
        </w:rPr>
        <w:t>。</w:t>
      </w:r>
      <w:r>
        <w:rPr>
          <w:rFonts w:ascii="方正仿宋_GBK" w:hAnsi="方正仿宋_GBK" w:eastAsia="方正仿宋_GBK" w:cs="方正仿宋_GBK"/>
          <w:sz w:val="32"/>
          <w:szCs w:val="32"/>
          <w:shd w:val="clear" w:color="auto" w:fill="FFFFFF"/>
        </w:rPr>
        <w:t>较年初预算数减少27.80万元，下降7.59%。主要原因</w:t>
      </w:r>
      <w:r>
        <w:rPr>
          <w:rFonts w:ascii="方正仿宋_GBK" w:hAnsi="方正仿宋_GBK" w:eastAsia="方正仿宋_GBK" w:cs="方正仿宋_GBK"/>
          <w:sz w:val="32"/>
        </w:rPr>
        <w:t>是存在人员退休，且地质灾害防治治理经费减少。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338.49</w:t>
      </w:r>
      <w:r>
        <w:rPr>
          <w:rFonts w:ascii="方正仿宋_GBK" w:hAnsi="方正仿宋_GBK" w:eastAsia="方正仿宋_GBK" w:cs="方正仿宋_GBK"/>
          <w:sz w:val="32"/>
          <w:szCs w:val="32"/>
          <w:shd w:val="clear" w:color="auto" w:fill="FFFFFF"/>
        </w:rPr>
        <w:t>万元，与2023年度相比，减少6.91万元，下降2.00%。主要原因是本年有1人退休，人员经费和公用经费减少。较年初预算数减少27.80万元，下降7.59%。主要原因是</w:t>
      </w:r>
      <w:r>
        <w:rPr>
          <w:rFonts w:ascii="方正仿宋_GBK" w:hAnsi="方正仿宋_GBK" w:eastAsia="方正仿宋_GBK" w:cs="方正仿宋_GBK"/>
          <w:sz w:val="32"/>
        </w:rPr>
        <w:t>存在人员退休，且地质灾害防治治理经费减少。</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%，较年初预算数减少0.61万元，下降79.22%，主要原因是本年度安排职工培训费用未全部用完。</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51.28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15.15</w:t>
      </w:r>
      <w:r>
        <w:rPr>
          <w:rFonts w:ascii="方正仿宋_GBK" w:hAnsi="方正仿宋_GBK" w:eastAsia="方正仿宋_GBK" w:cs="方正仿宋_GBK"/>
          <w:sz w:val="32"/>
          <w:szCs w:val="32"/>
          <w:shd w:val="clear" w:color="auto" w:fill="FFFFFF"/>
        </w:rPr>
        <w:t>%，较年初预算数增加23.74万元，增长86.20%，主要原因是人员正常晋升，社保缴费增加。</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%，较年初预算数减少1.92万元，下降21.12%，主要原因是存在人员退休。</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自然资源海洋气象等支出252.76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74.67</w:t>
      </w:r>
      <w:r>
        <w:rPr>
          <w:rFonts w:ascii="方正仿宋_GBK" w:hAnsi="方正仿宋_GBK" w:eastAsia="方正仿宋_GBK" w:cs="方正仿宋_GBK"/>
          <w:sz w:val="32"/>
          <w:szCs w:val="32"/>
          <w:shd w:val="clear" w:color="auto" w:fill="FFFFFF"/>
        </w:rPr>
        <w:t>%，较年初预算数减少51.42万元，下降16.90%，主要原因是有1人退休，且地质灾害防治项目资金减少。</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住房保障支出13.32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%，较年初预算数增加2.41万元，增长22.09%，主要原因是人员正常晋升，公积金缴费增加。</w:t>
      </w:r>
    </w:p>
    <w:p>
      <w:pPr>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灾害防治及应急管理支出13.80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4.08</w:t>
      </w:r>
      <w:r>
        <w:rPr>
          <w:rFonts w:ascii="方正仿宋_GBK" w:hAnsi="方正仿宋_GBK" w:eastAsia="方正仿宋_GBK" w:cs="方正仿宋_GBK"/>
          <w:sz w:val="32"/>
          <w:szCs w:val="32"/>
          <w:shd w:val="clear" w:color="auto" w:fill="FFFFFF"/>
        </w:rPr>
        <w:t>%，较年初预算数无增减，主要原因是严格按照预算执行。</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239.17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213.63</w:t>
      </w:r>
      <w:r>
        <w:rPr>
          <w:rFonts w:ascii="方正仿宋_GBK" w:hAnsi="方正仿宋_GBK" w:eastAsia="方正仿宋_GBK" w:cs="方正仿宋_GBK"/>
          <w:sz w:val="32"/>
          <w:szCs w:val="32"/>
          <w:shd w:val="clear" w:color="auto" w:fill="FFFFFF"/>
        </w:rPr>
        <w:t>万元，与2023年度相比，减少4.24万元，下降1.95%，主要原因是本年有1人退休。人员经费用途主要包括</w:t>
      </w:r>
      <w:r>
        <w:rPr>
          <w:rFonts w:ascii="方正仿宋_GBK" w:hAnsi="方正仿宋_GBK" w:eastAsia="方正仿宋_GBK" w:cs="方正仿宋_GBK"/>
          <w:sz w:val="32"/>
          <w:szCs w:val="32"/>
        </w:rPr>
        <w:t>基本工资、津贴补贴、奖金、绩效工资、社会保障缴费、公积金缴费。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25.54</w:t>
      </w:r>
      <w:r>
        <w:rPr>
          <w:rFonts w:ascii="方正仿宋_GBK" w:hAnsi="方正仿宋_GBK" w:eastAsia="方正仿宋_GBK" w:cs="方正仿宋_GBK"/>
          <w:sz w:val="32"/>
          <w:szCs w:val="32"/>
          <w:shd w:val="clear" w:color="auto" w:fill="FFFFFF"/>
        </w:rPr>
        <w:t>万元，与2023年度相比，减少3.98万元，下降13.48%，主要原因是厉行节约，压减一般性支出。公用经费用途主要包括</w:t>
      </w:r>
      <w:r>
        <w:rPr>
          <w:rFonts w:ascii="方正仿宋_GBK" w:hAnsi="方正仿宋_GBK" w:eastAsia="方正仿宋_GBK" w:cs="方正仿宋_GBK"/>
          <w:sz w:val="32"/>
          <w:szCs w:val="32"/>
        </w:rPr>
        <w:t>办公费、印刷费、咨询费、手续费、水电费、电话费、差旅费、劳务费、培训费、公务用车运行维护费、其他商品和服务支出等。</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53.43</w:t>
      </w:r>
      <w:r>
        <w:rPr>
          <w:rFonts w:ascii="方正仿宋_GBK" w:hAnsi="方正仿宋_GBK" w:eastAsia="方正仿宋_GBK" w:cs="方正仿宋_GBK"/>
          <w:sz w:val="32"/>
          <w:szCs w:val="32"/>
          <w:shd w:val="clear" w:color="auto" w:fill="FFFFFF"/>
        </w:rPr>
        <w:t>万元，与2023年度相比，减少61.10万元，下降53.35%，主要原因是本年减少地质灾害驻守技术支撑及群测群防专项项目支出费用。本年支出53.43万元，与2023年度相比，减少61.10万元，下降53.35%，主要原因是本年减少地质灾害驻守技术支撑及群测群防专项项目支出费用。</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5.15</w:t>
      </w:r>
      <w:r>
        <w:rPr>
          <w:rFonts w:ascii="方正仿宋_GBK" w:hAnsi="方正仿宋_GBK" w:eastAsia="方正仿宋_GBK" w:cs="方正仿宋_GBK"/>
          <w:sz w:val="32"/>
          <w:szCs w:val="32"/>
          <w:shd w:val="clear" w:color="auto" w:fill="FFFFFF"/>
        </w:rPr>
        <w:t>万元，较年初预算数增加0.05万元，增长0.98%，主要原因是调剂了预算，增加公务接待费。较上年支出数减少0.01万元，下降0.19%，主要原因是本年统一调度公车，加强公车管理，公务用车费用减少。</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下乡巡查地质灾害隐患所需车辆的燃料费、维修费、过桥过路费、保险费等。</w:t>
      </w:r>
      <w:r>
        <w:rPr>
          <w:rFonts w:ascii="方正仿宋_GBK" w:hAnsi="方正仿宋_GBK" w:eastAsia="方正仿宋_GBK" w:cs="方正仿宋_GBK"/>
          <w:sz w:val="32"/>
          <w:szCs w:val="32"/>
          <w:shd w:val="clear" w:color="auto" w:fill="FFFFFF"/>
        </w:rPr>
        <w:t>费用支出较年初预算数增加0.89万元，增长29.67%，主要原因是今年地质灾害增加，下乡出行增加，公务用车维修较多。较上年支出数减少0.07万元，下降1.77%，主要原因是本年统一调度公车，加强公车管理，公务用车费用减少。</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1.26</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接待市级指导排查地质灾害隐患和规避地质灾害的专家等。</w:t>
      </w:r>
      <w:r>
        <w:rPr>
          <w:rFonts w:ascii="方正仿宋_GBK" w:hAnsi="方正仿宋_GBK" w:eastAsia="方正仿宋_GBK" w:cs="方正仿宋_GBK"/>
          <w:sz w:val="32"/>
          <w:szCs w:val="32"/>
          <w:shd w:val="clear" w:color="auto" w:fill="FFFFFF"/>
        </w:rPr>
        <w:t>费用支出较年初预算数减少0.84万元，下降40.00%，主要原因是</w:t>
      </w:r>
      <w:r>
        <w:rPr>
          <w:rFonts w:ascii="方正仿宋_GBK" w:hAnsi="方正仿宋_GBK" w:eastAsia="方正仿宋_GBK" w:cs="方正仿宋_GBK"/>
          <w:sz w:val="32"/>
          <w:szCs w:val="32"/>
        </w:rPr>
        <w:t>严格执行</w:t>
      </w:r>
      <w:r>
        <w:rPr>
          <w:rFonts w:hint="eastAsia" w:ascii="方正仿宋_GBK" w:hAnsi="方正仿宋_GBK" w:eastAsia="方正仿宋_GBK" w:cs="方正仿宋_GBK"/>
          <w:sz w:val="32"/>
          <w:szCs w:val="32"/>
          <w:lang w:val="en-US" w:eastAsia="zh-CN"/>
        </w:rPr>
        <w:t>中央</w:t>
      </w:r>
      <w:bookmarkStart w:id="0" w:name="_GoBack"/>
      <w:bookmarkEnd w:id="0"/>
      <w:r>
        <w:rPr>
          <w:rFonts w:ascii="方正仿宋_GBK" w:hAnsi="方正仿宋_GBK" w:eastAsia="方正仿宋_GBK" w:cs="方正仿宋_GBK"/>
          <w:sz w:val="32"/>
          <w:szCs w:val="32"/>
        </w:rPr>
        <w:t>八项规定，厉行节约，控制接待费支出。</w:t>
      </w:r>
      <w:r>
        <w:rPr>
          <w:rFonts w:ascii="方正仿宋_GBK" w:hAnsi="方正仿宋_GBK" w:eastAsia="方正仿宋_GBK" w:cs="方正仿宋_GBK"/>
          <w:sz w:val="32"/>
          <w:szCs w:val="32"/>
          <w:shd w:val="clear" w:color="auto" w:fill="FFFFFF"/>
        </w:rPr>
        <w:t>较上年支出数增加0.07万元，增长5.88%，主要原因是</w:t>
      </w:r>
      <w:r>
        <w:rPr>
          <w:rFonts w:ascii="方正仿宋_GBK" w:hAnsi="方正仿宋_GBK" w:eastAsia="方正仿宋_GBK" w:cs="方正仿宋_GBK"/>
          <w:sz w:val="32"/>
          <w:szCs w:val="32"/>
        </w:rPr>
        <w:t>本年地质灾害增加，邀请专家帮助勘测现场次数增加。</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89.97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3.89</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万元，与2023年度相比，增加0.08万元，增长100.00%，主要原因是本年度继续教育人员培训费增加。</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根据预算绩效管理要求，我单位对8个二级项目开展了绩效自评，涉及财政拨款项目支出资金152.75万元。</w:t>
      </w:r>
    </w:p>
    <w:p>
      <w:pPr>
        <w:autoSpaceDE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绩效自评表格：</w:t>
      </w:r>
    </w:p>
    <w:p>
      <w:pPr>
        <w:autoSpaceDE w:val="0"/>
        <w:spacing w:line="600" w:lineRule="exact"/>
        <w:ind w:firstLine="640" w:firstLineChars="200"/>
        <w:rPr>
          <w:rFonts w:hint="default" w:ascii="方正仿宋_GBK" w:hAnsi="方正仿宋_GBK" w:eastAsia="方正仿宋_GBK" w:cs="方正仿宋_GBK"/>
          <w:sz w:val="32"/>
          <w:szCs w:val="32"/>
        </w:rPr>
      </w:pPr>
    </w:p>
    <w:tbl>
      <w:tblPr>
        <w:tblStyle w:val="7"/>
        <w:tblW w:w="5000" w:type="pct"/>
        <w:tblInd w:w="0" w:type="dxa"/>
        <w:tblLayout w:type="autofit"/>
        <w:tblCellMar>
          <w:top w:w="0" w:type="dxa"/>
          <w:left w:w="108" w:type="dxa"/>
          <w:bottom w:w="0" w:type="dxa"/>
          <w:right w:w="108" w:type="dxa"/>
        </w:tblCellMar>
      </w:tblPr>
      <w:tblGrid>
        <w:gridCol w:w="968"/>
        <w:gridCol w:w="918"/>
        <w:gridCol w:w="917"/>
        <w:gridCol w:w="968"/>
        <w:gridCol w:w="754"/>
        <w:gridCol w:w="813"/>
        <w:gridCol w:w="914"/>
        <w:gridCol w:w="665"/>
        <w:gridCol w:w="860"/>
        <w:gridCol w:w="754"/>
      </w:tblGrid>
      <w:tr>
        <w:tblPrEx>
          <w:tblCellMar>
            <w:top w:w="0" w:type="dxa"/>
            <w:left w:w="108" w:type="dxa"/>
            <w:bottom w:w="0" w:type="dxa"/>
            <w:right w:w="108" w:type="dxa"/>
          </w:tblCellMar>
        </w:tblPrEx>
        <w:trPr>
          <w:trHeight w:val="8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000000"/>
                <w:sz w:val="20"/>
                <w:szCs w:val="20"/>
              </w:rPr>
            </w:pPr>
            <w:r>
              <w:rPr>
                <w:rFonts w:ascii="微软雅黑" w:hAnsi="微软雅黑" w:eastAsia="微软雅黑" w:cs="微软雅黑"/>
                <w:b/>
                <w:bCs/>
                <w:color w:val="000000"/>
                <w:sz w:val="20"/>
                <w:szCs w:val="20"/>
                <w:lang w:bidi="ar"/>
              </w:rPr>
              <w:t>2024年度二级项目绩效自评表</w:t>
            </w:r>
          </w:p>
        </w:tc>
      </w:tr>
      <w:tr>
        <w:tblPrEx>
          <w:tblCellMar>
            <w:top w:w="0" w:type="dxa"/>
            <w:left w:w="108" w:type="dxa"/>
            <w:bottom w:w="0" w:type="dxa"/>
            <w:right w:w="108" w:type="dxa"/>
          </w:tblCellMar>
        </w:tblPrEx>
        <w:trPr>
          <w:trHeight w:val="5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1" w:firstLineChars="100"/>
              <w:jc w:val="right"/>
              <w:textAlignment w:val="center"/>
              <w:rPr>
                <w:rFonts w:hint="default" w:cs="宋体"/>
                <w:b/>
                <w:bCs/>
                <w:color w:val="DA3232"/>
                <w:sz w:val="20"/>
                <w:szCs w:val="20"/>
              </w:rPr>
            </w:pPr>
            <w:r>
              <w:rPr>
                <w:rFonts w:cs="宋体"/>
                <w:b/>
                <w:bCs/>
                <w:color w:val="DA3232"/>
                <w:sz w:val="20"/>
                <w:szCs w:val="20"/>
                <w:lang w:bidi="ar"/>
              </w:rPr>
              <w:t>状态：绩效审核已审</w:t>
            </w:r>
          </w:p>
        </w:tc>
      </w:tr>
      <w:tr>
        <w:tblPrEx>
          <w:tblCellMar>
            <w:top w:w="0" w:type="dxa"/>
            <w:left w:w="108" w:type="dxa"/>
            <w:bottom w:w="0" w:type="dxa"/>
            <w:right w:w="108" w:type="dxa"/>
          </w:tblCellMar>
        </w:tblPrEx>
        <w:trPr>
          <w:trHeight w:val="6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0"/>
                <w:szCs w:val="20"/>
              </w:rPr>
            </w:pPr>
            <w:r>
              <w:rPr>
                <w:rFonts w:cs="宋体"/>
                <w:b/>
                <w:bCs/>
                <w:color w:val="000000"/>
                <w:sz w:val="20"/>
                <w:szCs w:val="20"/>
                <w:lang w:bidi="ar"/>
              </w:rPr>
              <w:t>项目名称：</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地质灾害驻守技术支撑及群测群防专项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0"/>
                <w:szCs w:val="20"/>
              </w:rPr>
            </w:pPr>
            <w:r>
              <w:rPr>
                <w:rFonts w:cs="宋体"/>
                <w:b/>
                <w:bCs/>
                <w:color w:val="000000"/>
                <w:sz w:val="20"/>
                <w:szCs w:val="20"/>
                <w:lang w:bidi="ar"/>
              </w:rPr>
              <w:t>项目编码：</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50023123T000003453181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0"/>
                <w:szCs w:val="20"/>
              </w:rPr>
            </w:pPr>
            <w:r>
              <w:rPr>
                <w:rFonts w:cs="宋体"/>
                <w:b/>
                <w:bCs/>
                <w:color w:val="000000"/>
                <w:sz w:val="20"/>
                <w:szCs w:val="20"/>
                <w:lang w:bidi="ar"/>
              </w:rPr>
              <w:t>自评总分：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0"/>
                <w:szCs w:val="20"/>
              </w:rPr>
            </w:pPr>
            <w:r>
              <w:rPr>
                <w:rFonts w:cs="宋体"/>
                <w:b/>
                <w:bCs/>
                <w:color w:val="000000"/>
                <w:sz w:val="20"/>
                <w:szCs w:val="20"/>
                <w:lang w:bidi="ar"/>
              </w:rPr>
              <w:t>项目主管部门：</w:t>
            </w:r>
          </w:p>
        </w:tc>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209-垫江县规划和自然资源局</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005-经建科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0"/>
                <w:szCs w:val="20"/>
              </w:rPr>
            </w:pPr>
            <w:r>
              <w:rPr>
                <w:rFonts w:cs="宋体"/>
                <w:b/>
                <w:bCs/>
                <w:color w:val="000000"/>
                <w:sz w:val="20"/>
                <w:szCs w:val="20"/>
                <w:lang w:bidi="ar"/>
              </w:rPr>
              <w:t>部门联系人：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刘万波</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color w:val="000000"/>
                <w:sz w:val="20"/>
                <w:szCs w:val="20"/>
              </w:rPr>
            </w:pPr>
            <w:r>
              <w:rPr>
                <w:rFonts w:cs="宋体"/>
                <w:b/>
                <w:bCs/>
                <w:color w:val="000000"/>
                <w:sz w:val="20"/>
                <w:szCs w:val="20"/>
                <w:lang w:bidi="ar"/>
              </w:rPr>
              <w:t>联系电话：</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eastAsia="宋体" w:cs="宋体"/>
                <w:color w:val="000000"/>
                <w:sz w:val="20"/>
                <w:szCs w:val="20"/>
                <w:lang w:val="en-US" w:eastAsia="zh-CN"/>
              </w:rPr>
            </w:pPr>
            <w:r>
              <w:rPr>
                <w:rFonts w:hint="eastAsia" w:cs="宋体"/>
                <w:color w:val="000000"/>
                <w:sz w:val="20"/>
                <w:szCs w:val="20"/>
                <w:lang w:val="en-US" w:eastAsia="zh-CN" w:bidi="ar"/>
              </w:rPr>
              <w:t>74684700</w:t>
            </w:r>
          </w:p>
        </w:tc>
      </w:tr>
      <w:tr>
        <w:tblPrEx>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tblPrEx>
          <w:tblCellMar>
            <w:top w:w="0" w:type="dxa"/>
            <w:left w:w="108" w:type="dxa"/>
            <w:bottom w:w="0" w:type="dxa"/>
            <w:right w:w="108" w:type="dxa"/>
          </w:tblCellMar>
        </w:tblPrEx>
        <w:trPr>
          <w:trHeight w:val="500" w:hRule="atLeast"/>
        </w:trPr>
        <w:tc>
          <w:tcPr>
            <w:tcW w:w="11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color w:val="000000"/>
                <w:sz w:val="20"/>
                <w:szCs w:val="20"/>
              </w:rPr>
            </w:pP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color w:val="000000"/>
                <w:sz w:val="20"/>
                <w:szCs w:val="20"/>
              </w:rPr>
            </w:pPr>
            <w:r>
              <w:rPr>
                <w:rFonts w:cs="宋体"/>
                <w:b/>
                <w:bCs/>
                <w:color w:val="000000"/>
                <w:sz w:val="20"/>
                <w:szCs w:val="20"/>
                <w:lang w:bidi="ar"/>
              </w:rPr>
              <w:t>执行率权重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执行率得分</w:t>
            </w: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年度总金额</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572" w:type="pct"/>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9,900.00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9,900.00 </w:t>
            </w:r>
          </w:p>
        </w:tc>
        <w:tc>
          <w:tcPr>
            <w:tcW w:w="536"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9,900.00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其中：财政拨款</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572" w:type="pct"/>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9,900.00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9,900.00 </w:t>
            </w:r>
          </w:p>
        </w:tc>
        <w:tc>
          <w:tcPr>
            <w:tcW w:w="536"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9,900.00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color w:val="000000"/>
                <w:sz w:val="20"/>
                <w:szCs w:val="20"/>
              </w:rPr>
            </w:pPr>
            <w:r>
              <w:rPr>
                <w:rFonts w:cs="宋体"/>
                <w:color w:val="000000"/>
                <w:sz w:val="20"/>
                <w:szCs w:val="20"/>
                <w:lang w:bidi="ar"/>
              </w:rPr>
              <w:t>10.00</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一般公共预算</w:t>
            </w:r>
          </w:p>
        </w:tc>
        <w:tc>
          <w:tcPr>
            <w:tcW w:w="539" w:type="pct"/>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572" w:type="pct"/>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431"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470" w:type="pct"/>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536" w:type="pct"/>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0"/>
                <w:szCs w:val="20"/>
              </w:rPr>
            </w:pPr>
          </w:p>
        </w:tc>
        <w:tc>
          <w:tcPr>
            <w:tcW w:w="372" w:type="pct"/>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tblPrEx>
          <w:tblCellMar>
            <w:top w:w="0" w:type="dxa"/>
            <w:left w:w="108" w:type="dxa"/>
            <w:bottom w:w="0" w:type="dxa"/>
            <w:right w:w="108" w:type="dxa"/>
          </w:tblCellMar>
        </w:tblPrEx>
        <w:trPr>
          <w:trHeight w:val="500" w:hRule="atLeast"/>
        </w:trPr>
        <w:tc>
          <w:tcPr>
            <w:tcW w:w="22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年初绩效目标</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全年目标实际完成情况</w:t>
            </w:r>
          </w:p>
        </w:tc>
      </w:tr>
      <w:tr>
        <w:tblPrEx>
          <w:tblCellMar>
            <w:top w:w="0" w:type="dxa"/>
            <w:left w:w="108" w:type="dxa"/>
            <w:bottom w:w="0" w:type="dxa"/>
            <w:right w:w="108" w:type="dxa"/>
          </w:tblCellMar>
        </w:tblPrEx>
        <w:trPr>
          <w:trHeight w:val="1920" w:hRule="atLeast"/>
        </w:trPr>
        <w:tc>
          <w:tcPr>
            <w:tcW w:w="2221" w:type="pct"/>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根据《重庆市财政局关于提前下达2023年市级地质灾害防治专项资金预算的通知》（渝财建〔2022〕256号）文件要求，开展驻守、技术支撑；群测群防和预警监测，避险演练，汛期驻守地质队驻守乡镇，提供技术支撑；全县126个已知地质灾害隐患点开展群测群防。</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根据《重庆市财政局关于提前下达2023年市级地质灾害防治专项资金预算的通知》（渝财建〔2022〕256号）文件要求，开展驻守、技术支撑；群测群防和预警监测，避险演练，汛期驻守地质队驻守乡镇，提供技术支撑；全县126个已知地质灾害隐患点开展群测群防。</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根据《重庆市财政局关于提前下达2023年市级地质灾害防治专项资金预算的通知》（渝财建〔2022〕256号）文件要求，开展驻守、技术支撑；群测群防和预警监测，避险演练，汛期驻守地质队驻守乡镇，提供技术支撑；全县126个已知地质灾害隐患点开展群测群防。</w:t>
            </w:r>
          </w:p>
        </w:tc>
      </w:tr>
      <w:tr>
        <w:tblPrEx>
          <w:tblCellMar>
            <w:top w:w="0" w:type="dxa"/>
            <w:left w:w="108" w:type="dxa"/>
            <w:bottom w:w="0" w:type="dxa"/>
            <w:right w:w="108" w:type="dxa"/>
          </w:tblCellMar>
        </w:tblPrEx>
        <w:trPr>
          <w:trHeight w:val="6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指标名称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计量单位</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指标值</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偏离度（%）</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color w:val="000000"/>
                <w:sz w:val="20"/>
                <w:szCs w:val="20"/>
              </w:rPr>
            </w:pPr>
            <w:r>
              <w:rPr>
                <w:rFonts w:cs="宋体"/>
                <w:b/>
                <w:bCs/>
                <w:color w:val="000000"/>
                <w:sz w:val="20"/>
                <w:szCs w:val="20"/>
                <w:lang w:bidi="ar"/>
              </w:rPr>
              <w:t>说明</w:t>
            </w: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地灾培训、演练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人/次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3000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3.33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地质灾害隐患点避险演练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专群结合监测预警点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个</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126</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报送巡查信息库</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98</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2.04</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完成期限</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提升监测预警区地质灾害防治能力</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持续做好隐患区监测防范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长期</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实施区域受益人群满意度</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地质灾害检测费用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0.99</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0.99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0"/>
                <w:szCs w:val="20"/>
              </w:rPr>
            </w:pPr>
          </w:p>
        </w:tc>
      </w:tr>
    </w:tbl>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spacing w:beforeAutospacing="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Autospacing="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autoSpaceDE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吉老师   023-74684688</w:t>
      </w:r>
    </w:p>
    <w:p>
      <w:pPr>
        <w:pStyle w:val="11"/>
        <w:autoSpaceDE w:val="0"/>
        <w:ind w:firstLine="0" w:firstLineChars="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垫江县矿产资源事务中心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338.49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391.92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409.57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409.57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409.57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垫江县矿产资源事务中心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391.92</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391.92</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地质矿产资源与环境调查</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地质勘查与矿产资源管理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垫江县矿产资源事务中心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409.57</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256.82</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152.76</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270.41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地质矿产资源与环境调查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地质勘查与矿产资源管理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184.89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184.89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垫江县矿产资源事务中心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338.49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垫江县矿产资源事务中心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252.76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地质矿产资源与环境调查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地质勘查与矿产资源管理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167.24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垫江县矿产资源事务中心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204.93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213.63</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594"/>
        <w:gridCol w:w="3630"/>
        <w:gridCol w:w="1659"/>
        <w:gridCol w:w="1659"/>
        <w:gridCol w:w="1659"/>
        <w:gridCol w:w="1660"/>
        <w:gridCol w:w="1725"/>
        <w:gridCol w:w="179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垫江县矿产资源事务中心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16.79</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36.64</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垫江县矿产资源事务中心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垫江县矿产资源事务中心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042C2A"/>
    <w:rsid w:val="001D3BB7"/>
    <w:rsid w:val="002B254B"/>
    <w:rsid w:val="00466C9B"/>
    <w:rsid w:val="00550ABE"/>
    <w:rsid w:val="00770383"/>
    <w:rsid w:val="007819D4"/>
    <w:rsid w:val="007B419D"/>
    <w:rsid w:val="007B7C4B"/>
    <w:rsid w:val="007D3D39"/>
    <w:rsid w:val="008325CC"/>
    <w:rsid w:val="00933485"/>
    <w:rsid w:val="00994AF7"/>
    <w:rsid w:val="009A2EAD"/>
    <w:rsid w:val="009B67B8"/>
    <w:rsid w:val="009D2B67"/>
    <w:rsid w:val="009D6CF0"/>
    <w:rsid w:val="00A566F9"/>
    <w:rsid w:val="00AF2751"/>
    <w:rsid w:val="00B03CCD"/>
    <w:rsid w:val="00BE2B89"/>
    <w:rsid w:val="00C10E9E"/>
    <w:rsid w:val="00C20C3E"/>
    <w:rsid w:val="00CF2ACF"/>
    <w:rsid w:val="00EA082D"/>
    <w:rsid w:val="00F73F90"/>
    <w:rsid w:val="00FB4B3B"/>
    <w:rsid w:val="01474EBF"/>
    <w:rsid w:val="01F3521E"/>
    <w:rsid w:val="034A527A"/>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38519E"/>
    <w:rsid w:val="0969353F"/>
    <w:rsid w:val="098305D0"/>
    <w:rsid w:val="0A3317EA"/>
    <w:rsid w:val="0A5C4B69"/>
    <w:rsid w:val="0A86124A"/>
    <w:rsid w:val="0AB54CC0"/>
    <w:rsid w:val="0B156E0E"/>
    <w:rsid w:val="0B9335CE"/>
    <w:rsid w:val="0BF2311A"/>
    <w:rsid w:val="0C2A5909"/>
    <w:rsid w:val="0C7927C4"/>
    <w:rsid w:val="0C9B098C"/>
    <w:rsid w:val="0D673E11"/>
    <w:rsid w:val="0DA536EA"/>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B62D96"/>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B939B1"/>
    <w:rsid w:val="41E0734B"/>
    <w:rsid w:val="426C1EA8"/>
    <w:rsid w:val="42736402"/>
    <w:rsid w:val="42E86A87"/>
    <w:rsid w:val="43307B09"/>
    <w:rsid w:val="439A3EB9"/>
    <w:rsid w:val="43BB152F"/>
    <w:rsid w:val="44C37687"/>
    <w:rsid w:val="45CB699A"/>
    <w:rsid w:val="45E2495B"/>
    <w:rsid w:val="45EA2833"/>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B967FA1"/>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7BD21EC"/>
    <w:rsid w:val="5842572D"/>
    <w:rsid w:val="59324894"/>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2518</Words>
  <Characters>14357</Characters>
  <Lines>119</Lines>
  <Paragraphs>33</Paragraphs>
  <TotalTime>10</TotalTime>
  <ScaleCrop>false</ScaleCrop>
  <LinksUpToDate>false</LinksUpToDate>
  <CharactersWithSpaces>16842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2025-09-24T05:46:09Z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6641534903824609B20D23AD4FD633DA_13</vt:lpwstr>
  </property>
  <property fmtid="{D5CDD505-2E9C-101B-9397-08002B2CF9AE}" pid="4" name="KSOTemplateDocerSaveRecord">
    <vt:lpwstr>eyJoZGlkIjoiMDUwMjYyMTAwZTM5NTcxOGVhNzI3YWZjMDRhMjZkZDEifQ==</vt:lpwstr>
  </property>
</Properties>
</file>