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ind w:firstLine="44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垫江县规划和自然资源局（本级）</w:t>
      </w:r>
    </w:p>
    <w:p>
      <w:pPr>
        <w:pStyle w:val="9"/>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3" w:firstLineChars="200"/>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420"/>
        <w:rPr>
          <w:rFonts w:hint="default" w:ascii="方正仿宋_GBK" w:hAnsi="仿宋_GB2312" w:eastAsia="方正仿宋_GBK" w:cs="仿宋_GB2312"/>
          <w:sz w:val="32"/>
        </w:rPr>
      </w:pPr>
      <w:r>
        <w:rPr>
          <w:rFonts w:ascii="方正仿宋_GBK" w:hAnsi="仿宋_GB2312" w:eastAsia="方正仿宋_GBK" w:cs="仿宋_GB2312"/>
          <w:sz w:val="32"/>
        </w:rPr>
        <w:t>（一）职能职责。</w:t>
      </w:r>
      <w:r>
        <w:rPr>
          <w:rFonts w:ascii="方正仿宋_GBK" w:hAnsi="仿宋_GB2312" w:eastAsia="方正仿宋_GBK" w:cs="仿宋_GB2312"/>
          <w:kern w:val="2"/>
          <w:sz w:val="32"/>
          <w:szCs w:val="22"/>
        </w:rPr>
        <w:t>履行全民所有土地、矿产、森林、草原、湿地、水等自然资源资产所有者职责和所有空间用途管制职责。负责自然资源调查监测评价。负责自然资源统一确权登记工作。负责自然资源资产有偿使用工作。负责自然资源的合理开发利用。负责建立空间规划体系并监督实施。贯彻执行国土空间用途管制制度和城乡规划政策并监督实施。负责自然资源文化的挖掘、研究、保护和利用工作。承担国土空间生态修复。负责实施最严格的耕地保护制度。管理地质勘查行业和地质工作。负责落实综合防灾减灾规划相关要求，组织编制地质灾害防治规划并实施。负责矿产资源管理工作。负责测绘地理信息管理工作。</w:t>
      </w:r>
      <w:r>
        <w:rPr>
          <w:rFonts w:hint="default" w:ascii="Times New Roman" w:hAnsi="Times New Roman" w:eastAsia="方正仿宋_GBK"/>
          <w:kern w:val="2"/>
          <w:sz w:val="32"/>
          <w:szCs w:val="32"/>
        </w:rPr>
        <w:t>承担自然资源权属调查、自然资源保护和开发利用、空间规划管理（不含规划城镇建设用地范围内的违法建筑执法职责）、测绘地理信息管理等领域的行政执法</w:t>
      </w:r>
      <w:r>
        <w:rPr>
          <w:rFonts w:ascii="Times New Roman" w:hAnsi="Times New Roman" w:eastAsia="方正仿宋_GBK"/>
          <w:kern w:val="2"/>
          <w:sz w:val="32"/>
          <w:szCs w:val="32"/>
        </w:rPr>
        <w:t>。</w:t>
      </w:r>
      <w:r>
        <w:rPr>
          <w:rFonts w:ascii="方正仿宋_GBK" w:hAnsi="仿宋_GB2312" w:eastAsia="方正仿宋_GBK" w:cs="仿宋_GB2312"/>
          <w:kern w:val="2"/>
          <w:sz w:val="32"/>
          <w:szCs w:val="22"/>
        </w:rPr>
        <w:t>完成县委、县政府和重庆市规划和自然资源局交办的其他任务。</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rPr>
      </w:pPr>
      <w:r>
        <w:rPr>
          <w:rFonts w:ascii="方正仿宋_GBK" w:hAnsi="仿宋_GB2312" w:eastAsia="方正仿宋_GBK" w:cs="仿宋_GB2312"/>
          <w:sz w:val="32"/>
        </w:rPr>
        <w:t>（二）机构设置。</w:t>
      </w:r>
      <w:r>
        <w:rPr>
          <w:rFonts w:ascii="方正仿宋_GBK" w:hAnsi="方正仿宋_GBK" w:eastAsia="方正仿宋_GBK" w:cs="方正仿宋_GBK"/>
          <w:kern w:val="2"/>
          <w:sz w:val="32"/>
          <w:szCs w:val="32"/>
        </w:rPr>
        <w:t>垫江县规划和自然资源局内设机构11个，分别是：办公室（审计科）、财务人事科、政策法规科（信访科）</w:t>
      </w:r>
      <w:r>
        <w:rPr>
          <w:rFonts w:ascii="方正仿宋_GBK" w:hAnsi="仿宋_GB2312" w:eastAsia="方正仿宋_GBK" w:cs="仿宋_GB2312"/>
          <w:kern w:val="2"/>
          <w:sz w:val="32"/>
          <w:szCs w:val="22"/>
        </w:rPr>
        <w:t>、</w:t>
      </w:r>
      <w:r>
        <w:rPr>
          <w:rFonts w:hint="default" w:ascii="方正仿宋_GBK" w:hAnsi="仿宋_GB2312" w:eastAsia="方正仿宋_GBK" w:cs="仿宋_GB2312"/>
          <w:kern w:val="2"/>
          <w:sz w:val="32"/>
          <w:szCs w:val="22"/>
        </w:rPr>
        <w:t>自然资源调查登记科</w:t>
      </w:r>
      <w:r>
        <w:rPr>
          <w:rFonts w:ascii="方正仿宋_GBK" w:hAnsi="仿宋_GB2312" w:eastAsia="方正仿宋_GBK" w:cs="仿宋_GB2312"/>
          <w:kern w:val="2"/>
          <w:sz w:val="32"/>
          <w:szCs w:val="22"/>
        </w:rPr>
        <w:t>、国土空间规划科、国土空间</w:t>
      </w:r>
      <w:r>
        <w:rPr>
          <w:rFonts w:hint="default" w:ascii="方正仿宋_GBK" w:hAnsi="仿宋_GB2312" w:eastAsia="方正仿宋_GBK" w:cs="仿宋_GB2312"/>
          <w:kern w:val="2"/>
          <w:sz w:val="32"/>
          <w:szCs w:val="22"/>
        </w:rPr>
        <w:t>用途</w:t>
      </w:r>
      <w:r>
        <w:rPr>
          <w:rFonts w:ascii="方正仿宋_GBK" w:hAnsi="仿宋_GB2312" w:eastAsia="方正仿宋_GBK" w:cs="仿宋_GB2312"/>
          <w:kern w:val="2"/>
          <w:sz w:val="32"/>
          <w:szCs w:val="22"/>
        </w:rPr>
        <w:t>管制科、</w:t>
      </w:r>
      <w:r>
        <w:rPr>
          <w:rFonts w:hint="default" w:ascii="方正仿宋_GBK" w:hAnsi="仿宋_GB2312" w:eastAsia="方正仿宋_GBK" w:cs="仿宋_GB2312"/>
          <w:kern w:val="2"/>
          <w:sz w:val="32"/>
          <w:szCs w:val="22"/>
        </w:rPr>
        <w:t>自然资源权益和利用科</w:t>
      </w:r>
      <w:r>
        <w:rPr>
          <w:rFonts w:ascii="方正仿宋_GBK" w:hAnsi="仿宋_GB2312" w:eastAsia="方正仿宋_GBK" w:cs="仿宋_GB2312"/>
          <w:kern w:val="2"/>
          <w:sz w:val="32"/>
          <w:szCs w:val="22"/>
        </w:rPr>
        <w:t>、耕地保护和生态修复科、</w:t>
      </w:r>
      <w:r>
        <w:rPr>
          <w:rFonts w:hint="default" w:ascii="方正仿宋_GBK" w:hAnsi="仿宋_GB2312" w:eastAsia="方正仿宋_GBK" w:cs="仿宋_GB2312"/>
          <w:kern w:val="2"/>
          <w:sz w:val="32"/>
          <w:szCs w:val="22"/>
        </w:rPr>
        <w:t>建设工程规划科（行政许可服务科）</w:t>
      </w:r>
      <w:r>
        <w:rPr>
          <w:rFonts w:ascii="方正仿宋_GBK" w:hAnsi="仿宋_GB2312" w:eastAsia="方正仿宋_GBK" w:cs="仿宋_GB2312"/>
          <w:kern w:val="2"/>
          <w:sz w:val="32"/>
          <w:szCs w:val="22"/>
        </w:rPr>
        <w:t>、执法督查室、地质矿产科</w:t>
      </w:r>
      <w:r>
        <w:rPr>
          <w:rFonts w:hint="default" w:ascii="方正仿宋_GBK" w:hAnsi="仿宋_GB2312" w:eastAsia="方正仿宋_GBK" w:cs="仿宋_GB2312"/>
          <w:kern w:val="2"/>
          <w:sz w:val="32"/>
          <w:szCs w:val="22"/>
        </w:rPr>
        <w:t>（安全生产科）</w:t>
      </w:r>
      <w:r>
        <w:rPr>
          <w:rFonts w:ascii="方正仿宋_GBK" w:hAnsi="仿宋_GB2312" w:eastAsia="方正仿宋_GBK" w:cs="仿宋_GB2312"/>
          <w:kern w:val="2"/>
          <w:sz w:val="32"/>
          <w:szCs w:val="22"/>
        </w:rPr>
        <w:t>。</w:t>
      </w:r>
    </w:p>
    <w:p>
      <w:pPr>
        <w:pStyle w:val="9"/>
        <w:shd w:val="clear" w:color="auto" w:fill="FFFFFF"/>
        <w:spacing w:before="0" w:beforeAutospacing="0" w:after="0" w:afterAutospacing="0" w:line="596"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二、单位决算收支情况说明</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2024年度收入总计5359.36万元，支出总计</w:t>
      </w:r>
      <w:r>
        <w:rPr>
          <w:rFonts w:ascii="方正仿宋_GBK" w:hAnsi="方正仿宋_GBK" w:eastAsia="方正仿宋_GBK" w:cs="方正仿宋_GBK"/>
          <w:sz w:val="32"/>
          <w:szCs w:val="32"/>
        </w:rPr>
        <w:t>5359.36</w:t>
      </w:r>
      <w:r>
        <w:rPr>
          <w:rFonts w:ascii="方正仿宋_GBK" w:hAnsi="方正仿宋_GBK" w:eastAsia="方正仿宋_GBK" w:cs="方正仿宋_GBK"/>
          <w:sz w:val="32"/>
          <w:szCs w:val="32"/>
          <w:shd w:val="clear" w:color="auto" w:fill="FFFFFF"/>
        </w:rPr>
        <w:t>万元。收、支与2023年度相比，增加2840.06万元，增长112.73%，主要原因是本年增加国债重点自然灾害综合防治体系建设1689万元和其他地质灾害排危及综合治理项目经费等。</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2024年度收入合计4274.88万元，与2023年度相比，增加2782.40万元，增长186.43%，主要原因是本年增加国债重点自然灾害综合防治体系建设1689万元和其他地质灾害排危及综合治理项目经费等。其中：财政拨款收入</w:t>
      </w:r>
      <w:r>
        <w:rPr>
          <w:rFonts w:ascii="方正仿宋_GBK" w:hAnsi="方正仿宋_GBK" w:eastAsia="方正仿宋_GBK" w:cs="方正仿宋_GBK"/>
          <w:sz w:val="32"/>
          <w:szCs w:val="32"/>
        </w:rPr>
        <w:t>4274.88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1084.49</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4716.70</w:t>
      </w:r>
      <w:r>
        <w:rPr>
          <w:rFonts w:ascii="方正仿宋_GBK" w:hAnsi="方正仿宋_GBK" w:eastAsia="方正仿宋_GBK" w:cs="方正仿宋_GBK"/>
          <w:sz w:val="32"/>
          <w:szCs w:val="32"/>
          <w:shd w:val="clear" w:color="auto" w:fill="FFFFFF"/>
        </w:rPr>
        <w:t>万元，与2023年度相比，增加2658.75万元，增长129.19%，主要原因是本年主要增加2023年国债重点自然灾害综合防治体系建设1689万元，2023年重点地质灾害隐患排危治理项目（农村公路养护工程）495.66万元，2024年地质灾害综合治理工程517万元，划拨征地补偿费245万元。其中：基本支出</w:t>
      </w:r>
      <w:r>
        <w:rPr>
          <w:rFonts w:ascii="方正仿宋_GBK" w:hAnsi="方正仿宋_GBK" w:eastAsia="方正仿宋_GBK" w:cs="方正仿宋_GBK"/>
          <w:sz w:val="32"/>
          <w:szCs w:val="32"/>
        </w:rPr>
        <w:t>610.06</w:t>
      </w:r>
      <w:r>
        <w:rPr>
          <w:rFonts w:ascii="方正仿宋_GBK" w:hAnsi="方正仿宋_GBK" w:eastAsia="方正仿宋_GBK" w:cs="方正仿宋_GBK"/>
          <w:sz w:val="32"/>
          <w:szCs w:val="32"/>
          <w:shd w:val="clear" w:color="auto" w:fill="FFFFFF"/>
        </w:rPr>
        <w:t>万元，占12.93%；项目支出</w:t>
      </w:r>
      <w:r>
        <w:rPr>
          <w:rFonts w:ascii="方正仿宋_GBK" w:hAnsi="方正仿宋_GBK" w:eastAsia="方正仿宋_GBK" w:cs="方正仿宋_GBK"/>
          <w:sz w:val="32"/>
          <w:szCs w:val="32"/>
        </w:rPr>
        <w:t>4106.65</w:t>
      </w:r>
      <w:r>
        <w:rPr>
          <w:rFonts w:ascii="方正仿宋_GBK" w:hAnsi="方正仿宋_GBK" w:eastAsia="方正仿宋_GBK" w:cs="方正仿宋_GBK"/>
          <w:sz w:val="32"/>
          <w:szCs w:val="32"/>
          <w:shd w:val="clear" w:color="auto" w:fill="FFFFFF"/>
        </w:rPr>
        <w:t>万元，占87.07%；经营支出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642.66</w:t>
      </w:r>
      <w:r>
        <w:rPr>
          <w:rFonts w:ascii="方正仿宋_GBK" w:hAnsi="方正仿宋_GBK" w:eastAsia="方正仿宋_GBK" w:cs="方正仿宋_GBK"/>
          <w:sz w:val="32"/>
          <w:szCs w:val="32"/>
          <w:shd w:val="clear" w:color="auto" w:fill="FFFFFF"/>
        </w:rPr>
        <w:t>万元，与2023年度相比，增加181.32万元，增长39.30%，主要原因是本年增加征地补偿工作项目资金181.32万元。</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4368.76万元。与2023年相比，财政拨款收、支总计各增加2862.83万元，增长190.10%。主要原因是本年增加国债重点自然灾害综合防治体系建设1689万元和其他地质灾害排危及综合治理项目经费等。</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3907.86</w:t>
      </w:r>
      <w:r>
        <w:rPr>
          <w:rFonts w:ascii="方正仿宋_GBK" w:hAnsi="方正仿宋_GBK" w:eastAsia="方正仿宋_GBK" w:cs="方正仿宋_GBK"/>
          <w:sz w:val="32"/>
          <w:szCs w:val="32"/>
          <w:shd w:val="clear" w:color="auto" w:fill="FFFFFF"/>
        </w:rPr>
        <w:t>万元，与2023年度相比，增加2556.86万元，增长189.26%。较年初预算数增加2692.02万元，增长221.41%。主要原因是本年增加国债重点自然灾害综合防治体系建设1689万元和其他地质灾害排危及综合治理项目经费等。此外，年初财政拨款结转和结余</w:t>
      </w:r>
      <w:r>
        <w:rPr>
          <w:rFonts w:ascii="方正仿宋_GBK" w:hAnsi="方正仿宋_GBK" w:eastAsia="方正仿宋_GBK" w:cs="方正仿宋_GBK"/>
          <w:sz w:val="32"/>
          <w:szCs w:val="32"/>
        </w:rPr>
        <w:t>93.88</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4001.74</w:t>
      </w:r>
      <w:r>
        <w:rPr>
          <w:rFonts w:ascii="方正仿宋_GBK" w:hAnsi="方正仿宋_GBK" w:eastAsia="方正仿宋_GBK" w:cs="方正仿宋_GBK"/>
          <w:sz w:val="32"/>
          <w:szCs w:val="32"/>
          <w:shd w:val="clear" w:color="auto" w:fill="FFFFFF"/>
        </w:rPr>
        <w:t>万元，与2023年度相比，增加2637.29万元，增长193.29%。较年初预算数增加2785.90万元，增长229.13%。主要原因是本年增加国债重点自然灾害综合防治体系建设1689万元和其他地质灾害排危及综合治理项目经费等。</w:t>
      </w:r>
    </w:p>
    <w:p>
      <w:pPr>
        <w:pStyle w:val="9"/>
        <w:spacing w:before="0" w:beforeAutospacing="0" w:after="0" w:afterAutospacing="0" w:line="596" w:lineRule="exact"/>
        <w:ind w:firstLine="643" w:firstLineChars="200"/>
        <w:rPr>
          <w:rFonts w:hint="default" w:ascii="方正仿宋_GBK" w:hAnsi="方正仿宋_GBK" w:eastAsia="方正仿宋_GBK" w:cs="方正仿宋_GBK"/>
          <w:kern w:val="2"/>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本年度无结转结余</w:t>
      </w:r>
      <w:r>
        <w:rPr>
          <w:rFonts w:ascii="方正仿宋_GBK" w:hAnsi="方正仿宋_GBK" w:eastAsia="方正仿宋_GBK" w:cs="方正仿宋_GBK"/>
          <w:kern w:val="2"/>
          <w:sz w:val="32"/>
          <w:szCs w:val="32"/>
        </w:rPr>
        <w:t>。</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9"/>
        <w:snapToGrid w:val="0"/>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val="en-US" w:eastAsia="zh-CN"/>
        </w:rPr>
        <w:t>主要原因是</w:t>
      </w:r>
      <w:r>
        <w:rPr>
          <w:rFonts w:ascii="方正仿宋_GBK" w:hAnsi="方正仿宋_GBK" w:eastAsia="方正仿宋_GBK" w:cs="方正仿宋_GBK"/>
          <w:sz w:val="32"/>
          <w:szCs w:val="32"/>
          <w:shd w:val="clear" w:color="auto" w:fill="FFFFFF"/>
        </w:rPr>
        <w:t>严格</w:t>
      </w:r>
      <w:r>
        <w:rPr>
          <w:rFonts w:hint="default" w:ascii="方正仿宋_GBK" w:hAnsi="方正仿宋_GBK" w:eastAsia="方正仿宋_GBK" w:cs="方正仿宋_GBK"/>
          <w:sz w:val="32"/>
          <w:szCs w:val="32"/>
          <w:shd w:val="clear" w:color="auto" w:fill="FFFFFF"/>
        </w:rPr>
        <w:t>执行预算</w:t>
      </w:r>
      <w:r>
        <w:rPr>
          <w:rFonts w:ascii="方正仿宋_GBK" w:hAnsi="方正仿宋_GBK" w:eastAsia="方正仿宋_GBK" w:cs="方正仿宋_GBK"/>
          <w:sz w:val="32"/>
          <w:szCs w:val="32"/>
        </w:rPr>
        <w:t>。</w:t>
      </w:r>
    </w:p>
    <w:p>
      <w:pPr>
        <w:autoSpaceDE w:val="0"/>
        <w:spacing w:line="596" w:lineRule="exact"/>
        <w:ind w:firstLine="640" w:firstLineChars="200"/>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114.53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2.86</w:t>
      </w:r>
      <w:r>
        <w:rPr>
          <w:rFonts w:ascii="方正仿宋_GBK" w:hAnsi="方正仿宋_GBK" w:eastAsia="方正仿宋_GBK" w:cs="方正仿宋_GBK"/>
          <w:sz w:val="32"/>
          <w:szCs w:val="32"/>
          <w:shd w:val="clear" w:color="auto" w:fill="FFFFFF"/>
        </w:rPr>
        <w:t>%，较年初预算数增加7.84万元，增长7.35%，主要原因是</w:t>
      </w:r>
      <w:r>
        <w:rPr>
          <w:rFonts w:ascii="方正仿宋_GBK" w:hAnsi="方正仿宋_GBK" w:eastAsia="方正仿宋_GBK" w:cs="方正仿宋_GBK"/>
          <w:kern w:val="2"/>
          <w:sz w:val="32"/>
          <w:szCs w:val="32"/>
        </w:rPr>
        <w:t>人员增加及工资正常晋升</w:t>
      </w:r>
      <w:r>
        <w:rPr>
          <w:rFonts w:ascii="方正仿宋_GBK" w:hAnsi="方正仿宋_GBK" w:eastAsia="方正仿宋_GBK" w:cs="方正仿宋_GBK"/>
          <w:sz w:val="32"/>
          <w:szCs w:val="32"/>
        </w:rPr>
        <w:t>标准调整，养老保险、职业年金等标准提高增加。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20.62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0.52</w:t>
      </w:r>
      <w:r>
        <w:rPr>
          <w:rFonts w:ascii="方正仿宋_GBK" w:hAnsi="方正仿宋_GBK" w:eastAsia="方正仿宋_GBK" w:cs="方正仿宋_GBK"/>
          <w:sz w:val="32"/>
          <w:szCs w:val="32"/>
          <w:shd w:val="clear" w:color="auto" w:fill="FFFFFF"/>
        </w:rPr>
        <w:t>%，较年初预算数无增减，主要原因是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严格按照预算执行。</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（4）城乡社区支出</w:t>
      </w:r>
      <w:r>
        <w:rPr>
          <w:rFonts w:ascii="方正仿宋_GBK" w:hAnsi="方正仿宋_GBK" w:eastAsia="方正仿宋_GBK" w:cs="方正仿宋_GBK"/>
          <w:sz w:val="32"/>
          <w:szCs w:val="32"/>
        </w:rPr>
        <w:t>192.28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4.80</w:t>
      </w:r>
      <w:r>
        <w:rPr>
          <w:rFonts w:ascii="方正仿宋_GBK" w:hAnsi="方正仿宋_GBK" w:eastAsia="方正仿宋_GBK" w:cs="方正仿宋_GBK"/>
          <w:sz w:val="32"/>
          <w:szCs w:val="32"/>
          <w:shd w:val="clear" w:color="auto" w:fill="FFFFFF"/>
        </w:rPr>
        <w:t>%，较年初预算数减少4.09万元，下降2.08%，主要原因是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城乡规划等项目经费减少。</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自然资源海洋气象等支出966.06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24.14</w:t>
      </w:r>
      <w:r>
        <w:rPr>
          <w:rFonts w:ascii="方正仿宋_GBK" w:hAnsi="方正仿宋_GBK" w:eastAsia="方正仿宋_GBK" w:cs="方正仿宋_GBK"/>
          <w:sz w:val="32"/>
          <w:szCs w:val="32"/>
          <w:shd w:val="clear" w:color="auto" w:fill="FFFFFF"/>
        </w:rPr>
        <w:t>%，较年初预算数增加102.69万元，增长11.89%，主要原因是增加城</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乡规划方案设计等项目经费</w:t>
      </w:r>
      <w:r>
        <w:rPr>
          <w:rFonts w:ascii="方正仿宋_GBK" w:hAnsi="方正仿宋_GBK" w:eastAsia="方正仿宋_GBK" w:cs="方正仿宋_GBK"/>
          <w:sz w:val="32"/>
          <w:szCs w:val="32"/>
          <w:shd w:val="clear" w:color="auto" w:fill="FFFFFF"/>
        </w:rPr>
        <w:t>和</w:t>
      </w:r>
      <w:r>
        <w:rPr>
          <w:rFonts w:ascii="方正仿宋_GBK" w:hAnsi="方正仿宋_GBK" w:eastAsia="方正仿宋_GBK" w:cs="方正仿宋_GBK"/>
          <w:sz w:val="32"/>
          <w:szCs w:val="32"/>
        </w:rPr>
        <w:t>人员工资正常晋升标准提高。</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住房保障支出28.00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0.70</w:t>
      </w:r>
      <w:r>
        <w:rPr>
          <w:rFonts w:ascii="方正仿宋_GBK" w:hAnsi="方正仿宋_GBK" w:eastAsia="方正仿宋_GBK" w:cs="方正仿宋_GBK"/>
          <w:sz w:val="32"/>
          <w:szCs w:val="32"/>
          <w:shd w:val="clear" w:color="auto" w:fill="FFFFFF"/>
        </w:rPr>
        <w:t>%，较年初预算数增加0.37万元，增长1.34%，主要原因是</w:t>
      </w:r>
      <w:r>
        <w:rPr>
          <w:rFonts w:ascii="方正仿宋_GBK" w:hAnsi="方正仿宋_GBK" w:eastAsia="方正仿宋_GBK" w:cs="方正仿宋_GBK"/>
          <w:sz w:val="32"/>
          <w:szCs w:val="32"/>
        </w:rPr>
        <w:t>人员工资正常晋升和统筹标准提高。</w:t>
      </w:r>
    </w:p>
    <w:p>
      <w:pPr>
        <w:spacing w:line="596"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灾害防治及应急管理支出2679.09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66.95</w:t>
      </w:r>
      <w:r>
        <w:rPr>
          <w:rFonts w:ascii="方正仿宋_GBK" w:hAnsi="方正仿宋_GBK" w:eastAsia="方正仿宋_GBK" w:cs="方正仿宋_GBK"/>
          <w:sz w:val="32"/>
          <w:szCs w:val="32"/>
          <w:shd w:val="clear" w:color="auto" w:fill="FFFFFF"/>
        </w:rPr>
        <w:t>%，较年初预算数增加2679.09万元，增长100.00%，主要原因是本年主要增加2023年国债重点自然灾害综合防治体系建设1689万元，2023年重点地质灾害隐患排危治理项目（农村公路养护工程）495.66万元，2024年地质灾害综合治理工程517万元。</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500.49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427.05</w:t>
      </w:r>
      <w:r>
        <w:rPr>
          <w:rFonts w:ascii="方正仿宋_GBK" w:hAnsi="方正仿宋_GBK" w:eastAsia="方正仿宋_GBK" w:cs="方正仿宋_GBK"/>
          <w:sz w:val="32"/>
          <w:szCs w:val="32"/>
          <w:shd w:val="clear" w:color="auto" w:fill="FFFFFF"/>
        </w:rPr>
        <w:t>万元，与2023年度相比，减少84.69万元，下降16.55%，主要原因是本年减少2023年补发以前年度考核奖25.50万元、支付职工抚恤金52.79万元及人员减少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基本工资、津贴补贴、奖金、社会保障缴费、绩效工资、退休费、住房公积金、医疗费等。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73.44</w:t>
      </w:r>
      <w:r>
        <w:rPr>
          <w:rFonts w:ascii="方正仿宋_GBK" w:hAnsi="方正仿宋_GBK" w:eastAsia="方正仿宋_GBK" w:cs="方正仿宋_GBK"/>
          <w:sz w:val="32"/>
          <w:szCs w:val="32"/>
          <w:shd w:val="clear" w:color="auto" w:fill="FFFFFF"/>
        </w:rPr>
        <w:t>万元，与2023年度相比，增加5.95万元，增长8.82%，主要原因是本年人员增加，对应的公用经费费用就有所增加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办公费、印刷费、咨询费、手续费、水电费、电话费、差旅费、会议费、培训费、公务用车运行维护费、其他交通费用等。</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367.02</w:t>
      </w:r>
      <w:r>
        <w:rPr>
          <w:rFonts w:ascii="方正仿宋_GBK" w:hAnsi="方正仿宋_GBK" w:eastAsia="方正仿宋_GBK" w:cs="方正仿宋_GBK"/>
          <w:sz w:val="32"/>
          <w:szCs w:val="32"/>
          <w:shd w:val="clear" w:color="auto" w:fill="FFFFFF"/>
        </w:rPr>
        <w:t>万元，与2023年度相比，增加225.55万元，增长159.43%，主要原因是本年</w:t>
      </w:r>
      <w:r>
        <w:rPr>
          <w:rFonts w:hint="default" w:ascii="方正仿宋_GBK" w:hAnsi="方正仿宋_GBK" w:eastAsia="方正仿宋_GBK" w:cs="方正仿宋_GBK"/>
          <w:sz w:val="32"/>
          <w:szCs w:val="32"/>
          <w:shd w:val="clear" w:color="auto" w:fill="FFFFFF"/>
        </w:rPr>
        <w:t>增加划拨征地补偿费</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367.02</w:t>
      </w:r>
      <w:r>
        <w:rPr>
          <w:rFonts w:ascii="方正仿宋_GBK" w:hAnsi="方正仿宋_GBK" w:eastAsia="方正仿宋_GBK" w:cs="方正仿宋_GBK"/>
          <w:sz w:val="32"/>
          <w:szCs w:val="32"/>
          <w:shd w:val="clear" w:color="auto" w:fill="FFFFFF"/>
        </w:rPr>
        <w:t>万元，与2023年度相比，增加225.55万元，增长159.43%，主要原因是本年</w:t>
      </w:r>
      <w:r>
        <w:rPr>
          <w:rFonts w:hint="default" w:ascii="方正仿宋_GBK" w:hAnsi="方正仿宋_GBK" w:eastAsia="方正仿宋_GBK" w:cs="方正仿宋_GBK"/>
          <w:sz w:val="32"/>
          <w:szCs w:val="32"/>
          <w:shd w:val="clear" w:color="auto" w:fill="FFFFFF"/>
        </w:rPr>
        <w:t>增加划拨征地补偿费</w:t>
      </w:r>
      <w:r>
        <w:rPr>
          <w:rFonts w:ascii="方正仿宋_GBK" w:hAnsi="方正仿宋_GBK" w:eastAsia="方正仿宋_GBK" w:cs="方正仿宋_GBK"/>
          <w:sz w:val="32"/>
          <w:szCs w:val="32"/>
          <w:shd w:val="clear" w:color="auto" w:fill="FFFFFF"/>
        </w:rPr>
        <w:t>。</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9"/>
        <w:shd w:val="clear" w:color="auto" w:fill="FFFFFF"/>
        <w:spacing w:before="0" w:beforeAutospacing="0" w:after="0" w:afterAutospacing="0" w:line="596"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10.16</w:t>
      </w:r>
      <w:r>
        <w:rPr>
          <w:rFonts w:ascii="方正仿宋_GBK" w:hAnsi="方正仿宋_GBK" w:eastAsia="方正仿宋_GBK" w:cs="方正仿宋_GBK"/>
          <w:sz w:val="32"/>
          <w:szCs w:val="32"/>
          <w:shd w:val="clear" w:color="auto" w:fill="FFFFFF"/>
        </w:rPr>
        <w:t>万元，较年初预算数减少0.03万元，下降0.29%，主要原因是认</w:t>
      </w:r>
      <w:r>
        <w:rPr>
          <w:rFonts w:ascii="方正仿宋_GBK" w:hAnsi="方正仿宋_GBK" w:eastAsia="方正仿宋_GBK" w:cs="方正仿宋_GBK"/>
          <w:sz w:val="32"/>
          <w:szCs w:val="32"/>
        </w:rPr>
        <w:t>真</w:t>
      </w:r>
      <w:r>
        <w:rPr>
          <w:rFonts w:hint="eastAsia" w:ascii="方正仿宋_GBK" w:hAnsi="方正仿宋_GBK" w:eastAsia="方正仿宋_GBK" w:cs="方正仿宋_GBK"/>
          <w:sz w:val="32"/>
          <w:szCs w:val="32"/>
          <w:lang w:eastAsia="zh-CN"/>
        </w:rPr>
        <w:t>贯彻落实中央</w:t>
      </w:r>
      <w:bookmarkStart w:id="0" w:name="_GoBack"/>
      <w:bookmarkEnd w:id="0"/>
      <w:r>
        <w:rPr>
          <w:rFonts w:hint="eastAsia" w:ascii="方正仿宋_GBK" w:hAnsi="方正仿宋_GBK" w:eastAsia="方正仿宋_GBK" w:cs="方正仿宋_GBK"/>
          <w:sz w:val="32"/>
          <w:szCs w:val="32"/>
          <w:lang w:eastAsia="zh-CN"/>
        </w:rPr>
        <w:t>八项规定</w:t>
      </w:r>
      <w:r>
        <w:rPr>
          <w:rFonts w:ascii="方正仿宋_GBK" w:hAnsi="方正仿宋_GBK" w:eastAsia="方正仿宋_GBK" w:cs="方正仿宋_GBK"/>
          <w:sz w:val="32"/>
          <w:szCs w:val="32"/>
        </w:rPr>
        <w:t>精神和厉行节约要求，按照只减不增的要求从严控制三公经费，全年实际支出较预算有所下降。</w:t>
      </w:r>
      <w:r>
        <w:rPr>
          <w:rFonts w:ascii="方正仿宋_GBK" w:hAnsi="方正仿宋_GBK" w:eastAsia="方正仿宋_GBK" w:cs="方正仿宋_GBK"/>
          <w:sz w:val="32"/>
          <w:szCs w:val="32"/>
          <w:shd w:val="clear" w:color="auto" w:fill="FFFFFF"/>
        </w:rPr>
        <w:t>较上年支出数减少0.83万元，下降7.55%，主要原因是认</w:t>
      </w:r>
      <w:r>
        <w:rPr>
          <w:rFonts w:ascii="方正仿宋_GBK" w:hAnsi="方正仿宋_GBK" w:eastAsia="方正仿宋_GBK" w:cs="方正仿宋_GBK"/>
          <w:sz w:val="32"/>
          <w:szCs w:val="32"/>
        </w:rPr>
        <w:t>真</w:t>
      </w:r>
      <w:r>
        <w:rPr>
          <w:rFonts w:hint="eastAsia" w:ascii="方正仿宋_GBK" w:hAnsi="方正仿宋_GBK" w:eastAsia="方正仿宋_GBK" w:cs="方正仿宋_GBK"/>
          <w:sz w:val="32"/>
          <w:szCs w:val="32"/>
          <w:lang w:eastAsia="zh-CN"/>
        </w:rPr>
        <w:t>贯彻落实中央八项规定</w:t>
      </w:r>
      <w:r>
        <w:rPr>
          <w:rFonts w:ascii="方正仿宋_GBK" w:hAnsi="方正仿宋_GBK" w:eastAsia="方正仿宋_GBK" w:cs="方正仿宋_GBK"/>
          <w:sz w:val="32"/>
          <w:szCs w:val="32"/>
        </w:rPr>
        <w:t>精神和厉行节约要求，按照只减不增的要求从严控制三公经费，全年实际支出较预算有所下降。</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综合行政执法、机要文件交换、市内因公出行、各乡镇业务检查等工作所需车辆的燃料费、维修费、过桥过路费、保险费等。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费用支出较年初预算数无增减，</w:t>
      </w:r>
      <w:r>
        <w:rPr>
          <w:rFonts w:ascii="方正仿宋_GBK" w:hAnsi="方正仿宋_GBK" w:eastAsia="方正仿宋_GBK" w:cs="方正仿宋_GBK"/>
          <w:sz w:val="32"/>
          <w:szCs w:val="32"/>
        </w:rPr>
        <w:t>主要原因</w:t>
      </w:r>
      <w:r>
        <w:rPr>
          <w:rFonts w:hint="default" w:ascii="方正仿宋_GBK" w:hAnsi="方正仿宋_GBK" w:eastAsia="方正仿宋_GBK" w:cs="方正仿宋_GBK"/>
          <w:sz w:val="32"/>
          <w:szCs w:val="32"/>
        </w:rPr>
        <w:t>是严格执行预算</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较上年支出数减少0.05万元，下降0.62%，主要原因是</w:t>
      </w:r>
      <w:r>
        <w:rPr>
          <w:rFonts w:ascii="方正仿宋_GBK" w:hAnsi="方正仿宋_GBK" w:eastAsia="方正仿宋_GBK" w:cs="方正仿宋_GBK"/>
          <w:sz w:val="32"/>
          <w:szCs w:val="32"/>
        </w:rPr>
        <w:t>严格落实公车使用规定，严禁公车私用，厉行节约，降低公车运行维护费。</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2.16</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rPr>
        <w:t>招商引资、市局和相关部门检查指导工作发生的接待支出。</w:t>
      </w:r>
      <w:r>
        <w:rPr>
          <w:rFonts w:ascii="方正仿宋_GBK" w:hAnsi="方正仿宋_GBK" w:eastAsia="方正仿宋_GBK" w:cs="方正仿宋_GBK"/>
          <w:sz w:val="32"/>
          <w:szCs w:val="32"/>
          <w:shd w:val="clear" w:color="auto" w:fill="FFFFFF"/>
        </w:rPr>
        <w:t>费用支出较年初预算数减少0.03万元，下降1.37%，主要原因是</w:t>
      </w:r>
      <w:r>
        <w:rPr>
          <w:rFonts w:ascii="方正仿宋_GBK" w:hAnsi="方正仿宋_GBK" w:eastAsia="方正仿宋_GBK" w:cs="方正仿宋_GBK"/>
          <w:sz w:val="32"/>
          <w:szCs w:val="32"/>
        </w:rPr>
        <w:t>认真贯彻落实中央八项规定精神和厉行节约要求，严格遵守公务接待开支范围和开支标准，严格控制陪餐人数，减少公务接待费用。</w:t>
      </w:r>
      <w:r>
        <w:rPr>
          <w:rFonts w:ascii="方正仿宋_GBK" w:hAnsi="方正仿宋_GBK" w:eastAsia="方正仿宋_GBK" w:cs="方正仿宋_GBK"/>
          <w:sz w:val="32"/>
          <w:szCs w:val="32"/>
          <w:shd w:val="clear" w:color="auto" w:fill="FFFFFF"/>
        </w:rPr>
        <w:t>较上年支出数减少0.78万元，下降26.53%，主要原因是</w:t>
      </w:r>
      <w:r>
        <w:rPr>
          <w:rFonts w:ascii="方正仿宋_GBK" w:hAnsi="方正仿宋_GBK" w:eastAsia="方正仿宋_GBK" w:cs="方正仿宋_GBK"/>
          <w:sz w:val="32"/>
          <w:szCs w:val="32"/>
        </w:rPr>
        <w:t>认真贯彻落实中央八项规定精神和厉行节约要求，严格遵守公务接待开支范围和开支标准，严格控制陪餐人数，减少公务接待费用。</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280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76.99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万元，与2023年度相比，减少0.31万元，下降62.00%，主要原因是</w:t>
      </w:r>
      <w:r>
        <w:rPr>
          <w:rFonts w:hint="default" w:ascii="方正仿宋_GBK" w:hAnsi="方正仿宋_GBK" w:eastAsia="方正仿宋_GBK" w:cs="方正仿宋_GBK"/>
          <w:sz w:val="32"/>
          <w:szCs w:val="32"/>
          <w:shd w:val="clear" w:color="auto" w:fill="FFFFFF"/>
        </w:rPr>
        <w:t>本年减少规委会会议费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1.20</w:t>
      </w:r>
      <w:r>
        <w:rPr>
          <w:rFonts w:ascii="方正仿宋_GBK" w:hAnsi="方正仿宋_GBK" w:eastAsia="方正仿宋_GBK" w:cs="方正仿宋_GBK"/>
          <w:sz w:val="32"/>
          <w:szCs w:val="32"/>
          <w:shd w:val="clear" w:color="auto" w:fill="FFFFFF"/>
        </w:rPr>
        <w:t>万元，与2023年度相比，增加0.84万元，增长233.33%，主要原因是</w:t>
      </w:r>
      <w:r>
        <w:rPr>
          <w:rFonts w:hint="default" w:ascii="方正仿宋_GBK" w:hAnsi="方正仿宋_GBK" w:eastAsia="方正仿宋_GBK" w:cs="方正仿宋_GBK"/>
          <w:sz w:val="32"/>
          <w:szCs w:val="32"/>
          <w:shd w:val="clear" w:color="auto" w:fill="FFFFFF"/>
        </w:rPr>
        <w:t>本年增加新录入公务员培训费</w:t>
      </w:r>
      <w:r>
        <w:rPr>
          <w:rFonts w:ascii="方正仿宋_GBK" w:hAnsi="方正仿宋_GBK" w:eastAsia="方正仿宋_GBK" w:cs="方正仿宋_GBK"/>
          <w:sz w:val="32"/>
          <w:szCs w:val="32"/>
          <w:shd w:val="clear" w:color="auto" w:fill="FFFFFF"/>
        </w:rPr>
        <w:t>。</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73.44</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办公费、邮电费、差旅费、水电费、会议费、培训费、公务接待费、公务车运行维护费、其他交通费用等。</w:t>
      </w:r>
      <w:r>
        <w:rPr>
          <w:rFonts w:ascii="方正仿宋_GBK" w:hAnsi="方正仿宋_GBK" w:eastAsia="方正仿宋_GBK" w:cs="方正仿宋_GBK"/>
          <w:sz w:val="32"/>
          <w:szCs w:val="32"/>
          <w:shd w:val="clear" w:color="auto" w:fill="FFFFFF"/>
        </w:rPr>
        <w:t>机关运行经费较上年支出数增加5.95万元，增长8.82%，主要原</w:t>
      </w:r>
      <w:r>
        <w:rPr>
          <w:rFonts w:ascii="方正仿宋_GBK" w:hAnsi="方正仿宋_GBK" w:eastAsia="方正仿宋_GBK" w:cs="方正仿宋_GBK"/>
          <w:color w:val="000000" w:themeColor="text1"/>
          <w:sz w:val="32"/>
          <w:szCs w:val="32"/>
          <w14:textFill>
            <w14:solidFill>
              <w14:schemeClr w14:val="tx1"/>
            </w14:solidFill>
          </w14:textFill>
        </w:rPr>
        <w:t>因是本年增加两人，</w:t>
      </w:r>
      <w:r>
        <w:rPr>
          <w:rFonts w:ascii="方正仿宋_GBK" w:hAnsi="方正仿宋_GBK" w:eastAsia="方正仿宋_GBK" w:cs="方正仿宋_GBK"/>
          <w:sz w:val="32"/>
          <w:szCs w:val="32"/>
          <w:shd w:val="clear" w:color="auto" w:fill="FFFFFF"/>
        </w:rPr>
        <w:t>对应的公用经费费用就有所增加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74.80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74.80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购地质灾害防治技术服务费。</w:t>
      </w:r>
    </w:p>
    <w:p>
      <w:pPr>
        <w:pStyle w:val="9"/>
        <w:shd w:val="clear" w:color="auto" w:fill="FFFFFF"/>
        <w:spacing w:before="0" w:beforeAutospacing="0" w:after="0" w:afterAutospacing="0" w:line="596"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五、2024年度预算绩效管理情况说明</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4"/>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rPr>
        <w:t>根据预算绩效管理要求，我单位对27个二级项目开展了绩效自评，</w:t>
      </w:r>
      <w:r>
        <w:rPr>
          <w:rFonts w:hint="eastAsia" w:ascii="方正仿宋_GBK" w:hAnsi="方正仿宋_GBK" w:eastAsia="方正仿宋_GBK" w:cs="方正仿宋_GBK"/>
          <w:sz w:val="32"/>
          <w:szCs w:val="32"/>
          <w:shd w:val="clear" w:color="auto" w:fill="FFFFFF"/>
          <w:lang w:bidi="ar"/>
        </w:rPr>
        <w:t>涉及财政拨款项目支出资金3868.26万元。</w:t>
      </w:r>
    </w:p>
    <w:p>
      <w:pPr>
        <w:pStyle w:val="14"/>
        <w:autoSpaceDE w:val="0"/>
        <w:spacing w:before="0" w:beforeAutospacing="0" w:after="0" w:afterAutospacing="0" w:line="596" w:lineRule="exact"/>
        <w:ind w:firstLine="640" w:firstLineChars="20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rPr>
        <w:t>绩效自评项目表格</w:t>
      </w:r>
    </w:p>
    <w:p>
      <w:pPr>
        <w:pStyle w:val="13"/>
        <w:autoSpaceDE w:val="0"/>
        <w:ind w:firstLine="643"/>
        <w:rPr>
          <w:rFonts w:ascii="楷体" w:hAnsi="楷体" w:eastAsia="楷体" w:cs="楷体"/>
          <w:b/>
          <w:bCs/>
          <w:sz w:val="32"/>
          <w:szCs w:val="32"/>
          <w:shd w:val="clear" w:color="auto" w:fill="FFFFFF"/>
        </w:rPr>
      </w:pPr>
    </w:p>
    <w:tbl>
      <w:tblPr>
        <w:tblStyle w:val="10"/>
        <w:tblW w:w="9120" w:type="dxa"/>
        <w:tblInd w:w="0" w:type="dxa"/>
        <w:tblLayout w:type="autofit"/>
        <w:tblCellMar>
          <w:top w:w="0" w:type="dxa"/>
          <w:left w:w="0" w:type="dxa"/>
          <w:bottom w:w="0" w:type="dxa"/>
          <w:right w:w="0" w:type="dxa"/>
        </w:tblCellMar>
      </w:tblPr>
      <w:tblGrid>
        <w:gridCol w:w="1928"/>
        <w:gridCol w:w="616"/>
        <w:gridCol w:w="561"/>
        <w:gridCol w:w="741"/>
        <w:gridCol w:w="914"/>
        <w:gridCol w:w="837"/>
        <w:gridCol w:w="773"/>
        <w:gridCol w:w="573"/>
        <w:gridCol w:w="575"/>
        <w:gridCol w:w="796"/>
        <w:gridCol w:w="806"/>
      </w:tblGrid>
      <w:tr>
        <w:tblPrEx>
          <w:tblCellMar>
            <w:top w:w="0" w:type="dxa"/>
            <w:left w:w="0" w:type="dxa"/>
            <w:bottom w:w="0" w:type="dxa"/>
            <w:right w:w="0" w:type="dxa"/>
          </w:tblCellMar>
        </w:tblPrEx>
        <w:trPr>
          <w:trHeight w:val="800" w:hRule="atLeast"/>
        </w:trPr>
        <w:tc>
          <w:tcPr>
            <w:tcW w:w="9120" w:type="dxa"/>
            <w:gridSpan w:val="11"/>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32"/>
                <w:szCs w:val="32"/>
              </w:rPr>
            </w:pPr>
            <w:r>
              <w:rPr>
                <w:rFonts w:ascii="微软雅黑" w:hAnsi="微软雅黑" w:eastAsia="微软雅黑" w:cs="微软雅黑"/>
                <w:b/>
                <w:color w:val="000000"/>
                <w:sz w:val="32"/>
                <w:szCs w:val="32"/>
                <w:lang w:bidi="ar"/>
              </w:rPr>
              <w:t>2024年度二级项目绩效自评表</w:t>
            </w:r>
          </w:p>
        </w:tc>
      </w:tr>
      <w:tr>
        <w:tblPrEx>
          <w:tblCellMar>
            <w:top w:w="0" w:type="dxa"/>
            <w:left w:w="0" w:type="dxa"/>
            <w:bottom w:w="0" w:type="dxa"/>
            <w:right w:w="0" w:type="dxa"/>
          </w:tblCellMar>
        </w:tblPrEx>
        <w:trPr>
          <w:trHeight w:val="500" w:hRule="atLeast"/>
        </w:trPr>
        <w:tc>
          <w:tcPr>
            <w:tcW w:w="91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0" w:type="dxa"/>
            <w:left w:w="0" w:type="dxa"/>
            <w:bottom w:w="0" w:type="dxa"/>
            <w:right w:w="0" w:type="dxa"/>
          </w:tblCellMar>
        </w:tblPrEx>
        <w:trPr>
          <w:trHeight w:val="72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项目名称：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耕地保护和生态修复相关技术服务</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项目编码：</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50023124T000004151641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自评总分：</w:t>
            </w: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98.40</w:t>
            </w:r>
          </w:p>
        </w:tc>
      </w:tr>
      <w:tr>
        <w:tblPrEx>
          <w:tblCellMar>
            <w:top w:w="0" w:type="dxa"/>
            <w:left w:w="0" w:type="dxa"/>
            <w:bottom w:w="0" w:type="dxa"/>
            <w:right w:w="0" w:type="dxa"/>
          </w:tblCellMar>
        </w:tblPrEx>
        <w:trPr>
          <w:trHeight w:val="64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项目主管部门：</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209-垫江县规划和自然资源局</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财政归口处室：</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005-经建科</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部门联系人：</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2"/>
                <w:szCs w:val="22"/>
              </w:rPr>
            </w:pPr>
            <w:r>
              <w:rPr>
                <w:rFonts w:cs="宋体"/>
                <w:color w:val="000000"/>
                <w:sz w:val="22"/>
                <w:szCs w:val="22"/>
                <w:lang w:bidi="ar"/>
              </w:rPr>
              <w:t>朱建波</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联系电话：</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eastAsia="宋体" w:cs="宋体"/>
                <w:color w:val="000000"/>
                <w:sz w:val="16"/>
                <w:szCs w:val="16"/>
                <w:lang w:val="en-US" w:eastAsia="zh-CN"/>
              </w:rPr>
            </w:pPr>
            <w:r>
              <w:rPr>
                <w:rFonts w:hint="eastAsia" w:cs="宋体"/>
                <w:color w:val="000000"/>
                <w:sz w:val="16"/>
                <w:szCs w:val="16"/>
                <w:lang w:val="en-US" w:eastAsia="zh-CN"/>
              </w:rPr>
              <w:t>74684700</w:t>
            </w:r>
          </w:p>
        </w:tc>
      </w:tr>
      <w:tr>
        <w:tblPrEx>
          <w:tblCellMar>
            <w:top w:w="0" w:type="dxa"/>
            <w:left w:w="0" w:type="dxa"/>
            <w:bottom w:w="0" w:type="dxa"/>
            <w:right w:w="0" w:type="dxa"/>
          </w:tblCellMar>
        </w:tblPrEx>
        <w:trPr>
          <w:trHeight w:val="600" w:hRule="atLeast"/>
        </w:trPr>
        <w:tc>
          <w:tcPr>
            <w:tcW w:w="91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0" w:type="dxa"/>
            <w:left w:w="0" w:type="dxa"/>
            <w:bottom w:w="0" w:type="dxa"/>
            <w:right w:w="0" w:type="dxa"/>
          </w:tblCellMar>
        </w:tblPrEx>
        <w:trPr>
          <w:trHeight w:val="500"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2"/>
                <w:szCs w:val="22"/>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年初预算数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全年（调整）预算数</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全年执行数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执行率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执行率权重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执行率得分</w:t>
            </w:r>
          </w:p>
        </w:tc>
      </w:tr>
      <w:tr>
        <w:tblPrEx>
          <w:tblCellMar>
            <w:top w:w="0" w:type="dxa"/>
            <w:left w:w="0" w:type="dxa"/>
            <w:bottom w:w="0" w:type="dxa"/>
            <w:right w:w="0" w:type="dxa"/>
          </w:tblCellMar>
        </w:tblPrEx>
        <w:trPr>
          <w:trHeight w:val="437"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8"/>
                <w:szCs w:val="18"/>
              </w:rPr>
            </w:pPr>
            <w:r>
              <w:rPr>
                <w:rFonts w:cs="宋体"/>
                <w:color w:val="000000"/>
                <w:sz w:val="18"/>
                <w:szCs w:val="18"/>
                <w:lang w:bidi="ar"/>
              </w:rPr>
              <w:t>年度总金额</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1200000.00 </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1569000.00 </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1569000.00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16"/>
                <w:szCs w:val="16"/>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16"/>
                <w:szCs w:val="16"/>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16"/>
                <w:szCs w:val="16"/>
              </w:rPr>
            </w:pPr>
          </w:p>
        </w:tc>
      </w:tr>
      <w:tr>
        <w:tblPrEx>
          <w:tblCellMar>
            <w:top w:w="0" w:type="dxa"/>
            <w:left w:w="0" w:type="dxa"/>
            <w:bottom w:w="0" w:type="dxa"/>
            <w:right w:w="0" w:type="dxa"/>
          </w:tblCellMar>
        </w:tblPrEx>
        <w:trPr>
          <w:trHeight w:val="420"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8"/>
                <w:szCs w:val="18"/>
              </w:rPr>
            </w:pPr>
            <w:r>
              <w:rPr>
                <w:rFonts w:cs="宋体"/>
                <w:color w:val="000000"/>
                <w:sz w:val="18"/>
                <w:szCs w:val="18"/>
                <w:lang w:bidi="ar"/>
              </w:rPr>
              <w:t>其中：财政拨款</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1200000.00 </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1569000.00 </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1569000.00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16"/>
                <w:szCs w:val="16"/>
              </w:rPr>
            </w:pPr>
            <w:r>
              <w:rPr>
                <w:rFonts w:cs="宋体"/>
                <w:color w:val="000000"/>
                <w:sz w:val="16"/>
                <w:szCs w:val="16"/>
                <w:lang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10.00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16"/>
                <w:szCs w:val="16"/>
              </w:rPr>
            </w:pPr>
            <w:r>
              <w:rPr>
                <w:rFonts w:cs="宋体"/>
                <w:color w:val="000000"/>
                <w:sz w:val="16"/>
                <w:szCs w:val="16"/>
                <w:lang w:bidi="ar"/>
              </w:rPr>
              <w:t xml:space="preserve">10.00 </w:t>
            </w:r>
          </w:p>
        </w:tc>
      </w:tr>
      <w:tr>
        <w:tblPrEx>
          <w:tblCellMar>
            <w:top w:w="0" w:type="dxa"/>
            <w:left w:w="0" w:type="dxa"/>
            <w:bottom w:w="0" w:type="dxa"/>
            <w:right w:w="0" w:type="dxa"/>
          </w:tblCellMar>
        </w:tblPrEx>
        <w:trPr>
          <w:trHeight w:val="419"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8"/>
                <w:szCs w:val="18"/>
              </w:rPr>
            </w:pPr>
            <w:r>
              <w:rPr>
                <w:rFonts w:cs="宋体"/>
                <w:color w:val="000000"/>
                <w:sz w:val="18"/>
                <w:szCs w:val="18"/>
                <w:lang w:bidi="ar"/>
              </w:rPr>
              <w:t>一般公共预算</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1200000.00 </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1569000.00 </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1569000.00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16"/>
                <w:szCs w:val="16"/>
              </w:rPr>
            </w:pPr>
            <w:r>
              <w:rPr>
                <w:rFonts w:cs="宋体"/>
                <w:color w:val="000000"/>
                <w:sz w:val="16"/>
                <w:szCs w:val="16"/>
                <w:lang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16"/>
                <w:szCs w:val="16"/>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16"/>
                <w:szCs w:val="16"/>
              </w:rPr>
            </w:pPr>
          </w:p>
        </w:tc>
      </w:tr>
      <w:tr>
        <w:tblPrEx>
          <w:tblCellMar>
            <w:top w:w="0" w:type="dxa"/>
            <w:left w:w="0" w:type="dxa"/>
            <w:bottom w:w="0" w:type="dxa"/>
            <w:right w:w="0" w:type="dxa"/>
          </w:tblCellMar>
        </w:tblPrEx>
        <w:trPr>
          <w:trHeight w:val="418" w:hRule="atLeast"/>
        </w:trPr>
        <w:tc>
          <w:tcPr>
            <w:tcW w:w="91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0" w:type="dxa"/>
            <w:left w:w="0" w:type="dxa"/>
            <w:bottom w:w="0" w:type="dxa"/>
            <w:right w:w="0" w:type="dxa"/>
          </w:tblCellMar>
        </w:tblPrEx>
        <w:trPr>
          <w:trHeight w:val="500" w:hRule="atLeast"/>
        </w:trPr>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年初绩效目标</w:t>
            </w:r>
          </w:p>
        </w:tc>
        <w:tc>
          <w:tcPr>
            <w:tcW w:w="29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全年（调整）绩效目标</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全年目标实际完成情况</w:t>
            </w:r>
          </w:p>
        </w:tc>
      </w:tr>
      <w:tr>
        <w:tblPrEx>
          <w:tblCellMar>
            <w:top w:w="0" w:type="dxa"/>
            <w:left w:w="0" w:type="dxa"/>
            <w:bottom w:w="0" w:type="dxa"/>
            <w:right w:w="0" w:type="dxa"/>
          </w:tblCellMar>
        </w:tblPrEx>
        <w:trPr>
          <w:trHeight w:val="1600" w:hRule="atLeast"/>
        </w:trPr>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220" w:lineRule="exact"/>
              <w:textAlignment w:val="top"/>
              <w:rPr>
                <w:rFonts w:hint="default" w:cs="宋体"/>
                <w:color w:val="000000"/>
                <w:sz w:val="16"/>
                <w:szCs w:val="16"/>
              </w:rPr>
            </w:pPr>
            <w:r>
              <w:rPr>
                <w:rFonts w:cs="宋体"/>
                <w:color w:val="000000"/>
                <w:sz w:val="16"/>
                <w:szCs w:val="16"/>
                <w:lang w:bidi="ar"/>
              </w:rPr>
              <w:t>根据自然资源部、市规资局工作要求，开展耕地监督保护，确保我县永久性基本农田保护面积不减少、质量不降低；避免耕地非农化、非粮化，落实最严格的耕地保护制度，确保县域内耕地流出、流入年度平衡</w:t>
            </w:r>
          </w:p>
        </w:tc>
        <w:tc>
          <w:tcPr>
            <w:tcW w:w="29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220" w:lineRule="exact"/>
              <w:textAlignment w:val="top"/>
              <w:rPr>
                <w:rFonts w:hint="default" w:cs="宋体"/>
                <w:color w:val="000000"/>
                <w:sz w:val="16"/>
                <w:szCs w:val="16"/>
              </w:rPr>
            </w:pPr>
            <w:r>
              <w:rPr>
                <w:rFonts w:cs="宋体"/>
                <w:color w:val="000000"/>
                <w:sz w:val="16"/>
                <w:szCs w:val="16"/>
                <w:lang w:bidi="ar"/>
              </w:rPr>
              <w:t>根据自然资源部、市规资局工作要求，开展耕地监督保护，确保我县永久性基本农田保护面积不减少、质量不降低；避免耕地非农化、非粮化，落实最严格的耕地保护制度，确保县域内耕地流出、流入年度平衡</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220" w:lineRule="exact"/>
              <w:textAlignment w:val="top"/>
              <w:rPr>
                <w:rFonts w:hint="default" w:cs="宋体"/>
                <w:color w:val="000000"/>
                <w:sz w:val="16"/>
                <w:szCs w:val="16"/>
              </w:rPr>
            </w:pPr>
            <w:r>
              <w:rPr>
                <w:rFonts w:cs="宋体"/>
                <w:color w:val="000000"/>
                <w:sz w:val="16"/>
                <w:szCs w:val="16"/>
                <w:lang w:bidi="ar"/>
              </w:rPr>
              <w:t>根据自然资源部、市规资局工作要求，开展耕地监督保护，确保我县永久性基本农田保护面积不减少、质量不降低；避免耕地非农化、非粮化，落实最严格的耕地保护制度，确保县域内耕地流出、流入年度平衡</w:t>
            </w:r>
          </w:p>
        </w:tc>
      </w:tr>
      <w:tr>
        <w:tblPrEx>
          <w:tblCellMar>
            <w:top w:w="0" w:type="dxa"/>
            <w:left w:w="0" w:type="dxa"/>
            <w:bottom w:w="0" w:type="dxa"/>
            <w:right w:w="0" w:type="dxa"/>
          </w:tblCellMar>
        </w:tblPrEx>
        <w:trPr>
          <w:trHeight w:val="600" w:hRule="atLeast"/>
        </w:trPr>
        <w:tc>
          <w:tcPr>
            <w:tcW w:w="91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指标名称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计量单位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指标值</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全年完成值</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偏离度（%）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得分系数（%）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指标权重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指标得分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是否核心指标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说明</w:t>
            </w: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耕地保护总量</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万亩</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103.7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105.1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1.35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完成矿山生态修复面积</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公顷</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3.06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6.4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永久基本农田保护面积</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万亩</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89.2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89.58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0.43</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442"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落实耕地保护政策合格率</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及时完成上级下发目标任务及时率</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确保县域可长期稳定利用的耕地不减少，质量不降低，实现耕地“进出平衡”，永久基本农田面积不减少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16"/>
                <w:szCs w:val="16"/>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是</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436"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受益人群满意度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95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5.26</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编制经费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万元</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160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156.9</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1.94</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bl>
    <w:p>
      <w:pPr>
        <w:pStyle w:val="13"/>
        <w:autoSpaceDE w:val="0"/>
        <w:spacing w:line="240" w:lineRule="exact"/>
        <w:ind w:firstLine="0" w:firstLineChars="0"/>
        <w:rPr>
          <w:rFonts w:ascii="楷体" w:hAnsi="楷体" w:eastAsia="楷体" w:cs="楷体"/>
          <w:b/>
          <w:bCs/>
          <w:sz w:val="32"/>
          <w:szCs w:val="32"/>
          <w:shd w:val="clear" w:color="auto" w:fill="FFFFFF"/>
        </w:rPr>
      </w:pP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3"/>
        <w:autoSpaceDE w:val="0"/>
        <w:spacing w:line="596" w:lineRule="exact"/>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3"/>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3"/>
        <w:shd w:val="clear" w:color="auto" w:fill="FFFFFF" w:themeFill="background1"/>
        <w:autoSpaceDE w:val="0"/>
        <w:spacing w:line="596"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9"/>
        <w:shd w:val="clear" w:color="auto" w:fill="FFFFFF"/>
        <w:spacing w:before="0" w:beforeAutospacing="0" w:after="0" w:afterAutospacing="0" w:line="596"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六、专业名词解释</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shd w:val="clear" w:color="auto" w:fill="FFFFFF"/>
        <w:spacing w:before="0" w:beforeAutospacing="0" w:after="0" w:afterAutospacing="0" w:line="596" w:lineRule="exact"/>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pPr>
        <w:pStyle w:val="13"/>
        <w:autoSpaceDE w:val="0"/>
        <w:spacing w:line="596" w:lineRule="exact"/>
        <w:ind w:firstLine="640"/>
        <w:rPr>
          <w:rStyle w:val="12"/>
          <w:rFonts w:ascii="方正仿宋_GBK" w:hAnsi="方正仿宋_GBK" w:eastAsia="方正仿宋_GBK" w:cs="方正仿宋_GBK"/>
          <w:sz w:val="32"/>
          <w:szCs w:val="32"/>
          <w:shd w:val="clear" w:color="auto" w:fill="FFFF00"/>
        </w:rPr>
        <w:sectPr>
          <w:footerReference r:id="rId5" w:type="first"/>
          <w:footerReference r:id="rId3" w:type="default"/>
          <w:footerReference r:id="rId4" w:type="even"/>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02374684685。</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垫江县规划和自然资源局（本级）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3,907.86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367.02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2,679.09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4,274.88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4,716.70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1,084.49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5,359.36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5,359.36</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autofit"/>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垫江县规划和自然资源局（本级）</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4,274.88</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4,274.88</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106.51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106.51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城乡社区规划与管理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城乡社区规划与管理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192.28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192.28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367.02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367.02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880.28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880.28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880.28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880.28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自然资源规划及管理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自然资源调查与确权登记</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2200129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基础测绘与地理信息监管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2,679.09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2,679.09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2,679.09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2,679.09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2,199.90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2,199.90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479.19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479.19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autofit"/>
        <w:tblCellMar>
          <w:top w:w="0" w:type="dxa"/>
          <w:left w:w="0" w:type="dxa"/>
          <w:bottom w:w="0" w:type="dxa"/>
          <w:right w:w="0" w:type="dxa"/>
        </w:tblCellMar>
      </w:tblPr>
      <w:tblGrid>
        <w:gridCol w:w="1637"/>
        <w:gridCol w:w="3630"/>
        <w:gridCol w:w="1637"/>
        <w:gridCol w:w="1686"/>
        <w:gridCol w:w="1619"/>
        <w:gridCol w:w="1552"/>
        <w:gridCol w:w="1687"/>
        <w:gridCol w:w="1930"/>
      </w:tblGrid>
      <w:tr>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垫江县规划和自然资源局（本级）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4,716.70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610.06</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4,106.65</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114.53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114.24</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19.13</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城乡社区规划与管理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城乡社区规划与管理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192.28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192.28</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367.02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367.02</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268.02</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1,314.00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446.03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867.97</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1,314.00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446.03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867.97</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17.81</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自然资源规划及管理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144.44</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199.96</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199.96</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自然资源调查与确权登记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237.77</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2200129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基础测绘与地理信息监管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347.95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238.38</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2,679.09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2,679.09</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2,679.09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2,679.09</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2,199.90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2,199.90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479.19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479.19</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垫江县规划和自然资源局（本级）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3,907.86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367.02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367.02</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2,679.09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2,679.09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4,274.88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4,368.76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4,001.74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367.02</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4,368.76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4,368.76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4,001.74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367.02</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垫江县规划和自然资源局（本级）</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4,001.74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500.49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3,501.24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114.53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19.13</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城乡社区规划与管理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城乡社区规划与管理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192.28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966.06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336.47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629.59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966.06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336.47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629.59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自然资源规划及管理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199.96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199.96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自然资源调查与确权登记</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2200129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基础测绘与地理信息监管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2,679.09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2,679.09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2,679.09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2,679.09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2,199.90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2,199.90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479.19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479.19</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垫江县规划和自然资源局（本级）</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368.65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113.71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427.05</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594"/>
        <w:gridCol w:w="3630"/>
        <w:gridCol w:w="1659"/>
        <w:gridCol w:w="1659"/>
        <w:gridCol w:w="1659"/>
        <w:gridCol w:w="1660"/>
        <w:gridCol w:w="1725"/>
        <w:gridCol w:w="179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垫江县规划和自然资源局（本级）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367.02</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367.02</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367.02</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367.02</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367.02</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367.02</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367.02</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367.02</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367.02</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268.02</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268.02</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268.02</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99.00</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垫江县规划和自然资源局（本级）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垫江县规划和自然资源局（本级）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73.44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73.44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05"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74.80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74.80</w:t>
            </w:r>
            <w:r>
              <w:rPr>
                <w:rFonts w:ascii="Times New Roman" w:hAnsi="Times New Roman"/>
                <w:color w:val="000000"/>
                <w:sz w:val="18"/>
              </w:rPr>
              <w:t xml:space="preserve"> </w:t>
            </w:r>
          </w:p>
        </w:tc>
      </w:tr>
      <w:tr>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sectPr>
      <w:headerReference r:id="rId6" w:type="default"/>
      <w:footerReference r:id="rId7"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80"/>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left="480"/>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ind w:left="480"/>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8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8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80"/>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left="480"/>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ind w:left="480"/>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ind w:left="480"/>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ind w:left="480"/>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5B186031"/>
    <w:rsid w:val="2E9A2AA1"/>
    <w:rsid w:val="5B18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00" w:afterAutospacing="1"/>
    </w:pPr>
    <w:rPr>
      <w:rFonts w:cs="宋体"/>
    </w:rPr>
  </w:style>
  <w:style w:type="paragraph" w:styleId="3">
    <w:name w:val="Body Text Indent"/>
    <w:basedOn w:val="1"/>
    <w:qFormat/>
    <w:uiPriority w:val="0"/>
    <w:pPr>
      <w:snapToGrid w:val="0"/>
      <w:spacing w:after="120"/>
      <w:ind w:left="420" w:leftChars="200"/>
    </w:pPr>
    <w:rPr>
      <w:rFonts w:eastAsia="仿宋_GB2312"/>
      <w:sz w:val="32"/>
    </w:rPr>
  </w:style>
  <w:style w:type="paragraph" w:styleId="4">
    <w:name w:val="footer"/>
    <w:basedOn w:val="5"/>
    <w:next w:val="6"/>
    <w:qFormat/>
    <w:uiPriority w:val="0"/>
    <w:pPr>
      <w:tabs>
        <w:tab w:val="center" w:pos="4153"/>
        <w:tab w:val="right" w:pos="8306"/>
      </w:tabs>
    </w:pPr>
  </w:style>
  <w:style w:type="paragraph" w:customStyle="1" w:styleId="5">
    <w:name w:val="正文1"/>
    <w:basedOn w:val="3"/>
    <w:autoRedefine/>
    <w:qFormat/>
    <w:uiPriority w:val="0"/>
    <w:pPr>
      <w:spacing w:line="500" w:lineRule="exact"/>
    </w:pPr>
    <w:rPr>
      <w:rFonts w:ascii="仿宋_GB2312"/>
      <w:color w:val="0000FF"/>
      <w:sz w:val="18"/>
      <w:szCs w:val="18"/>
    </w:rPr>
  </w:style>
  <w:style w:type="paragraph" w:customStyle="1" w:styleId="6">
    <w:name w:val="报告正文"/>
    <w:basedOn w:val="7"/>
    <w:autoRedefine/>
    <w:qFormat/>
    <w:uiPriority w:val="0"/>
    <w:pPr>
      <w:spacing w:line="500" w:lineRule="exact"/>
      <w:ind w:firstLine="520"/>
    </w:pPr>
    <w:rPr>
      <w:color w:val="000000"/>
      <w:spacing w:val="10"/>
      <w:szCs w:val="20"/>
    </w:rPr>
  </w:style>
  <w:style w:type="paragraph" w:styleId="7">
    <w:name w:val="Body Text First Indent"/>
    <w:basedOn w:val="2"/>
    <w:qFormat/>
    <w:uiPriority w:val="0"/>
    <w:pPr>
      <w:ind w:firstLine="420" w:firstLineChars="100"/>
    </w:p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2025-09-24T07:39:00Z</dcterms:created>
  <dc:creator>WPS_1664260647</dc:creator>
  <cp:lastModifiedBy>WPS_1664260647</cp:lastModifiedBy>
  <dcterms:modified xsi:type="dcterms:W3CDTF">2025-09-24T07:40:58Z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49BAF2E544E64398B603A04120A3B9AD_11</vt:lpwstr>
  </property>
</Properties>
</file>