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垫江县经济和信息化委员会（本级）</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pPr>
      <w:r>
        <w:rPr>
          <w:rFonts w:hint="eastAsia" w:ascii="方正小标宋_GBK" w:hAnsi="方正小标宋_GBK" w:eastAsia="方正小标宋_GBK" w:cs="方正小标宋_GBK"/>
          <w:color w:val="000000"/>
          <w:kern w:val="0"/>
          <w:sz w:val="43"/>
          <w:szCs w:val="43"/>
          <w:lang w:val="en-US" w:eastAsia="zh-CN" w:bidi="ar"/>
        </w:rPr>
        <w:t>2023 年度决算公开说明</w:t>
      </w:r>
    </w:p>
    <w:p>
      <w:pPr>
        <w:pStyle w:val="6"/>
        <w:shd w:val="clear" w:color="auto" w:fill="FFFFFF"/>
        <w:spacing w:before="0" w:beforeAutospacing="0" w:after="0" w:afterAutospacing="0" w:line="580" w:lineRule="exact"/>
        <w:ind w:firstLine="640" w:firstLineChars="200"/>
        <w:rPr>
          <w:rStyle w:val="10"/>
          <w:rFonts w:ascii="方正黑体_GBK" w:hAnsi="方正黑体_GBK" w:eastAsia="方正黑体_GBK" w:cs="方正黑体_GBK"/>
          <w:b w:val="0"/>
          <w:bCs/>
          <w:sz w:val="32"/>
          <w:szCs w:val="32"/>
          <w:shd w:val="clear" w:color="auto" w:fill="FFFFFF"/>
        </w:rPr>
      </w:pPr>
    </w:p>
    <w:p>
      <w:pPr>
        <w:pStyle w:val="6"/>
        <w:shd w:val="clear" w:color="auto" w:fill="FFFFFF"/>
        <w:spacing w:before="0" w:beforeAutospacing="0" w:after="0" w:afterAutospacing="0" w:line="580" w:lineRule="exact"/>
        <w:ind w:firstLine="640" w:firstLineChars="200"/>
        <w:rPr>
          <w:rFonts w:hint="default" w:ascii="方正黑体_GBK" w:hAnsi="方正黑体_GBK" w:eastAsia="方正黑体_GBK" w:cs="方正黑体_GBK"/>
          <w:bCs/>
          <w:sz w:val="32"/>
          <w:szCs w:val="32"/>
        </w:rPr>
      </w:pPr>
      <w:r>
        <w:rPr>
          <w:rStyle w:val="10"/>
          <w:rFonts w:ascii="方正黑体_GBK" w:hAnsi="方正黑体_GBK" w:eastAsia="方正黑体_GBK" w:cs="方正黑体_GBK"/>
          <w:b w:val="0"/>
          <w:bCs/>
          <w:sz w:val="32"/>
          <w:szCs w:val="32"/>
          <w:shd w:val="clear" w:color="auto" w:fill="FFFFFF"/>
        </w:rPr>
        <w:t>一、单位基本情况</w:t>
      </w:r>
    </w:p>
    <w:p>
      <w:pPr>
        <w:pStyle w:val="6"/>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（一）职能职责</w:t>
      </w:r>
    </w:p>
    <w:p>
      <w:pPr>
        <w:spacing w:line="58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贯彻执行关于工业和信息化发展的法律、法规、规章和方针政策；2、根据本县国民经济和社会发展总体规划，拟定工业、信息化和生产性服务业的发展专项规划和年度计划并组织实施；3、监测分析工业和信息产业经济运行态势，进行预警预测和信息引导；4、负责拟定年度工业调控目标并贯彻落实；负责电力、天然气、煤炭等重要能源的日常运行调度管理及行政执法，会同县发展改革委编制电力、天然气、煤炭年度平衡计划；5、承担液化天然气、液化石油气和醇基燃料的行业管理和日常安全生产监督管理工作；指导盐行业管理工作；负责全县资源综合利用、节约能源和清洁生产工作行政管理及监督；组织新产品、新技术、新设备、新材料的推广应用和实施重大示范工程；6、负责全县油气管道保护工作；7、负责提出我县工业、信息化固定资产投资规模和方向；8、拟定全县工业技术进步和高新技术产业发展规划；9、宏观管理和指导各种经济成份的工业企业；10、负责全县汽车摩托车、装备、原材料、电子信息、消费品等工业系统行业管理；11、贯彻执行有关中小企业、乡镇企业发展的法律、法规、规章和方针政策； 12、负责信息基础设施建设的规划、协调和管理，协调电信市场涉及社会公共利益的重大事宜；13、牵头承担军民融合发展、大数据应用发展方面的职责；负责拟订智能化相关规划，协调智能化发展中的重大问题；负责推进工业领域信息化发展，推进信息化和工业化融合、工业互联网、物联网、工业信息安全；负责全县软件和信息服务业产业发展和行业管理等职责；负责本县大数据智能化发展领导小组办公室相关职责。</w:t>
      </w:r>
    </w:p>
    <w:p>
      <w:pPr>
        <w:pStyle w:val="6"/>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（二）机构设置</w:t>
      </w:r>
    </w:p>
    <w:p>
      <w:pPr>
        <w:pStyle w:val="13"/>
        <w:shd w:val="clear" w:color="auto" w:fill="FFFFFF"/>
        <w:spacing w:before="0" w:beforeAutospacing="0" w:after="0" w:afterAutospacing="0" w:line="58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垫江县经济和信息化委员会（本级）内设机构7个，分别为办公室、政策法规科、经济运行科、规划产业科、中小企业发展科、大数据运用发展管理科、综合执法科。</w:t>
      </w:r>
    </w:p>
    <w:p>
      <w:pPr>
        <w:pStyle w:val="6"/>
        <w:shd w:val="clear" w:color="auto" w:fill="FFFFFF"/>
        <w:spacing w:before="0" w:beforeAutospacing="0" w:after="0" w:afterAutospacing="0" w:line="58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二、部门决算情况说明</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（一）收入支出决算总体情况说明。</w:t>
      </w:r>
    </w:p>
    <w:p>
      <w:pPr>
        <w:pStyle w:val="6"/>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2023年度收入总计24168.39万元，支出总计</w:t>
      </w:r>
      <w:r>
        <w:rPr>
          <w:rFonts w:ascii="方正仿宋_GBK" w:hAnsi="方正仿宋_GBK" w:eastAsia="方正仿宋_GBK" w:cs="方正仿宋_GBK"/>
          <w:sz w:val="32"/>
          <w:szCs w:val="32"/>
        </w:rPr>
        <w:t>24168.39</w:t>
      </w:r>
      <w:r>
        <w:rPr>
          <w:rFonts w:ascii="方正仿宋_GBK" w:hAnsi="方正仿宋_GBK" w:eastAsia="方正仿宋_GBK" w:cs="方正仿宋_GBK"/>
          <w:sz w:val="32"/>
          <w:szCs w:val="32"/>
          <w:shd w:val="clear" w:color="auto" w:fill="FFFFFF"/>
        </w:rPr>
        <w:t>万元。收支较上年决算数增加3977.99万元，增长19.70%，主要原因是中央拨入城市燃气管道改造项目经费增加。</w:t>
      </w:r>
    </w:p>
    <w:p>
      <w:pPr>
        <w:pStyle w:val="6"/>
        <w:shd w:val="clear" w:color="auto" w:fill="FFFFFF"/>
        <w:spacing w:before="0" w:beforeAutospacing="0" w:after="0" w:afterAutospacing="0" w:line="58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2023年度收入合计24014.80万元，较上年决算数增加4114.61万元，增长20.68%，主要原因是中央拨入城市燃气管道改造项目经费增加。其中：财政拨款收入</w:t>
      </w:r>
      <w:r>
        <w:rPr>
          <w:rFonts w:ascii="方正仿宋_GBK" w:hAnsi="方正仿宋_GBK" w:eastAsia="方正仿宋_GBK" w:cs="方正仿宋_GBK"/>
          <w:sz w:val="32"/>
          <w:szCs w:val="32"/>
        </w:rPr>
        <w:t>24014.80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153.59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24167.99</w:t>
      </w:r>
      <w:r>
        <w:rPr>
          <w:rFonts w:ascii="方正仿宋_GBK" w:hAnsi="方正仿宋_GBK" w:eastAsia="方正仿宋_GBK" w:cs="方正仿宋_GBK"/>
          <w:sz w:val="32"/>
          <w:szCs w:val="32"/>
          <w:shd w:val="clear" w:color="auto" w:fill="FFFFFF"/>
        </w:rPr>
        <w:t>万元，较上年决算数增加3990.88万元，增长19.78%，主要原因是中央拨入城市燃气管道改造项目经费增加。其中：基本支出</w:t>
      </w:r>
      <w:r>
        <w:rPr>
          <w:rFonts w:ascii="方正仿宋_GBK" w:hAnsi="方正仿宋_GBK" w:eastAsia="方正仿宋_GBK" w:cs="方正仿宋_GBK"/>
          <w:sz w:val="32"/>
          <w:szCs w:val="32"/>
        </w:rPr>
        <w:t>603.82</w:t>
      </w:r>
      <w:r>
        <w:rPr>
          <w:rFonts w:ascii="方正仿宋_GBK" w:hAnsi="方正仿宋_GBK" w:eastAsia="方正仿宋_GBK" w:cs="方正仿宋_GBK"/>
          <w:sz w:val="32"/>
          <w:szCs w:val="32"/>
          <w:shd w:val="clear" w:color="auto" w:fill="FFFFFF"/>
        </w:rPr>
        <w:t>万元，占2.50%；项目支出</w:t>
      </w:r>
      <w:r>
        <w:rPr>
          <w:rFonts w:ascii="方正仿宋_GBK" w:hAnsi="方正仿宋_GBK" w:eastAsia="方正仿宋_GBK" w:cs="方正仿宋_GBK"/>
          <w:sz w:val="32"/>
          <w:szCs w:val="32"/>
        </w:rPr>
        <w:t>23564.17</w:t>
      </w:r>
      <w:r>
        <w:rPr>
          <w:rFonts w:ascii="方正仿宋_GBK" w:hAnsi="方正仿宋_GBK" w:eastAsia="方正仿宋_GBK" w:cs="方正仿宋_GBK"/>
          <w:sz w:val="32"/>
          <w:szCs w:val="32"/>
          <w:shd w:val="clear" w:color="auto" w:fill="FFFFFF"/>
        </w:rPr>
        <w:t>万元，占97.50%；经营支出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0.40</w:t>
      </w:r>
      <w:r>
        <w:rPr>
          <w:rFonts w:ascii="方正仿宋_GBK" w:hAnsi="方正仿宋_GBK" w:eastAsia="方正仿宋_GBK" w:cs="方正仿宋_GBK"/>
          <w:sz w:val="32"/>
          <w:szCs w:val="32"/>
          <w:shd w:val="clear" w:color="auto" w:fill="FFFFFF"/>
        </w:rPr>
        <w:t>万元，较上年决算数减少12.89万元，下降96.99%，主要原因是本年度使用结转结余。</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（二）财政拨款收入支出决算总体情况说明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2023年度财政拨款收、支总计24155.10万元。与2022年相比，财政拨款收、支总计各增加3980.81万元，增长19.73%。主要原因是中央拨入城市燃气管道改造项目经费增加。</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（三）一般公共预算财政拨款收入支出决算情况说明</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24014.80</w:t>
      </w:r>
      <w:r>
        <w:rPr>
          <w:rFonts w:ascii="方正仿宋_GBK" w:hAnsi="方正仿宋_GBK" w:eastAsia="方正仿宋_GBK" w:cs="方正仿宋_GBK"/>
          <w:sz w:val="32"/>
          <w:szCs w:val="32"/>
          <w:shd w:val="clear" w:color="auto" w:fill="FFFFFF"/>
        </w:rPr>
        <w:t>万元，较上年决算数增加4114.61万元，增长20.68%。主要原因是中央拨入城市燃气管道改造项目经费增加。较年初预算数增加21455.99万元，增长838.51%。主要原因是中央拨入城市燃气管道改造项目经费增加。此外，年初财政拨款结转和结余</w:t>
      </w:r>
      <w:r>
        <w:rPr>
          <w:rFonts w:ascii="方正仿宋_GBK" w:hAnsi="方正仿宋_GBK" w:eastAsia="方正仿宋_GBK" w:cs="方正仿宋_GBK"/>
          <w:sz w:val="32"/>
          <w:szCs w:val="32"/>
        </w:rPr>
        <w:t>140.30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24155.10</w:t>
      </w:r>
      <w:r>
        <w:rPr>
          <w:rFonts w:ascii="方正仿宋_GBK" w:hAnsi="方正仿宋_GBK" w:eastAsia="方正仿宋_GBK" w:cs="方正仿宋_GBK"/>
          <w:sz w:val="32"/>
          <w:szCs w:val="32"/>
          <w:shd w:val="clear" w:color="auto" w:fill="FFFFFF"/>
        </w:rPr>
        <w:t>万元，较上年决算数增加3980.81万元，增长19.73%。主要原因是中央拨入城市燃气管道改造项目经费增加。较年初预算数增加21596.29万元，增长844.00%。主要原因是中央拨入城市燃气管道改造项目经费增加。</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万元，较上年决算数无增减，主要原因是本年度及上年度均无结转结余。</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532.71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%，较年初预算数增加202.58万元，增长61.36%，主要原因</w:t>
      </w:r>
      <w:r>
        <w:rPr>
          <w:rFonts w:ascii="方正仿宋_GBK" w:hAnsi="方正仿宋_GBK" w:eastAsia="方正仿宋_GBK" w:cs="方正仿宋_GBK"/>
          <w:sz w:val="32"/>
          <w:szCs w:val="32"/>
        </w:rPr>
        <w:t>是项目支出增加，如解决单位资金缺口工作经费、办公大楼房屋整修及电梯安装等项目增加。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%，较年初预算数无增减，主要原因是与年初预算一致。</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901.00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3.73</w:t>
      </w:r>
      <w:r>
        <w:rPr>
          <w:rFonts w:ascii="方正仿宋_GBK" w:hAnsi="方正仿宋_GBK" w:eastAsia="方正仿宋_GBK" w:cs="方正仿宋_GBK"/>
          <w:sz w:val="32"/>
          <w:szCs w:val="32"/>
          <w:shd w:val="clear" w:color="auto" w:fill="FFFFFF"/>
        </w:rPr>
        <w:t>%，较年初预算数增加901.00万元，增长100.00%，主要原因是市级拨入工业和信息化资金。</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316.05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%，较年初预算数增加67.70万元，增长27.26%，主要原因是人员增加、</w:t>
      </w:r>
      <w:r>
        <w:rPr>
          <w:rFonts w:ascii="方正仿宋_GBK" w:hAnsi="方正仿宋_GBK" w:eastAsia="方正仿宋_GBK" w:cs="方正仿宋_GBK"/>
          <w:sz w:val="32"/>
          <w:szCs w:val="32"/>
        </w:rPr>
        <w:t>退休职工死亡抚恤金、企业“三类”人员困难补助、退休人员健康休养费增加。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11.36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%，较年初预算数增加1.51万元，增长15.33%，主要原因是人员增加。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（6）节能环保支出</w:t>
      </w:r>
      <w:r>
        <w:rPr>
          <w:rFonts w:ascii="方正仿宋_GBK" w:hAnsi="方正仿宋_GBK" w:eastAsia="方正仿宋_GBK" w:cs="方正仿宋_GBK"/>
          <w:sz w:val="32"/>
          <w:szCs w:val="32"/>
        </w:rPr>
        <w:t>800.00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%，较年初预算数增加800.00万元，增长100.00%，主要原因是中央拨入污染治理和节能减碳专项项目经费增加。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（7）资源勘探信息等支出</w:t>
      </w:r>
      <w:r>
        <w:rPr>
          <w:rFonts w:ascii="方正仿宋_GBK" w:hAnsi="方正仿宋_GBK" w:eastAsia="方正仿宋_GBK" w:cs="方正仿宋_GBK"/>
          <w:sz w:val="32"/>
          <w:szCs w:val="32"/>
        </w:rPr>
        <w:t>1670.45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6.92</w:t>
      </w:r>
      <w:r>
        <w:rPr>
          <w:rFonts w:ascii="方正仿宋_GBK" w:hAnsi="方正仿宋_GBK" w:eastAsia="方正仿宋_GBK" w:cs="方正仿宋_GBK"/>
          <w:sz w:val="32"/>
          <w:szCs w:val="32"/>
          <w:shd w:val="clear" w:color="auto" w:fill="FFFFFF"/>
        </w:rPr>
        <w:t>%，较年初预算数减少279.55万元，下降14.34%，主要原因是市级拨入工业和信息化资金因就更科目导致较年初预算减少。</w:t>
      </w:r>
    </w:p>
    <w:p>
      <w:pPr>
        <w:pStyle w:val="6"/>
        <w:shd w:val="clear" w:color="auto" w:fill="FFFFFF"/>
        <w:spacing w:before="0" w:beforeAutospacing="0" w:after="0" w:afterAutospacing="0" w:line="58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rPr>
        <w:t>住房保障支出</w:t>
      </w:r>
      <w:r>
        <w:rPr>
          <w:rFonts w:ascii="方正仿宋_GBK" w:hAnsi="方正仿宋_GBK" w:eastAsia="方正仿宋_GBK" w:cs="方正仿宋_GBK"/>
          <w:color w:val="auto"/>
          <w:sz w:val="32"/>
          <w:szCs w:val="32"/>
        </w:rPr>
        <w:t>19922.70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82.48</w:t>
      </w:r>
      <w:r>
        <w:rPr>
          <w:rFonts w:ascii="方正仿宋_GBK" w:hAnsi="方正仿宋_GBK" w:eastAsia="方正仿宋_GBK" w:cs="方正仿宋_GBK"/>
          <w:color w:val="auto"/>
          <w:sz w:val="32"/>
          <w:szCs w:val="32"/>
          <w:shd w:val="clear" w:color="auto" w:fill="FFFFFF"/>
        </w:rPr>
        <w:t>%，较年初预算数增加19903.04万元，增长101236.22%，</w:t>
      </w:r>
      <w:r>
        <w:rPr>
          <w:rFonts w:ascii="方正仿宋_GBK" w:hAnsi="方正仿宋_GBK" w:eastAsia="方正仿宋_GBK" w:cs="方正仿宋_GBK"/>
          <w:sz w:val="32"/>
          <w:szCs w:val="32"/>
          <w:shd w:val="clear" w:color="auto" w:fill="FFFFFF"/>
        </w:rPr>
        <w:t>主要原因是中央拨入城市燃气管道改造项目经费增加。</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（四）一般公共预算财政拨款基本支出决算情况说明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590.93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528.57</w:t>
      </w:r>
      <w:r>
        <w:rPr>
          <w:rFonts w:ascii="方正仿宋_GBK" w:hAnsi="方正仿宋_GBK" w:eastAsia="方正仿宋_GBK" w:cs="方正仿宋_GBK"/>
          <w:sz w:val="32"/>
          <w:szCs w:val="32"/>
          <w:shd w:val="clear" w:color="auto" w:fill="FFFFFF"/>
        </w:rPr>
        <w:t>万元，较上年决算数减少105.80万元，下降16.68%，主要原因是</w:t>
      </w:r>
      <w:r>
        <w:rPr>
          <w:rFonts w:ascii="方正仿宋_GBK" w:hAnsi="方正仿宋_GBK" w:eastAsia="方正仿宋_GBK" w:cs="方正仿宋_GBK"/>
          <w:sz w:val="32"/>
          <w:szCs w:val="32"/>
        </w:rPr>
        <w:t>公务员考核、</w:t>
      </w:r>
      <w:r>
        <w:rPr>
          <w:rFonts w:ascii="方正仿宋_GBK" w:hAnsi="方正仿宋_GBK" w:eastAsia="方正仿宋_GBK" w:cs="方正仿宋_GBK"/>
          <w:sz w:val="32"/>
          <w:szCs w:val="32"/>
          <w:shd w:val="clear" w:color="auto" w:fill="FFFFFF"/>
        </w:rPr>
        <w:t>退休人员健康休养费、退休职工死亡抚恤金减少。人员经费用途主要包括基本工资、津贴补贴、奖金、社会保障缴费、住房公积金、其他工资福利支出等。公用经费</w:t>
      </w:r>
      <w:r>
        <w:rPr>
          <w:rFonts w:ascii="方正仿宋_GBK" w:hAnsi="方正仿宋_GBK" w:eastAsia="方正仿宋_GBK" w:cs="方正仿宋_GBK"/>
          <w:sz w:val="32"/>
          <w:szCs w:val="32"/>
        </w:rPr>
        <w:t>62.36</w:t>
      </w:r>
      <w:r>
        <w:rPr>
          <w:rFonts w:ascii="方正仿宋_GBK" w:hAnsi="方正仿宋_GBK" w:eastAsia="方正仿宋_GBK" w:cs="方正仿宋_GBK"/>
          <w:sz w:val="32"/>
          <w:szCs w:val="32"/>
          <w:shd w:val="clear" w:color="auto" w:fill="FFFFFF"/>
        </w:rPr>
        <w:t>万元，较上年决算数减少11.42万元，下降15.48%，主要原因是落实过“紧日子”要求，人均公用经费减少。公用经费用途主要包括办公费、印刷费、咨询费、水电费、邮电费、手续费、差旅费、劳务费等。</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（五）政府性基金预算收支决算情况说明</w:t>
      </w:r>
    </w:p>
    <w:p>
      <w:pPr>
        <w:pStyle w:val="12"/>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（六）国有资本经营预算财政拨款支出决算情况说明</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w:t>
      </w:r>
      <w:r>
        <w:rPr>
          <w:rFonts w:hint="eastAsia" w:ascii="方正仿宋_GBK" w:hAnsi="方正仿宋_GBK" w:eastAsia="方正仿宋_GBK" w:cs="方正仿宋_GBK"/>
          <w:sz w:val="32"/>
          <w:szCs w:val="32"/>
          <w:shd w:val="clear" w:color="auto" w:fill="FFFFFF"/>
          <w:lang w:val="en-US" w:eastAsia="zh-CN"/>
        </w:rPr>
        <w:t>款</w:t>
      </w:r>
      <w:r>
        <w:rPr>
          <w:rFonts w:hint="default" w:ascii="方正仿宋_GBK" w:hAnsi="方正仿宋_GBK" w:eastAsia="方正仿宋_GBK" w:cs="方正仿宋_GBK"/>
          <w:sz w:val="32"/>
          <w:szCs w:val="32"/>
          <w:shd w:val="clear" w:color="auto" w:fill="FFFFFF"/>
        </w:rPr>
        <w:t>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bookmarkStart w:id="0" w:name="_GoBack"/>
      <w:bookmarkEnd w:id="0"/>
    </w:p>
    <w:p>
      <w:pPr>
        <w:pStyle w:val="6"/>
        <w:shd w:val="clear" w:color="auto" w:fill="FFFFFF"/>
        <w:spacing w:before="0" w:beforeAutospacing="0" w:after="0" w:afterAutospacing="0" w:line="58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三、“三公”经费情况说明</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xml:space="preserve"> （一）“三公”经费支出总体情况说明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12.49</w:t>
      </w:r>
      <w:r>
        <w:rPr>
          <w:rFonts w:ascii="方正仿宋_GBK" w:hAnsi="方正仿宋_GBK" w:eastAsia="方正仿宋_GBK" w:cs="方正仿宋_GBK"/>
          <w:sz w:val="32"/>
          <w:szCs w:val="32"/>
          <w:shd w:val="clear" w:color="auto" w:fill="FFFFFF"/>
        </w:rPr>
        <w:t>万元，较年初预算数增加2.00万元，增长19.07%，主要原因是年中招商引资公务接待增加。较上年支出数减少0.07万元，下降0.56%，主要原因是</w:t>
      </w:r>
      <w:r>
        <w:rPr>
          <w:rFonts w:ascii="方正仿宋_GBK" w:hAnsi="方正仿宋_GBK" w:eastAsia="方正仿宋_GBK" w:cs="方正仿宋_GBK"/>
          <w:kern w:val="2"/>
          <w:sz w:val="32"/>
          <w:szCs w:val="32"/>
        </w:rPr>
        <w:t>认真贯彻落实中央八项规定精神和厉行节约要求，从严控制“三公”经费。</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（二）“三公”经费分项支出情况</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万元。费用支出较年初预算数无增减，主要原因是本单位2023年度未发生因公出国（境）费用。较上年支出数无增减，主要原因是本单位本年度及上年度均未发生因公出国（境）费用。</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公务车购置费0万元，费用支出较年初预算数无增减，主要原因是本单位2023年度未发生公务车购置费。较上年支出数无增减，主要原因是本单位本年度及上年度均未发生公务车购置费。</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公务用车运行维护费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主要用于机要文件交换、市内因公出行、安全检查等工作所需车辆的燃料费、维修费、过桥过路费、保险费等。费用支出较年初预算数无增减，主要原因是与年初预算一致。较上年支出数增加0.02万元，增长0.40%，主要原因是本年度公车维修费增加。</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7.49</w:t>
      </w:r>
      <w:r>
        <w:rPr>
          <w:rFonts w:ascii="方正仿宋_GBK" w:hAnsi="方正仿宋_GBK" w:eastAsia="方正仿宋_GBK" w:cs="方正仿宋_GBK"/>
          <w:sz w:val="32"/>
          <w:szCs w:val="32"/>
          <w:shd w:val="clear" w:color="auto" w:fill="FFFFFF"/>
        </w:rPr>
        <w:t>万元，主要用于招商引资、接待市内其他区县相关单位到我单位学习调研工作，接受相关部门检查指导工作发生的接待支出。费用支出较年初预算数增加2.00万元，增长36.43%，主要原因是年中招商引资公务接待。较上年支出数减少0.10万元，下降1.32%，主要原因是</w:t>
      </w:r>
      <w:r>
        <w:rPr>
          <w:rFonts w:ascii="方正仿宋_GBK" w:hAnsi="方正仿宋_GBK" w:eastAsia="方正仿宋_GBK" w:cs="方正仿宋_GBK"/>
          <w:kern w:val="2"/>
          <w:sz w:val="32"/>
          <w:szCs w:val="32"/>
        </w:rPr>
        <w:t>认真贯彻落实中央八项规定精神和厉行节约要求，从严控制“三公”经费。</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（三）“三公”经费实物量情况</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96.03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8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w:t>
      </w:r>
      <w:r>
        <w:rPr>
          <w:rFonts w:hint="eastAsia" w:ascii="方正仿宋_GBK" w:hAnsi="方正仿宋_GBK" w:eastAsia="方正仿宋_GBK" w:cs="方正仿宋_GBK"/>
          <w:b/>
          <w:bCs/>
          <w:sz w:val="32"/>
          <w:szCs w:val="32"/>
          <w:shd w:val="clear" w:color="auto" w:fill="FFFFFF"/>
          <w:lang w:bidi="ar"/>
        </w:rPr>
        <w:t>（一）财政拨款会议费和培训费情况说明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万元，较上年决算数减少1.01万元，下降48.79%，主要原因是本年度会议减少。本年度培训费支出</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万元，较上年决算数增加0.72万元，增长83.72%，主要原因是本年度职工</w:t>
      </w:r>
      <w:r>
        <w:rPr>
          <w:rFonts w:hint="eastAsia" w:ascii="方正仿宋_GBK" w:hAnsi="方正仿宋_GBK" w:eastAsia="方正仿宋_GBK" w:cs="方正仿宋_GBK"/>
          <w:sz w:val="32"/>
          <w:szCs w:val="32"/>
          <w:shd w:val="clear" w:color="auto" w:fill="FFFFFF"/>
          <w:lang w:eastAsia="zh-CN"/>
        </w:rPr>
        <w:t>培训</w:t>
      </w:r>
      <w:r>
        <w:rPr>
          <w:rFonts w:ascii="方正仿宋_GBK" w:hAnsi="方正仿宋_GBK" w:eastAsia="方正仿宋_GBK" w:cs="方正仿宋_GBK"/>
          <w:sz w:val="32"/>
          <w:szCs w:val="32"/>
          <w:shd w:val="clear" w:color="auto" w:fill="FFFFFF"/>
        </w:rPr>
        <w:t>增加。</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（二）机关运行经费情况说明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62.36</w:t>
      </w:r>
      <w:r>
        <w:rPr>
          <w:rFonts w:ascii="方正仿宋_GBK" w:hAnsi="方正仿宋_GBK" w:eastAsia="方正仿宋_GBK" w:cs="方正仿宋_GBK"/>
          <w:sz w:val="32"/>
          <w:szCs w:val="32"/>
          <w:shd w:val="clear" w:color="auto" w:fill="FFFFFF"/>
        </w:rPr>
        <w:t>万元，机关运行经费主要用于</w:t>
      </w:r>
      <w:r>
        <w:rPr>
          <w:rFonts w:ascii="方正仿宋_GBK" w:hAnsi="方正仿宋_GBK" w:eastAsia="方正仿宋_GBK" w:cs="方正仿宋_GBK"/>
          <w:kern w:val="2"/>
          <w:sz w:val="32"/>
          <w:szCs w:val="32"/>
          <w:shd w:val="clear" w:color="auto" w:fill="FFFFFF"/>
        </w:rPr>
        <w:t>开支办公费、</w:t>
      </w:r>
      <w:r>
        <w:rPr>
          <w:rFonts w:hint="eastAsia" w:ascii="方正仿宋_GBK" w:hAnsi="方正仿宋_GBK" w:eastAsia="方正仿宋_GBK" w:cs="方正仿宋_GBK"/>
          <w:kern w:val="2"/>
          <w:sz w:val="32"/>
          <w:szCs w:val="32"/>
          <w:shd w:val="clear" w:color="auto" w:fill="FFFFFF"/>
          <w:lang w:eastAsia="zh-CN"/>
        </w:rPr>
        <w:t>公务用车运行维护费</w:t>
      </w:r>
      <w:r>
        <w:rPr>
          <w:rFonts w:ascii="方正仿宋_GBK" w:hAnsi="方正仿宋_GBK" w:eastAsia="方正仿宋_GBK" w:cs="方正仿宋_GBK"/>
          <w:kern w:val="2"/>
          <w:sz w:val="32"/>
          <w:szCs w:val="32"/>
          <w:shd w:val="clear" w:color="auto" w:fill="FFFFFF"/>
        </w:rPr>
        <w:t>、信息网络购置更新费等</w:t>
      </w:r>
      <w:r>
        <w:rPr>
          <w:rFonts w:ascii="方正仿宋_GBK" w:hAnsi="方正仿宋_GBK" w:eastAsia="方正仿宋_GBK" w:cs="方正仿宋_GBK"/>
          <w:sz w:val="32"/>
          <w:szCs w:val="32"/>
          <w:shd w:val="clear" w:color="auto" w:fill="FFFFFF"/>
        </w:rPr>
        <w:t>。机关运行经费较上年支出数减少11.42万元，下降15.48%，主要原因是落实过“紧日子”要求，办公费、差旅费等费用支出减少。</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（三）国有资产占用情况说明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（四）政府采购支出情况说明</w:t>
      </w:r>
    </w:p>
    <w:p>
      <w:pPr>
        <w:pStyle w:val="6"/>
        <w:snapToGrid w:val="0"/>
        <w:spacing w:before="0" w:beforeAutospacing="0" w:after="0" w:afterAutospacing="0" w:line="58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w:t>
      </w:r>
      <w:r>
        <w:rPr>
          <w:rFonts w:ascii="方正仿宋_GBK" w:hAnsi="方正仿宋_GBK" w:eastAsia="方正仿宋_GBK" w:cs="方正仿宋_GBK"/>
          <w:sz w:val="32"/>
          <w:szCs w:val="32"/>
          <w:shd w:val="clear" w:color="auto" w:fill="FFFFFF"/>
        </w:rPr>
        <w:t>单位政府采购支出总额</w:t>
      </w:r>
      <w:r>
        <w:rPr>
          <w:rFonts w:hint="default" w:ascii="方正仿宋_GBK" w:hAnsi="方正仿宋_GBK" w:eastAsia="方正仿宋_GBK" w:cs="方正仿宋_GBK"/>
          <w:sz w:val="32"/>
          <w:szCs w:val="32"/>
          <w:shd w:val="clear" w:color="auto" w:fill="FFFFFF"/>
        </w:rPr>
        <w:t>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shd w:val="clear" w:color="auto" w:fill="FFFFFF"/>
        <w:spacing w:before="0" w:beforeAutospacing="0" w:after="0" w:afterAutospacing="0" w:line="580"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五、预算绩效管理情况说明</w:t>
      </w:r>
    </w:p>
    <w:p>
      <w:pPr>
        <w:pStyle w:val="12"/>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（一）单位自评情况</w:t>
      </w:r>
    </w:p>
    <w:p>
      <w:pPr>
        <w:pStyle w:val="13"/>
        <w:autoSpaceDE w:val="0"/>
        <w:spacing w:before="0" w:beforeAutospacing="0" w:after="0" w:afterAutospacing="0" w:line="58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根据预算绩效管理要求，我单位对19个二级项目开展了绩效自评，涉及财政拨款项目支出资金23564.17万元。</w:t>
      </w:r>
    </w:p>
    <w:tbl>
      <w:tblPr>
        <w:tblStyle w:val="7"/>
        <w:tblW w:w="8336" w:type="dxa"/>
        <w:tblInd w:w="0" w:type="dxa"/>
        <w:tblLayout w:type="fixed"/>
        <w:tblCellMar>
          <w:top w:w="0" w:type="dxa"/>
          <w:left w:w="0" w:type="dxa"/>
          <w:bottom w:w="0" w:type="dxa"/>
          <w:right w:w="0" w:type="dxa"/>
        </w:tblCellMar>
      </w:tblPr>
      <w:tblGrid>
        <w:gridCol w:w="660"/>
        <w:gridCol w:w="437"/>
        <w:gridCol w:w="425"/>
        <w:gridCol w:w="974"/>
        <w:gridCol w:w="1294"/>
        <w:gridCol w:w="800"/>
        <w:gridCol w:w="906"/>
        <w:gridCol w:w="547"/>
        <w:gridCol w:w="747"/>
        <w:gridCol w:w="626"/>
        <w:gridCol w:w="920"/>
      </w:tblGrid>
      <w:tr>
        <w:tblPrEx>
          <w:tblCellMar>
            <w:top w:w="0" w:type="dxa"/>
            <w:left w:w="0" w:type="dxa"/>
            <w:bottom w:w="0" w:type="dxa"/>
            <w:right w:w="0" w:type="dxa"/>
          </w:tblCellMar>
        </w:tblPrEx>
        <w:trPr>
          <w:trHeight w:val="8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bidi="ar"/>
              </w:rPr>
              <w:t>2023年度二级项目绩效自评表</w:t>
            </w:r>
          </w:p>
        </w:tc>
      </w:tr>
      <w:tr>
        <w:tblPrEx>
          <w:tblCellMar>
            <w:top w:w="0" w:type="dxa"/>
            <w:left w:w="0" w:type="dxa"/>
            <w:bottom w:w="0" w:type="dxa"/>
            <w:right w:w="0" w:type="dxa"/>
          </w:tblCellMar>
        </w:tblPrEx>
        <w:trPr>
          <w:trHeight w:val="5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01" w:firstLineChars="100"/>
              <w:jc w:val="right"/>
              <w:textAlignment w:val="center"/>
              <w:rPr>
                <w:rFonts w:hint="default" w:cs="宋体"/>
                <w:b/>
                <w:color w:val="000000"/>
                <w:sz w:val="20"/>
                <w:szCs w:val="20"/>
              </w:rPr>
            </w:pPr>
            <w:r>
              <w:rPr>
                <w:rFonts w:cs="宋体"/>
                <w:b/>
                <w:color w:val="000000"/>
                <w:sz w:val="20"/>
                <w:szCs w:val="20"/>
                <w:lang w:bidi="ar"/>
              </w:rPr>
              <w:t>状态：绩效审核已审</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项目名称：</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工业和信息化专项资金</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项目编码：</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50023122T000002009061</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自评总分：</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b/>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项目主管部门：</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503-垫江县经济和信息化委员会</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财政归口处室：</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008-企业科</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部门联系人：</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唐</w:t>
            </w:r>
            <w:r>
              <w:rPr>
                <w:rFonts w:hint="eastAsia" w:cs="宋体"/>
                <w:color w:val="000000"/>
                <w:sz w:val="20"/>
                <w:szCs w:val="20"/>
                <w:lang w:val="en-US" w:eastAsia="zh-CN" w:bidi="ar"/>
              </w:rPr>
              <w:t>*</w:t>
            </w:r>
            <w:r>
              <w:rPr>
                <w:rFonts w:cs="宋体"/>
                <w:color w:val="000000"/>
                <w:sz w:val="20"/>
                <w:szCs w:val="20"/>
                <w:lang w:bidi="ar"/>
              </w:rPr>
              <w:t xml:space="preserve">通 </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b/>
                <w:color w:val="000000"/>
                <w:sz w:val="20"/>
                <w:szCs w:val="20"/>
              </w:rPr>
            </w:pPr>
            <w:r>
              <w:rPr>
                <w:rFonts w:cs="宋体"/>
                <w:b/>
                <w:color w:val="000000"/>
                <w:sz w:val="20"/>
                <w:szCs w:val="20"/>
                <w:lang w:bidi="ar"/>
              </w:rPr>
              <w:t>联系电话：</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eastAsia="宋体" w:cs="宋体"/>
                <w:color w:val="000000"/>
                <w:sz w:val="20"/>
                <w:szCs w:val="20"/>
                <w:lang w:val="en-US" w:eastAsia="zh-CN"/>
              </w:rPr>
            </w:pPr>
            <w:r>
              <w:rPr>
                <w:rFonts w:hint="eastAsia" w:cs="宋体"/>
                <w:color w:val="000000"/>
                <w:sz w:val="20"/>
                <w:szCs w:val="20"/>
                <w:lang w:val="en-US" w:eastAsia="zh-CN" w:bidi="ar"/>
              </w:rPr>
              <w:t>74512518</w:t>
            </w: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资金情况</w:t>
            </w:r>
          </w:p>
        </w:tc>
      </w:tr>
      <w:tr>
        <w:tblPrEx>
          <w:tblCellMar>
            <w:top w:w="0" w:type="dxa"/>
            <w:left w:w="0" w:type="dxa"/>
            <w:bottom w:w="0" w:type="dxa"/>
            <w:right w:w="0" w:type="dxa"/>
          </w:tblCellMar>
        </w:tblPrEx>
        <w:trPr>
          <w:trHeight w:val="1060"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cs="宋体"/>
                <w:color w:val="000000"/>
                <w:sz w:val="20"/>
                <w:szCs w:val="20"/>
              </w:rPr>
            </w:pP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年初预算数</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全年（调整）预算数</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全年执行数</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b/>
                <w:color w:val="000000"/>
                <w:sz w:val="20"/>
                <w:szCs w:val="20"/>
              </w:rPr>
            </w:pPr>
            <w:r>
              <w:rPr>
                <w:rFonts w:cs="宋体"/>
                <w:b/>
                <w:color w:val="000000"/>
                <w:sz w:val="20"/>
                <w:szCs w:val="20"/>
                <w:lang w:bidi="ar"/>
              </w:rPr>
              <w:t>执行率权重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执行率得分</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年度总金额</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其中：财政拨款</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10.00</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10.00 </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一般公共预算</w:t>
            </w:r>
          </w:p>
        </w:tc>
        <w:tc>
          <w:tcPr>
            <w:tcW w:w="43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97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16,760,000.00 </w:t>
            </w:r>
          </w:p>
        </w:tc>
        <w:tc>
          <w:tcPr>
            <w:tcW w:w="129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80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90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cs="宋体"/>
                <w:color w:val="000000"/>
                <w:sz w:val="20"/>
                <w:szCs w:val="20"/>
              </w:rPr>
            </w:pPr>
          </w:p>
        </w:tc>
        <w:tc>
          <w:tcPr>
            <w:tcW w:w="54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 xml:space="preserve">14,360,000.00 </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绩效目标</w:t>
            </w:r>
          </w:p>
        </w:tc>
      </w:tr>
      <w:tr>
        <w:tblPrEx>
          <w:tblCellMar>
            <w:top w:w="0" w:type="dxa"/>
            <w:left w:w="0" w:type="dxa"/>
            <w:bottom w:w="0" w:type="dxa"/>
            <w:right w:w="0" w:type="dxa"/>
          </w:tblCellMar>
        </w:tblPrEx>
        <w:trPr>
          <w:trHeight w:val="1060" w:hRule="atLeast"/>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年初绩效目标</w:t>
            </w:r>
          </w:p>
        </w:tc>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全年（调整）绩效目标</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全年目标实际完成情况</w:t>
            </w:r>
          </w:p>
        </w:tc>
      </w:tr>
      <w:tr>
        <w:tblPrEx>
          <w:tblCellMar>
            <w:top w:w="0" w:type="dxa"/>
            <w:left w:w="0" w:type="dxa"/>
            <w:bottom w:w="0" w:type="dxa"/>
            <w:right w:w="0" w:type="dxa"/>
          </w:tblCellMar>
        </w:tblPrEx>
        <w:trPr>
          <w:trHeight w:val="2940" w:hRule="atLeast"/>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按照市经济信息委工业和信息化专项资金申报文件，组织辖区符合条件企业及时申报，重点支持智能产业及新兴产业、智能制造、绿色制造、企业技术创新、工业设计、兑现重点政策等领域重点产业、重点行业、重点企业的项目。</w:t>
            </w:r>
          </w:p>
        </w:tc>
        <w:tc>
          <w:tcPr>
            <w:tcW w:w="354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按照市经济信息委工业和信息化专项资金申报文件，组织辖区符合条件企业及时申报，重点支持智能产业及新兴产业、智能制造、绿色制造、企业技术创新、工业设计、兑现重点政策等领域重点产业、重点行业、重点企业的项目。</w:t>
            </w:r>
          </w:p>
        </w:tc>
        <w:tc>
          <w:tcPr>
            <w:tcW w:w="229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cs="宋体"/>
                <w:color w:val="000000"/>
                <w:sz w:val="20"/>
                <w:szCs w:val="20"/>
              </w:rPr>
            </w:pPr>
            <w:r>
              <w:rPr>
                <w:rFonts w:cs="宋体"/>
                <w:color w:val="000000"/>
                <w:sz w:val="20"/>
                <w:szCs w:val="20"/>
                <w:lang w:bidi="ar"/>
              </w:rPr>
              <w:t>充分利用市级专项资金支持金富源余热回收发电项目、天圣制药5G+药品制剂创新应用智能工厂、东部新区管廊监控中心建设项目、任丙科技年产4000吨高纯超细氧化铝节能新材料智能化生产线建设、天圣制药优秀市级企业技术中心补助等项目。</w:t>
            </w:r>
            <w:r>
              <w:rPr>
                <w:rStyle w:val="16"/>
                <w:lang w:bidi="ar"/>
              </w:rPr>
              <w:t xml:space="preserve">  </w:t>
            </w:r>
          </w:p>
        </w:tc>
      </w:tr>
      <w:tr>
        <w:tblPrEx>
          <w:tblCellMar>
            <w:top w:w="0" w:type="dxa"/>
            <w:left w:w="0" w:type="dxa"/>
            <w:bottom w:w="0" w:type="dxa"/>
            <w:right w:w="0" w:type="dxa"/>
          </w:tblCellMar>
        </w:tblPrEx>
        <w:trPr>
          <w:trHeight w:val="106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bidi="ar"/>
              </w:rPr>
              <w:t>绩效指标</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指标名称</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计量单位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指标性质</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指标值</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全年完成值</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偏离度（%）</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得分系数（%）</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指标权重</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指标得分</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是否核心指标</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cs="宋体"/>
                <w:b/>
                <w:color w:val="000000"/>
                <w:sz w:val="20"/>
                <w:szCs w:val="20"/>
              </w:rPr>
            </w:pPr>
            <w:r>
              <w:rPr>
                <w:rFonts w:cs="宋体"/>
                <w:b/>
                <w:color w:val="000000"/>
                <w:sz w:val="20"/>
                <w:szCs w:val="20"/>
                <w:lang w:bidi="ar"/>
              </w:rPr>
              <w:t>说明</w:t>
            </w: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创建市级数字化车间数量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创建市级智能工厂数量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国家两化融合管理体系贯标项目数量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实施节能改造项目数量</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预计解决节能改造项目补助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预计解决数字化车间建设补助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预计解决智能工厂补助</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30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资金拨付及时率</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99</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99</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5.5</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我县企业智能化、绿色化发展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定性</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有效发展</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助推我县企业高质量发展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提升我县企业高质量发展</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50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服务对象满意度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90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r>
        <w:tblPrEx>
          <w:tblCellMar>
            <w:top w:w="0" w:type="dxa"/>
            <w:left w:w="0" w:type="dxa"/>
            <w:bottom w:w="0" w:type="dxa"/>
            <w:right w:w="0" w:type="dxa"/>
          </w:tblCellMar>
        </w:tblPrEx>
        <w:trPr>
          <w:trHeight w:val="10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企业补助成本</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万元</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cs="宋体"/>
                <w:color w:val="000000"/>
                <w:sz w:val="20"/>
                <w:szCs w:val="20"/>
              </w:rPr>
            </w:pPr>
            <w:r>
              <w:rPr>
                <w:rFonts w:cs="宋体"/>
                <w:color w:val="000000"/>
                <w:sz w:val="20"/>
                <w:szCs w:val="20"/>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1200</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1200</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100</w:t>
            </w:r>
          </w:p>
        </w:tc>
        <w:tc>
          <w:tcPr>
            <w:tcW w:w="5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w:t>
            </w: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cs="宋体"/>
                <w:color w:val="000000"/>
                <w:sz w:val="20"/>
                <w:szCs w:val="20"/>
              </w:rPr>
            </w:pPr>
            <w:r>
              <w:rPr>
                <w:rFonts w:cs="宋体"/>
                <w:color w:val="000000"/>
                <w:sz w:val="20"/>
                <w:szCs w:val="20"/>
                <w:lang w:bidi="ar"/>
              </w:rPr>
              <w:t>6</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cs="宋体"/>
                <w:color w:val="000000"/>
                <w:sz w:val="20"/>
                <w:szCs w:val="20"/>
              </w:rPr>
            </w:pPr>
          </w:p>
        </w:tc>
      </w:tr>
    </w:tbl>
    <w:p>
      <w:pPr>
        <w:pStyle w:val="13"/>
        <w:autoSpaceDE w:val="0"/>
        <w:spacing w:before="0" w:beforeAutospacing="0" w:after="0" w:afterAutospacing="0" w:line="580" w:lineRule="exact"/>
        <w:ind w:firstLine="640" w:firstLineChars="200"/>
        <w:rPr>
          <w:rFonts w:ascii="方正仿宋_GBK" w:hAnsi="方正仿宋_GBK" w:eastAsia="方正仿宋_GBK" w:cs="方正仿宋_GBK"/>
          <w:sz w:val="32"/>
          <w:szCs w:val="32"/>
          <w:shd w:val="clear" w:color="auto" w:fill="FFFFFF"/>
          <w:lang w:bidi="ar"/>
        </w:rPr>
      </w:pPr>
    </w:p>
    <w:p>
      <w:pPr>
        <w:pStyle w:val="12"/>
        <w:numPr>
          <w:ilvl w:val="0"/>
          <w:numId w:val="1"/>
        </w:numPr>
        <w:autoSpaceDE w:val="0"/>
        <w:spacing w:line="580" w:lineRule="exact"/>
        <w:ind w:firstLine="643"/>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单位绩效评价情况</w:t>
      </w:r>
    </w:p>
    <w:p>
      <w:pPr>
        <w:pStyle w:val="12"/>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w:t>
      </w:r>
      <w:r>
        <w:rPr>
          <w:rFonts w:hint="eastAsia" w:ascii="方正仿宋_GBK" w:hAnsi="方正仿宋_GBK" w:eastAsia="方正仿宋_GBK" w:cs="方正仿宋_GBK"/>
          <w:sz w:val="32"/>
          <w:szCs w:val="32"/>
          <w:shd w:val="clear" w:color="auto" w:fill="FFFFFF"/>
          <w:lang w:val="en-US" w:eastAsia="zh-CN" w:bidi="ar"/>
        </w:rPr>
        <w:t>价</w:t>
      </w:r>
      <w:r>
        <w:rPr>
          <w:rFonts w:hint="eastAsia" w:ascii="方正仿宋_GBK" w:hAnsi="方正仿宋_GBK" w:eastAsia="方正仿宋_GBK" w:cs="方正仿宋_GBK"/>
          <w:sz w:val="32"/>
          <w:szCs w:val="32"/>
          <w:shd w:val="clear" w:color="auto" w:fill="FFFFFF"/>
          <w:lang w:bidi="ar"/>
        </w:rPr>
        <w:t>。</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numPr>
          <w:ilvl w:val="255"/>
          <w:numId w:val="0"/>
        </w:numPr>
        <w:spacing w:line="360" w:lineRule="auto"/>
        <w:ind w:firstLine="640" w:firstLineChars="20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县财政局委托第三方对我部门“垫江城市云建设，加快垫江信息化智能转型”开展了重点绩效评价，涉及财政拨款项目资金15300万元，评价得分84.4分，评价等次为良，绩效评价发现了主要问题有：</w:t>
      </w:r>
      <w:r>
        <w:rPr>
          <w:rFonts w:ascii="方正仿宋_GBK" w:hAnsi="方正仿宋_GBK" w:eastAsia="方正仿宋_GBK" w:cs="方正仿宋_GBK"/>
          <w:b/>
          <w:bCs/>
          <w:sz w:val="32"/>
          <w:szCs w:val="32"/>
          <w:shd w:val="clear" w:color="auto" w:fill="FFFFFF"/>
          <w:lang w:bidi="ar"/>
        </w:rPr>
        <w:t>一是</w:t>
      </w:r>
      <w:r>
        <w:rPr>
          <w:rFonts w:ascii="方正仿宋_GBK" w:hAnsi="方正仿宋_GBK" w:eastAsia="方正仿宋_GBK" w:cs="方正仿宋_GBK"/>
          <w:sz w:val="32"/>
          <w:szCs w:val="32"/>
          <w:shd w:val="clear" w:color="auto" w:fill="FFFFFF"/>
          <w:lang w:bidi="ar"/>
        </w:rPr>
        <w:t>财政资金——垫江云使用费抵扣券使用率低，云使用抵扣券清算后未及时清缴，导致财政资金闲置；</w:t>
      </w:r>
      <w:r>
        <w:rPr>
          <w:rFonts w:ascii="方正仿宋_GBK" w:hAnsi="方正仿宋_GBK" w:eastAsia="方正仿宋_GBK" w:cs="方正仿宋_GBK"/>
          <w:b/>
          <w:bCs/>
          <w:sz w:val="32"/>
          <w:szCs w:val="32"/>
          <w:shd w:val="clear" w:color="auto" w:fill="FFFFFF"/>
          <w:lang w:bidi="ar"/>
        </w:rPr>
        <w:t>二是</w:t>
      </w:r>
      <w:r>
        <w:rPr>
          <w:rFonts w:ascii="方正仿宋_GBK" w:hAnsi="方正仿宋_GBK" w:eastAsia="方正仿宋_GBK" w:cs="方正仿宋_GBK"/>
          <w:sz w:val="32"/>
          <w:szCs w:val="32"/>
          <w:shd w:val="clear" w:color="auto" w:fill="FFFFFF"/>
          <w:lang w:bidi="ar"/>
        </w:rPr>
        <w:t>云平台一期工程建成后未达到预期效果，截止2023年6月30日 ，入驻该平台用户仅10 户，与预期可支撑上云需求企业50家相差较大；</w:t>
      </w:r>
      <w:r>
        <w:rPr>
          <w:rFonts w:ascii="方正仿宋_GBK" w:hAnsi="方正仿宋_GBK" w:eastAsia="方正仿宋_GBK" w:cs="方正仿宋_GBK"/>
          <w:b/>
          <w:bCs/>
          <w:sz w:val="32"/>
          <w:szCs w:val="32"/>
          <w:shd w:val="clear" w:color="auto" w:fill="FFFFFF"/>
          <w:lang w:bidi="ar"/>
        </w:rPr>
        <w:t>三是</w:t>
      </w:r>
      <w:r>
        <w:rPr>
          <w:rFonts w:ascii="方正仿宋_GBK" w:hAnsi="方正仿宋_GBK" w:eastAsia="方正仿宋_GBK" w:cs="方正仿宋_GBK"/>
          <w:sz w:val="32"/>
          <w:szCs w:val="32"/>
          <w:shd w:val="clear" w:color="auto" w:fill="FFFFFF"/>
          <w:lang w:bidi="ar"/>
        </w:rPr>
        <w:t>2022年绩效目标与绩效指标不匹配，绩效指标不完善，提出下一步工作建议：</w:t>
      </w:r>
      <w:r>
        <w:rPr>
          <w:rFonts w:ascii="方正仿宋_GBK" w:hAnsi="方正仿宋_GBK" w:eastAsia="方正仿宋_GBK" w:cs="方正仿宋_GBK"/>
          <w:b/>
          <w:bCs/>
          <w:sz w:val="32"/>
          <w:szCs w:val="32"/>
          <w:shd w:val="clear" w:color="auto" w:fill="FFFFFF"/>
          <w:lang w:bidi="ar"/>
        </w:rPr>
        <w:t>（一）</w:t>
      </w:r>
      <w:r>
        <w:rPr>
          <w:rFonts w:ascii="方正仿宋_GBK" w:hAnsi="方正仿宋_GBK" w:eastAsia="方正仿宋_GBK" w:cs="方正仿宋_GBK"/>
          <w:sz w:val="32"/>
          <w:szCs w:val="32"/>
          <w:shd w:val="clear" w:color="auto" w:fill="FFFFFF"/>
          <w:lang w:bidi="ar"/>
        </w:rPr>
        <w:t>建议项目实施单位补充完善可研报告相关内容，以使其使用者明确该项目建设的必要性、可行性及其产生的效益。也使该项目的前期手续更加完备。</w:t>
      </w:r>
      <w:r>
        <w:rPr>
          <w:rFonts w:ascii="方正仿宋_GBK" w:hAnsi="方正仿宋_GBK" w:eastAsia="方正仿宋_GBK" w:cs="方正仿宋_GBK"/>
          <w:b/>
          <w:bCs/>
          <w:sz w:val="32"/>
          <w:szCs w:val="32"/>
          <w:shd w:val="clear" w:color="auto" w:fill="FFFFFF"/>
          <w:lang w:bidi="ar"/>
        </w:rPr>
        <w:t>（二）</w:t>
      </w:r>
      <w:r>
        <w:rPr>
          <w:rFonts w:ascii="方正仿宋_GBK" w:hAnsi="方正仿宋_GBK" w:eastAsia="方正仿宋_GBK" w:cs="方正仿宋_GBK"/>
          <w:sz w:val="32"/>
          <w:szCs w:val="32"/>
          <w:shd w:val="clear" w:color="auto" w:fill="FFFFFF"/>
          <w:lang w:bidi="ar"/>
        </w:rPr>
        <w:t>建议项目主管部门申报、自评项目绩效目标时严格按照垫江县财政局关于印发《﹤垫江县县级政策和项目预算绩效管理办法﹥的通知》（垫江财政发〔2022〕407）设置项目总体目标、绩效指标，做到项目总体目标与绩效指标，绩效指标与预算投资相匹配，以使申报的、公开的项目绩效目标符合相关规定。</w:t>
      </w:r>
      <w:r>
        <w:rPr>
          <w:rFonts w:ascii="方正仿宋_GBK" w:hAnsi="方正仿宋_GBK" w:eastAsia="方正仿宋_GBK" w:cs="方正仿宋_GBK"/>
          <w:b/>
          <w:bCs/>
          <w:sz w:val="32"/>
          <w:szCs w:val="32"/>
          <w:shd w:val="clear" w:color="auto" w:fill="FFFFFF"/>
          <w:lang w:bidi="ar"/>
        </w:rPr>
        <w:t>（三）</w:t>
      </w:r>
      <w:r>
        <w:rPr>
          <w:rFonts w:ascii="方正仿宋_GBK" w:hAnsi="方正仿宋_GBK" w:eastAsia="方正仿宋_GBK" w:cs="方正仿宋_GBK"/>
          <w:sz w:val="32"/>
          <w:szCs w:val="32"/>
          <w:shd w:val="clear" w:color="auto" w:fill="FFFFFF"/>
          <w:lang w:bidi="ar"/>
        </w:rPr>
        <w:t>建议项目主管部门严格按照“垫江城市云建设，加快垫江信息化智能转型合作补充协议”内容审批城市云抵扣券，并加大宣传力度，同时督促电信公司加大营销力度，拓展更多的企业上云，尽早使用完剩余垫江城市云抵扣券，较好地完成“垫江城市云建设，加快垫江信息化智能转型”合作项目。同时，建议项目主管部门在以后处理类似项目资金时，注重支付节点，加强资金拨付管理，杜绝财政资金闲置现象。</w:t>
      </w:r>
      <w:r>
        <w:rPr>
          <w:rFonts w:ascii="方正仿宋_GBK" w:hAnsi="方正仿宋_GBK" w:eastAsia="方正仿宋_GBK" w:cs="方正仿宋_GBK"/>
          <w:b/>
          <w:bCs/>
          <w:sz w:val="32"/>
          <w:szCs w:val="32"/>
          <w:shd w:val="clear" w:color="auto" w:fill="FFFFFF"/>
          <w:lang w:bidi="ar"/>
        </w:rPr>
        <w:t>（四）</w:t>
      </w:r>
      <w:r>
        <w:rPr>
          <w:rFonts w:ascii="方正仿宋_GBK" w:hAnsi="方正仿宋_GBK" w:eastAsia="方正仿宋_GBK" w:cs="方正仿宋_GBK"/>
          <w:sz w:val="32"/>
          <w:szCs w:val="32"/>
          <w:shd w:val="clear" w:color="auto" w:fill="FFFFFF"/>
          <w:lang w:bidi="ar"/>
        </w:rPr>
        <w:t>建议政府、项目主管部门及项目实施单位落实项目后期的发展和维护，以加快实现打造多个城市服务平台，加快数字垫江、智慧垫江的发展进程，至2025年，实现政府</w:t>
      </w:r>
      <w:r>
        <w:rPr>
          <w:rFonts w:hint="eastAsia" w:ascii="方正仿宋_GBK" w:hAnsi="方正仿宋_GBK" w:eastAsia="方正仿宋_GBK" w:cs="方正仿宋_GBK"/>
          <w:sz w:val="32"/>
          <w:szCs w:val="32"/>
          <w:shd w:val="clear" w:color="auto" w:fill="FFFFFF"/>
          <w:lang w:eastAsia="zh-CN" w:bidi="ar"/>
        </w:rPr>
        <w:t>“</w:t>
      </w:r>
      <w:r>
        <w:rPr>
          <w:rFonts w:ascii="方正仿宋_GBK" w:hAnsi="方正仿宋_GBK" w:eastAsia="方正仿宋_GBK" w:cs="方正仿宋_GBK"/>
          <w:sz w:val="32"/>
          <w:szCs w:val="32"/>
          <w:shd w:val="clear" w:color="auto" w:fill="FFFFFF"/>
          <w:lang w:bidi="ar"/>
        </w:rPr>
        <w:t>十四五</w:t>
      </w:r>
      <w:r>
        <w:rPr>
          <w:rFonts w:hint="eastAsia" w:ascii="方正仿宋_GBK" w:hAnsi="方正仿宋_GBK" w:eastAsia="方正仿宋_GBK" w:cs="方正仿宋_GBK"/>
          <w:sz w:val="32"/>
          <w:szCs w:val="32"/>
          <w:shd w:val="clear" w:color="auto" w:fill="FFFFFF"/>
          <w:lang w:eastAsia="zh-CN" w:bidi="ar"/>
        </w:rPr>
        <w:t>”</w:t>
      </w:r>
      <w:r>
        <w:rPr>
          <w:rFonts w:ascii="方正仿宋_GBK" w:hAnsi="方正仿宋_GBK" w:eastAsia="方正仿宋_GBK" w:cs="方正仿宋_GBK"/>
          <w:sz w:val="32"/>
          <w:szCs w:val="32"/>
          <w:shd w:val="clear" w:color="auto" w:fill="FFFFFF"/>
          <w:lang w:bidi="ar"/>
        </w:rPr>
        <w:t>规划的目标。</w:t>
      </w:r>
    </w:p>
    <w:p>
      <w:pPr>
        <w:pStyle w:val="6"/>
        <w:shd w:val="clear" w:color="auto" w:fill="FFFFFF"/>
        <w:spacing w:before="0" w:beforeAutospacing="0" w:after="0" w:afterAutospacing="0" w:line="580" w:lineRule="exact"/>
        <w:rPr>
          <w:rStyle w:val="10"/>
          <w:rFonts w:hint="default" w:ascii="方正黑体_GBK" w:hAnsi="方正黑体_GBK" w:eastAsia="方正黑体_GBK" w:cs="方正黑体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ascii="方正黑体_GBK" w:hAnsi="方正黑体_GBK" w:eastAsia="方正黑体_GBK" w:cs="方正黑体_GBK"/>
          <w:b w:val="0"/>
          <w:bCs/>
          <w:sz w:val="32"/>
          <w:szCs w:val="32"/>
          <w:shd w:val="clear" w:color="auto" w:fill="FFFFFF"/>
        </w:rPr>
        <w:t xml:space="preserve">   六、专业名词解释</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80" w:lineRule="exact"/>
        <w:rPr>
          <w:rStyle w:val="10"/>
          <w:rFonts w:hint="default" w:ascii="方正黑体_GBK" w:hAnsi="方正黑体_GBK" w:eastAsia="方正黑体_GBK" w:cs="方正黑体_GBK"/>
          <w:b w:val="0"/>
          <w:bCs/>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黑体_GBK" w:hAnsi="方正黑体_GBK" w:eastAsia="方正黑体_GBK" w:cs="方正黑体_GBK"/>
          <w:b w:val="0"/>
          <w:bCs/>
          <w:sz w:val="32"/>
          <w:szCs w:val="32"/>
          <w:shd w:val="clear" w:color="auto" w:fill="FFFFFF"/>
        </w:rPr>
        <w:t xml:space="preserve"> 七、决算公开联系方式及信息反馈渠道</w:t>
      </w:r>
    </w:p>
    <w:p>
      <w:pPr>
        <w:pStyle w:val="6"/>
        <w:snapToGrid w:val="0"/>
        <w:spacing w:before="0" w:beforeAutospacing="0" w:after="0" w:afterAutospacing="0" w:line="58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本单位决算公开信息反馈和联系方式：刘老师，023-74682339。</w:t>
      </w:r>
    </w:p>
    <w:p>
      <w:pPr>
        <w:pStyle w:val="12"/>
        <w:autoSpaceDE w:val="0"/>
        <w:spacing w:line="580" w:lineRule="exact"/>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公开单位：垫江县经济和信息化委员会（本级）</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24,014.80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545.61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316.05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19,922.70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24,014.80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24,167.99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153.59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0.40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24,168.39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24,168.39 </w:t>
            </w:r>
          </w:p>
        </w:tc>
      </w:tr>
    </w:tbl>
    <w:p>
      <w:pPr>
        <w:rPr>
          <w:rFonts w:hint="eastAsia" w:eastAsia="宋体" w:cs="宋体"/>
          <w:sz w:val="21"/>
          <w:szCs w:val="21"/>
          <w:lang w:eastAsia="zh-CN" w:bidi="ar"/>
        </w:rPr>
      </w:pPr>
      <w:r>
        <w:rPr>
          <w:rFonts w:cs="宋体"/>
          <w:sz w:val="21"/>
          <w:szCs w:val="21"/>
          <w:lang w:bidi="ar"/>
        </w:rPr>
        <w:t>备注：1.本表反映单位本年度的总收支和年末结转结余情况。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公开单位：垫江县经济和信息化委员会（本级）</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24,014.80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24,014.80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397.72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397.72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391.75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391.75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282.42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310.82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310.82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232.16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232.16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19,922.70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19,922.70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eastAsia" w:eastAsia="宋体" w:cs="宋体"/>
          <w:sz w:val="21"/>
          <w:szCs w:val="21"/>
          <w:lang w:eastAsia="zh-CN" w:bidi="ar"/>
        </w:rPr>
      </w:pPr>
      <w:r>
        <w:rPr>
          <w:rFonts w:cs="宋体"/>
          <w:sz w:val="21"/>
          <w:szCs w:val="21"/>
          <w:lang w:bidi="ar"/>
        </w:rPr>
        <w:t>备注：1.本表反映单位本年度取得的各项收入情况。</w:t>
      </w:r>
    </w:p>
    <w:p>
      <w:pPr>
        <w:ind w:left="630" w:hanging="630" w:hangingChars="300"/>
        <w:rPr>
          <w:rFonts w:hint="eastAsia" w:eastAsia="宋体" w:cs="宋体"/>
          <w:sz w:val="21"/>
          <w:szCs w:val="21"/>
          <w:lang w:eastAsia="zh-CN" w:bidi="ar"/>
        </w:rPr>
      </w:pPr>
      <w:r>
        <w:rPr>
          <w:rFonts w:cs="宋体"/>
          <w:sz w:val="21"/>
          <w:szCs w:val="21"/>
          <w:lang w:bidi="ar"/>
        </w:rPr>
        <w:t>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垫江县经济和信息化委员会（本级）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24,167.99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603.82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23,564.17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545.61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316.05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237.39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1,670.45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1,135.45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19,922.70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19,908.00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备注：1.本表反映单位本年度各项支出情况。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24,014.80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532.71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532.71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901.00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316.05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316.05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19,922.70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19,922.70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24,014.80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140.30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140.30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24,155.10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24,155.10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备注：1.本表反映单位本年度一般公共预算财政拨款、政府性基金预算财政拨款及国有资本经营预算财政拨款的总收支和年末结转结余情况。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24,155.10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590.93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23,564.17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532.71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282.44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250.27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526.74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282.44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282.44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282.44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220.33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其他政府办公厅（室）及相关机构事务支出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316.05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281.60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237.39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237.39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27.06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13.53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13.53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196.81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196.81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44.21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44.21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44.21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循环经济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循环经济</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1,670.45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1,670.45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制造业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其他制造业支出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1,135.45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1,135.45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中小企业发展专项</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19,922.70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其他保障性安居工程支出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19,908.00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19,908.00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备注：1.本表反映单位本年度一般公共预算财政拨款支出情况。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287.55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62.36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64.09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183.01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528.57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62.36 </w:t>
            </w:r>
          </w:p>
        </w:tc>
      </w:tr>
    </w:tbl>
    <w:p>
      <w:pPr>
        <w:rPr>
          <w:rFonts w:hint="eastAsia" w:eastAsia="宋体" w:cs="宋体"/>
          <w:sz w:val="21"/>
          <w:szCs w:val="21"/>
          <w:lang w:eastAsia="zh-CN" w:bidi="ar"/>
        </w:rPr>
      </w:pPr>
      <w:r>
        <w:rPr>
          <w:rFonts w:cs="宋体"/>
          <w:sz w:val="21"/>
          <w:szCs w:val="21"/>
          <w:lang w:bidi="ar"/>
        </w:rPr>
        <w:t>备注：1.本表反映单位本年度一般公共预算财政拨款基本支出明细情况。</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备注：本表反映单位本年度政府性基金预算财政拨款收入支出及结转和结余情况。本单位无政府性基金收支，故本表无数据。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eastAsia" w:eastAsia="宋体" w:cs="宋体"/>
          <w:sz w:val="21"/>
          <w:szCs w:val="21"/>
          <w:lang w:eastAsia="zh-CN" w:bidi="ar"/>
        </w:rPr>
      </w:pPr>
      <w:r>
        <w:rPr>
          <w:rFonts w:cs="宋体"/>
          <w:sz w:val="21"/>
          <w:szCs w:val="21"/>
          <w:lang w:bidi="ar"/>
        </w:rPr>
        <w:t>备注：本表反映单位本年度国有资本经营预算财政拨款支出情况。本单位无国有资本经营收支，故本表无数据。</w:t>
      </w:r>
    </w:p>
    <w:p>
      <w:pPr>
        <w:pStyle w:val="2"/>
        <w:rPr>
          <w:rFonts w:hint="eastAsia"/>
          <w:lang w:eastAsia="zh-CN"/>
        </w:rPr>
      </w:pPr>
    </w:p>
    <w:p>
      <w:pPr>
        <w:pStyle w:val="2"/>
        <w:rPr>
          <w:rFonts w:hint="eastAsia"/>
          <w:lang w:eastAsia="zh-CN"/>
        </w:rPr>
      </w:pP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垫江县经济和信息化委员会（本级）</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62.36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780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eastAsia" w:eastAsia="宋体" w:cs="宋体"/>
          <w:sz w:val="21"/>
          <w:szCs w:val="21"/>
          <w:lang w:eastAsia="zh-CN" w:bidi="ar"/>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685"/>
    <w:multiLevelType w:val="singleLevel"/>
    <w:tmpl w:val="0D5F168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jI0Y2ViNzlkNTE4Yjc1ZWEzMTllODQ1YTZiZjUifQ=="/>
  </w:docVars>
  <w:rsids>
    <w:rsidRoot w:val="00B03CCD"/>
    <w:rsid w:val="000964F2"/>
    <w:rsid w:val="002E55A9"/>
    <w:rsid w:val="00550ABE"/>
    <w:rsid w:val="007B419D"/>
    <w:rsid w:val="00874598"/>
    <w:rsid w:val="008B03A5"/>
    <w:rsid w:val="009B67B8"/>
    <w:rsid w:val="00AE2D17"/>
    <w:rsid w:val="00B03CCD"/>
    <w:rsid w:val="00B70945"/>
    <w:rsid w:val="00CC1F28"/>
    <w:rsid w:val="00F01ED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B34E92"/>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77788A"/>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42BA1"/>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0861CF0"/>
    <w:rsid w:val="315F0B22"/>
    <w:rsid w:val="31D84415"/>
    <w:rsid w:val="32285F6F"/>
    <w:rsid w:val="32770556"/>
    <w:rsid w:val="329C0913"/>
    <w:rsid w:val="32AA0460"/>
    <w:rsid w:val="3337290D"/>
    <w:rsid w:val="33E31118"/>
    <w:rsid w:val="33EF7674"/>
    <w:rsid w:val="341825E2"/>
    <w:rsid w:val="342D7BC6"/>
    <w:rsid w:val="352930DB"/>
    <w:rsid w:val="35573069"/>
    <w:rsid w:val="355F6038"/>
    <w:rsid w:val="358C217E"/>
    <w:rsid w:val="35BE2860"/>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B5326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DC6611"/>
    <w:rsid w:val="48E36915"/>
    <w:rsid w:val="48EB6572"/>
    <w:rsid w:val="495C4A24"/>
    <w:rsid w:val="497135DF"/>
    <w:rsid w:val="4A263DF2"/>
    <w:rsid w:val="4A6F6675"/>
    <w:rsid w:val="4B135857"/>
    <w:rsid w:val="4B6A2587"/>
    <w:rsid w:val="4B7951CB"/>
    <w:rsid w:val="4B7C315C"/>
    <w:rsid w:val="4DAC4ACA"/>
    <w:rsid w:val="4DBE01D2"/>
    <w:rsid w:val="4F0C6BA3"/>
    <w:rsid w:val="4F134C0A"/>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FE685A"/>
    <w:rsid w:val="552256E1"/>
    <w:rsid w:val="554E5773"/>
    <w:rsid w:val="555A3CBC"/>
    <w:rsid w:val="5582012B"/>
    <w:rsid w:val="558E4E05"/>
    <w:rsid w:val="55BE2E85"/>
    <w:rsid w:val="55E60F2B"/>
    <w:rsid w:val="56530F5D"/>
    <w:rsid w:val="567700D3"/>
    <w:rsid w:val="56FF7E9E"/>
    <w:rsid w:val="578867FC"/>
    <w:rsid w:val="5842572D"/>
    <w:rsid w:val="5A3B59D6"/>
    <w:rsid w:val="5AD134D8"/>
    <w:rsid w:val="5C263CE4"/>
    <w:rsid w:val="5C5D2777"/>
    <w:rsid w:val="5C90212F"/>
    <w:rsid w:val="5CF66BF3"/>
    <w:rsid w:val="5D290C69"/>
    <w:rsid w:val="5F2D4A41"/>
    <w:rsid w:val="60C74F6C"/>
    <w:rsid w:val="61025A59"/>
    <w:rsid w:val="611F4B86"/>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9075F3"/>
    <w:rsid w:val="6AAD2300"/>
    <w:rsid w:val="6B474EF5"/>
    <w:rsid w:val="6C0A5AC5"/>
    <w:rsid w:val="6C560CAE"/>
    <w:rsid w:val="6C576495"/>
    <w:rsid w:val="6C676675"/>
    <w:rsid w:val="6D5E279C"/>
    <w:rsid w:val="6D903FF5"/>
    <w:rsid w:val="6DA955B8"/>
    <w:rsid w:val="6DE346AB"/>
    <w:rsid w:val="6DE5391A"/>
    <w:rsid w:val="6EFD1324"/>
    <w:rsid w:val="6F5A53AC"/>
    <w:rsid w:val="6FAC003D"/>
    <w:rsid w:val="6FE55E12"/>
    <w:rsid w:val="6FFB2E76"/>
    <w:rsid w:val="708F6F7F"/>
    <w:rsid w:val="70D94BD3"/>
    <w:rsid w:val="710F434B"/>
    <w:rsid w:val="71C34D91"/>
    <w:rsid w:val="72DB435C"/>
    <w:rsid w:val="72E2613A"/>
    <w:rsid w:val="72F771F4"/>
    <w:rsid w:val="73934AD2"/>
    <w:rsid w:val="750837F0"/>
    <w:rsid w:val="754758CF"/>
    <w:rsid w:val="75D877BC"/>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F5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Balloon Text"/>
    <w:basedOn w:val="1"/>
    <w:link w:val="18"/>
    <w:qFormat/>
    <w:uiPriority w:val="0"/>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font61"/>
    <w:basedOn w:val="9"/>
    <w:qFormat/>
    <w:uiPriority w:val="0"/>
    <w:rPr>
      <w:rFonts w:ascii="Arial" w:hAnsi="Arial" w:cs="Arial"/>
      <w:color w:val="000000"/>
      <w:sz w:val="20"/>
      <w:szCs w:val="20"/>
      <w:u w:val="none"/>
    </w:rPr>
  </w:style>
  <w:style w:type="character" w:customStyle="1" w:styleId="17">
    <w:name w:val="font11"/>
    <w:basedOn w:val="9"/>
    <w:qFormat/>
    <w:uiPriority w:val="0"/>
    <w:rPr>
      <w:rFonts w:hint="eastAsia" w:ascii="宋体" w:hAnsi="宋体" w:eastAsia="宋体" w:cs="宋体"/>
      <w:color w:val="000000"/>
      <w:sz w:val="20"/>
      <w:szCs w:val="20"/>
      <w:u w:val="none"/>
    </w:rPr>
  </w:style>
  <w:style w:type="character" w:customStyle="1" w:styleId="18">
    <w:name w:val="批注框文本 字符"/>
    <w:basedOn w:val="9"/>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11687</Words>
  <Characters>15362</Characters>
  <Lines>140</Lines>
  <Paragraphs>39</Paragraphs>
  <TotalTime>0</TotalTime>
  <ScaleCrop>false</ScaleCrop>
  <LinksUpToDate>false</LinksUpToDate>
  <CharactersWithSpaces>16923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2025-07-15T08:04:45Z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