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垫江县招商投资促进局（本级）</w:t>
      </w:r>
    </w:p>
    <w:p>
      <w:pPr>
        <w:pStyle w:val="7"/>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sz w:val="32"/>
          <w:szCs w:val="32"/>
          <w:shd w:val="clear" w:color="auto" w:fill="FFFFFF"/>
        </w:rPr>
      </w:pP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黑体"/>
          <w:sz w:val="32"/>
          <w:szCs w:val="32"/>
        </w:rPr>
      </w:pPr>
      <w:r>
        <w:rPr>
          <w:rStyle w:val="11"/>
          <w:rFonts w:hint="default" w:ascii="Times New Roman" w:hAnsi="Times New Roman" w:eastAsia="黑体"/>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napToGrid/>
        <w:spacing w:afterAutospacing="0" w:line="594"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1.贯彻执行国家、市有关招商投资促进的方针政策和法律、法规、规章。负责统筹、指导、协调和督促全县招商投资促进工作。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2.负责组织研究产业发展趋势和招商投资促进政策，提出对策和建议。组织拟订全县招商投资促进发展中长期规划和年度计划并组织实施。</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3.负责建立和完善全县招商项目库，组织搜集、整理、研判全县招商引资项目信息。</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4.负责对外经济交流与合作。组织开展与大型企业和机构的投资促进战略合作，统筹协调重要投资考察团（组）来访接洽和驻外招商工作。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5.负责宣传全县投资环境。建立和完善招商网络及联系渠道，统筹策划全县综合性招商推介活动，推介重点区域、重点产业、县级重大招商项目。</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6.负责建立招商投资促进协同联动工作机制。负责统筹、参与重大项目的招商引资工作。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7.负责统筹协调全县招商专家顾问的联络、服务工作。建立全县招商投资促进工作信息报送和统计机制，协调指导招商引资信息化建设。</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负责起草制定全县招商投资促进工作综合评价体系和考核办法并组织实施。强化招商项目的评审评估，牵头重大招商项目实施情况督查督办，协调解决招商重大问题。建立招商引资同质化竞争调处机制，规范招商引资秩序。负责招商投资促进相关法律事务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9.负责指导全县招商投资促进队伍建设。</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10.完成县委、县政府交办的其他任务。</w:t>
      </w:r>
    </w:p>
    <w:p>
      <w:pPr>
        <w:pStyle w:val="7"/>
        <w:shd w:val="clear" w:color="auto" w:fill="FFFFFF"/>
        <w:spacing w:before="0" w:beforeAutospacing="0" w:after="0" w:afterAutospacing="0" w:line="594" w:lineRule="exact"/>
        <w:ind w:firstLine="643" w:firstLineChars="200"/>
        <w:rPr>
          <w:rFonts w:hint="default" w:ascii="Times New Roman" w:hAnsi="Times New Roman" w:eastAsia="楷体"/>
          <w:sz w:val="32"/>
          <w:szCs w:val="32"/>
        </w:rPr>
      </w:pPr>
      <w:r>
        <w:rPr>
          <w:rStyle w:val="11"/>
          <w:rFonts w:hint="default" w:ascii="Times New Roman" w:hAnsi="Times New Roman" w:eastAsia="楷体"/>
          <w:sz w:val="32"/>
          <w:szCs w:val="32"/>
          <w:shd w:val="clear" w:color="auto" w:fill="FFFFFF"/>
        </w:rPr>
        <w:t>（二）机构设置</w:t>
      </w:r>
    </w:p>
    <w:p>
      <w:pPr>
        <w:pStyle w:val="13"/>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垫江县招商投资促进局设内设机构4个，分别是办公室、规划发展科、招商促进科、综合效能科。</w:t>
      </w:r>
    </w:p>
    <w:p>
      <w:pPr>
        <w:pStyle w:val="13"/>
        <w:autoSpaceDE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办公室：</w:t>
      </w:r>
      <w:r>
        <w:rPr>
          <w:rFonts w:ascii="Times New Roman" w:hAnsi="Times New Roman" w:eastAsia="方正仿宋_GBK"/>
          <w:sz w:val="32"/>
          <w:szCs w:val="32"/>
        </w:rPr>
        <w:t>负责机关和所属单位党的建设工作。负责机关日常运转工作。负责文电、机要、档案、干部人事、机构编制、工资福利等工作。负责固定资产、财务管理工作。负责机关督查、信访、信息、安全、保密、新闻宣传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规划发展科：负责组织研究产业发展趋势和招商投资促进政策，提出对策和建议；负责组织拟订全县招商投资促进发展中长期规划和年度计划并组织实施；负责重点招商项目包装策划；负责招商投资促进相关法律事务工作；负责全县招商专家顾问的联络、服务等工作；负责纳入县级决策招商项目的初审或前评估；负责指导全县招商投资促进队伍建设，组织实施人员培训工作；负责招商引资同质化竞争调处等具体工作，规范招商引资秩序。</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招商促进科：负责建立招商投资促进协同联动工作机制，建立和完善招商网络及联系渠道；统筹策划全县综合性招商推介活动；负责宣传全县投资环境，推介重点区域、重点产业、县级重大招商项目；负责组织搜集、整理、研判全县招商引资项目信息；承担县招商投资局统筹、参与的重大项目招商引资具体工作，协调推进县级重大招商项目；承担与大型企业和机构的投资促进战略合作及重要投资考察团（组）来访接洽方面具体工作。</w:t>
      </w:r>
    </w:p>
    <w:p>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综合效能科：负责全县招商投资促进考核评价、集中签约等相关工作，负责已签约重大招商项目实施情况的督查督办具体工作；负责建立全县招商投资促进工作信息报送和统计机制，协调指导招商引资信息化建设；负责汇总分析、跟踪管理全县招商投资促进目标任务完成情况及工作动态信息；负责建立和完善招商项目库；负责收集、筛选和确定县级重点招商项目；负责全县招商项目投资协议收集、整理、归档；负责招商项目后评价。</w:t>
      </w:r>
    </w:p>
    <w:p>
      <w:pPr>
        <w:pStyle w:val="7"/>
        <w:shd w:val="clear" w:color="auto" w:fill="FFFFFF"/>
        <w:spacing w:before="0" w:beforeAutospacing="0" w:after="0" w:afterAutospacing="0" w:line="594"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二、单位决算情况说明</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（一）收入支出决算总体情况说明。</w:t>
      </w:r>
    </w:p>
    <w:p>
      <w:pPr>
        <w:pStyle w:val="7"/>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2023年度收入总计390.46万元，支出总计</w:t>
      </w:r>
      <w:r>
        <w:rPr>
          <w:rFonts w:hint="default" w:ascii="Times New Roman" w:hAnsi="Times New Roman" w:eastAsia="方正仿宋_GBK"/>
          <w:sz w:val="32"/>
          <w:szCs w:val="32"/>
        </w:rPr>
        <w:t>390.46</w:t>
      </w:r>
      <w:r>
        <w:rPr>
          <w:rFonts w:hint="default" w:ascii="Times New Roman" w:hAnsi="Times New Roman" w:eastAsia="方正仿宋_GBK"/>
          <w:sz w:val="32"/>
          <w:szCs w:val="32"/>
          <w:shd w:val="clear" w:color="auto" w:fill="FFFFFF"/>
        </w:rPr>
        <w:t>万元。收支较上年决算数减少100.37万元，下降20.45%，主要原因是人员调出以及项目经费的减少。</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2023年度收入合计390.46万元，较上年决算数减少100.29万元，下降20.44%，主要原因是人员调出以及项目经费的减少。其中：财政拨款收入</w:t>
      </w:r>
      <w:r>
        <w:rPr>
          <w:rFonts w:hint="default" w:ascii="Times New Roman" w:hAnsi="Times New Roman" w:eastAsia="方正仿宋_GBK"/>
          <w:sz w:val="32"/>
          <w:szCs w:val="32"/>
        </w:rPr>
        <w:t>390.46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390.46</w:t>
      </w:r>
      <w:r>
        <w:rPr>
          <w:rFonts w:hint="default" w:ascii="Times New Roman" w:hAnsi="Times New Roman" w:eastAsia="方正仿宋_GBK"/>
          <w:sz w:val="32"/>
          <w:szCs w:val="32"/>
          <w:shd w:val="clear" w:color="auto" w:fill="FFFFFF"/>
        </w:rPr>
        <w:t>万元，较上年决算数减少100.29万元，下降20.44%，主要原因是人员调出以及项目经费的减少。其中：基本支出</w:t>
      </w:r>
      <w:r>
        <w:rPr>
          <w:rFonts w:hint="default" w:ascii="Times New Roman" w:hAnsi="Times New Roman" w:eastAsia="方正仿宋_GBK"/>
          <w:sz w:val="32"/>
          <w:szCs w:val="32"/>
        </w:rPr>
        <w:t>224.79</w:t>
      </w:r>
      <w:r>
        <w:rPr>
          <w:rFonts w:hint="default" w:ascii="Times New Roman" w:hAnsi="Times New Roman" w:eastAsia="方正仿宋_GBK"/>
          <w:sz w:val="32"/>
          <w:szCs w:val="32"/>
          <w:shd w:val="clear" w:color="auto" w:fill="FFFFFF"/>
        </w:rPr>
        <w:t>万元，占57.57%；项目支出</w:t>
      </w:r>
      <w:r>
        <w:rPr>
          <w:rFonts w:hint="default" w:ascii="Times New Roman" w:hAnsi="Times New Roman" w:eastAsia="方正仿宋_GBK"/>
          <w:sz w:val="32"/>
          <w:szCs w:val="32"/>
        </w:rPr>
        <w:t>165.66</w:t>
      </w:r>
      <w:r>
        <w:rPr>
          <w:rFonts w:hint="default" w:ascii="Times New Roman" w:hAnsi="Times New Roman" w:eastAsia="方正仿宋_GBK"/>
          <w:sz w:val="32"/>
          <w:szCs w:val="32"/>
          <w:shd w:val="clear" w:color="auto" w:fill="FFFFFF"/>
        </w:rPr>
        <w:t>万元，占42.43%；经营支出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万元，较上年决算数减少0.08万元，下降100.00%，主要原因是</w:t>
      </w:r>
      <w:r>
        <w:rPr>
          <w:rFonts w:ascii="Times New Roman" w:hAnsi="Times New Roman" w:eastAsia="方正仿宋_GBK"/>
          <w:sz w:val="32"/>
          <w:szCs w:val="32"/>
          <w:shd w:val="clear" w:color="auto" w:fill="FFFFFF"/>
        </w:rPr>
        <w:t>及时</w:t>
      </w:r>
      <w:r>
        <w:rPr>
          <w:rFonts w:hint="default" w:ascii="Times New Roman" w:hAnsi="Times New Roman" w:eastAsia="方正仿宋_GBK"/>
          <w:sz w:val="32"/>
          <w:szCs w:val="32"/>
          <w:shd w:val="clear" w:color="auto" w:fill="FFFFFF"/>
        </w:rPr>
        <w:t>使用资金，</w:t>
      </w:r>
      <w:r>
        <w:rPr>
          <w:rFonts w:ascii="Times New Roman" w:hAnsi="Times New Roman" w:eastAsia="方正仿宋_GBK"/>
          <w:sz w:val="32"/>
          <w:szCs w:val="32"/>
          <w:shd w:val="clear" w:color="auto" w:fill="FFFFFF"/>
        </w:rPr>
        <w:t>年末</w:t>
      </w:r>
      <w:r>
        <w:rPr>
          <w:rFonts w:hint="default" w:ascii="Times New Roman" w:hAnsi="Times New Roman" w:eastAsia="方正仿宋_GBK"/>
          <w:sz w:val="32"/>
          <w:szCs w:val="32"/>
          <w:shd w:val="clear" w:color="auto" w:fill="FFFFFF"/>
        </w:rPr>
        <w:t>结转和结余为0.00万元。</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（二）财政拨款收入支出决算总体情况说明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2023年度财政拨款收、支总计390.46万元。与2022年相比，财政拨款收、支总计各减少100.29万元，下降20.44%。主要原因是人员调出以及项目经费的减少。</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390.46</w:t>
      </w:r>
      <w:r>
        <w:rPr>
          <w:rFonts w:hint="default" w:ascii="Times New Roman" w:hAnsi="Times New Roman" w:eastAsia="方正仿宋_GBK"/>
          <w:sz w:val="32"/>
          <w:szCs w:val="32"/>
          <w:shd w:val="clear" w:color="auto" w:fill="FFFFFF"/>
        </w:rPr>
        <w:t>万元，较上年决算数减少100.29万元，下降20.44%。主要原因是人员调出以及项目经费的减少。较年初预算数增加20.59万元，增长5.57%。主要原因是2023年人员工资调标、养老保险等基数调标以及项目经费的追加。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390.46</w:t>
      </w:r>
      <w:r>
        <w:rPr>
          <w:rFonts w:hint="default" w:ascii="Times New Roman" w:hAnsi="Times New Roman" w:eastAsia="方正仿宋_GBK"/>
          <w:sz w:val="32"/>
          <w:szCs w:val="32"/>
          <w:shd w:val="clear" w:color="auto" w:fill="FFFFFF"/>
        </w:rPr>
        <w:t>万元，较上年决算数减少100.29万元，下降20.44%。主要原因是人员调出以及项目经费的减少。较年初预算数增加20.59万元，增长5.57%。主要原因是2023年人员工资调标、养老保险等基数调标以及项目经费的追加。</w:t>
      </w:r>
    </w:p>
    <w:p>
      <w:pPr>
        <w:pStyle w:val="7"/>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ascii="方正仿宋_GBK" w:hAnsi="方正仿宋_GBK" w:eastAsia="方正仿宋_GBK" w:cs="方正仿宋_GBK"/>
          <w:sz w:val="32"/>
          <w:szCs w:val="32"/>
          <w:shd w:val="clear" w:color="auto" w:fill="FFFFFF"/>
        </w:rPr>
        <w:t>，主要原因是本年度及上年度均无结转结余。</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344.33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88.19</w:t>
      </w:r>
      <w:r>
        <w:rPr>
          <w:rFonts w:hint="default" w:ascii="Times New Roman" w:hAnsi="Times New Roman" w:eastAsia="方正仿宋_GBK"/>
          <w:sz w:val="32"/>
          <w:szCs w:val="32"/>
          <w:shd w:val="clear" w:color="auto" w:fill="FFFFFF"/>
        </w:rPr>
        <w:t>%，较年初预算数增加21.29万元，增长6.59%，主要原因是2023年人员工资调标、养老保险等基数调标以及项目经费的追加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 xml:space="preserve">  </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0.54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0.14</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与年初预算一致。</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24.43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6.26</w:t>
      </w:r>
      <w:r>
        <w:rPr>
          <w:rFonts w:hint="default" w:ascii="Times New Roman" w:hAnsi="Times New Roman" w:eastAsia="方正仿宋_GBK"/>
          <w:sz w:val="32"/>
          <w:szCs w:val="32"/>
          <w:shd w:val="clear" w:color="auto" w:fill="FFFFFF"/>
        </w:rPr>
        <w:t>%，较年初预算数减少0.81万元，下降3.21%，主要原因是人员调出。</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7.62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1.95</w:t>
      </w:r>
      <w:r>
        <w:rPr>
          <w:rFonts w:hint="default" w:ascii="Times New Roman" w:hAnsi="Times New Roman" w:eastAsia="方正仿宋_GBK"/>
          <w:sz w:val="32"/>
          <w:szCs w:val="32"/>
          <w:shd w:val="clear" w:color="auto" w:fill="FFFFFF"/>
        </w:rPr>
        <w:t>%，较年初预算数增加0.81万元，增长11.89%，主要原因是医疗保险基数增加。</w:t>
      </w:r>
    </w:p>
    <w:p>
      <w:pPr>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住房保障支出13.54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3.47</w:t>
      </w:r>
      <w:r>
        <w:rPr>
          <w:rFonts w:hint="default" w:ascii="Times New Roman" w:hAnsi="Times New Roman" w:eastAsia="方正仿宋_GBK"/>
          <w:sz w:val="32"/>
          <w:szCs w:val="32"/>
          <w:shd w:val="clear" w:color="auto" w:fill="FFFFFF"/>
        </w:rPr>
        <w:t>%，较年初预算数减少0.70万元，下降4.92%，主要原因是人员调出以及清退2021年公务员多缴公积金。</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224.79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182.45</w:t>
      </w:r>
      <w:r>
        <w:rPr>
          <w:rFonts w:hint="default" w:ascii="Times New Roman" w:hAnsi="Times New Roman" w:eastAsia="方正仿宋_GBK"/>
          <w:sz w:val="32"/>
          <w:szCs w:val="32"/>
          <w:shd w:val="clear" w:color="auto" w:fill="FFFFFF"/>
        </w:rPr>
        <w:t>万元，较上年决算数增加20.40万元，增长12.59%，主要原因是2023年公务员工资调标及养老保险等基数增加。人员经费用途主要包括基本工资、津贴补贴、奖金、机关事业单位养老保险费、职业年金缴费、职工基本医疗保险缴费、住房公积金、其他工资福利支出等。公用经费</w:t>
      </w:r>
      <w:r>
        <w:rPr>
          <w:rFonts w:hint="default" w:ascii="Times New Roman" w:hAnsi="Times New Roman" w:eastAsia="方正仿宋_GBK"/>
          <w:sz w:val="32"/>
          <w:szCs w:val="32"/>
        </w:rPr>
        <w:t>42.34</w:t>
      </w:r>
      <w:r>
        <w:rPr>
          <w:rFonts w:hint="default" w:ascii="Times New Roman" w:hAnsi="Times New Roman" w:eastAsia="方正仿宋_GBK"/>
          <w:sz w:val="32"/>
          <w:szCs w:val="32"/>
          <w:shd w:val="clear" w:color="auto" w:fill="FFFFFF"/>
        </w:rPr>
        <w:t>万元，较上年决算数增加8.47万元，增长25.01%，主要原因是2022年项目经费弥补公用经费比例较高。公用经费用途主要包括办公费、印刷费、水费、电费、邮电费、差旅费、公务接待费、公务用车运行维护费、其他交通费用、其他商品和服务支出等。</w:t>
      </w:r>
    </w:p>
    <w:p>
      <w:pPr>
        <w:pStyle w:val="13"/>
        <w:numPr>
          <w:ilvl w:val="0"/>
          <w:numId w:val="1"/>
        </w:numPr>
        <w:autoSpaceDE w:val="0"/>
        <w:spacing w:before="0" w:beforeAutospacing="0" w:after="0" w:afterAutospacing="0" w:line="594" w:lineRule="exact"/>
        <w:ind w:firstLine="643" w:firstLineChars="200"/>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政府性基金预算收支决算情况说明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三、“三公”经费情况说明</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xml:space="preserve"> （一）“三公”经费支出总体情况说明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53.24</w:t>
      </w:r>
      <w:r>
        <w:rPr>
          <w:rFonts w:hint="default" w:ascii="Times New Roman" w:hAnsi="Times New Roman" w:eastAsia="方正仿宋_GBK"/>
          <w:sz w:val="32"/>
          <w:szCs w:val="32"/>
          <w:shd w:val="clear" w:color="auto" w:fill="FFFFFF"/>
        </w:rPr>
        <w:t>万元，较年初预算数增加48.04万元，增长923.85%，主要原因是年初预算时的公务接待费未包含项目经费中列支的商务接待费。较上年支出数减少0.07万元，下降0.13%，主要原因是严格落实政府过紧日子要求。</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（二）“三公”经费分项支出情况</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万元。费用支出较年初预算数无增减，主要原因是本单位2023年度未发生因公出国（境）费用。较上年支出数无增减，主要原因是本单位本年度及上年度均未发生因公出国（境）费用。</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公务车购置费0万元，费用支出较年初预算数无增减，主要原因是本单位2023年度未发生公务车购置费。较上年支出数无增减，主要原因是本单位本年度及上年度均未发生公务车购置费。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6.20</w:t>
      </w:r>
      <w:r>
        <w:rPr>
          <w:rFonts w:hint="default" w:ascii="Times New Roman" w:hAnsi="Times New Roman" w:eastAsia="方正仿宋_GBK"/>
          <w:sz w:val="32"/>
          <w:szCs w:val="32"/>
          <w:shd w:val="clear" w:color="auto" w:fill="FFFFFF"/>
        </w:rPr>
        <w:t>万元，主要用于公务车的加油、保险、维修等费用。费用支出较年初预算数增加1.20万元，增长24.00%，主要原因是年初预算不足。较上年支出数减少0.71万元，下降10.27%，主要原因是严格落实政府过紧日子要求。</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47.05</w:t>
      </w:r>
      <w:r>
        <w:rPr>
          <w:rFonts w:hint="default" w:ascii="Times New Roman" w:hAnsi="Times New Roman" w:eastAsia="方正仿宋_GBK"/>
          <w:sz w:val="32"/>
          <w:szCs w:val="32"/>
          <w:shd w:val="clear" w:color="auto" w:fill="FFFFFF"/>
        </w:rPr>
        <w:t>万元，主要用于接待招商引资。费用支出较年初预算数增加46.85万元，增长23425.00%，主要原因是年初预算时的公务接待费未包含项目经费中列支的商务接待费。较上年支出数增加0.65万元，增长1.40%，主要原因是2023年度招商任务加重，导致费用增加。</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（三）“三公”经费实物量情况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418</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2998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156.92</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6.20</w:t>
      </w:r>
      <w:r>
        <w:rPr>
          <w:rFonts w:hint="default" w:ascii="Times New Roman" w:hAnsi="Times New Roman" w:eastAsia="方正仿宋_GBK"/>
          <w:sz w:val="32"/>
          <w:szCs w:val="32"/>
          <w:shd w:val="clear" w:color="auto" w:fill="FFFFFF"/>
        </w:rPr>
        <w:t>万元。</w:t>
      </w:r>
    </w:p>
    <w:p>
      <w:pPr>
        <w:pStyle w:val="7"/>
        <w:shd w:val="clear" w:color="auto" w:fill="FFFFFF"/>
        <w:spacing w:before="0" w:beforeAutospacing="0" w:after="0" w:afterAutospacing="0" w:line="594"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四、其他需要说明的事项</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（一）财政拨款会议费和培训费情况说明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3.69</w:t>
      </w:r>
      <w:r>
        <w:rPr>
          <w:rFonts w:hint="default" w:ascii="Times New Roman" w:hAnsi="Times New Roman" w:eastAsia="方正仿宋_GBK"/>
          <w:sz w:val="32"/>
          <w:szCs w:val="32"/>
          <w:shd w:val="clear" w:color="auto" w:fill="FFFFFF"/>
        </w:rPr>
        <w:t>万元，较上年决算数增加3.00万元，增长434.78%，主要原因是2023年受新冠疫情放开等因素影响，会议场次增加。本年度培训费支出</w:t>
      </w:r>
      <w:r>
        <w:rPr>
          <w:rFonts w:hint="default" w:ascii="Times New Roman" w:hAnsi="Times New Roman" w:eastAsia="方正仿宋_GBK"/>
          <w:sz w:val="32"/>
          <w:szCs w:val="32"/>
        </w:rPr>
        <w:t>0.54</w:t>
      </w:r>
      <w:r>
        <w:rPr>
          <w:rFonts w:hint="default" w:ascii="Times New Roman" w:hAnsi="Times New Roman" w:eastAsia="方正仿宋_GBK"/>
          <w:sz w:val="32"/>
          <w:szCs w:val="32"/>
          <w:shd w:val="clear" w:color="auto" w:fill="FFFFFF"/>
        </w:rPr>
        <w:t>万元，较上年决算数增加0.53万元，增长5300.00%，主要原因是2023年职工参加培训场次增加，费用增加。</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（二）机关运行经费情况说明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42.34</w:t>
      </w:r>
      <w:r>
        <w:rPr>
          <w:rFonts w:hint="default" w:ascii="Times New Roman" w:hAnsi="Times New Roman" w:eastAsia="方正仿宋_GBK"/>
          <w:sz w:val="32"/>
          <w:szCs w:val="32"/>
          <w:shd w:val="clear" w:color="auto" w:fill="FFFFFF"/>
        </w:rPr>
        <w:t>万元，机关运行经费主要用于开支办公费、印刷费、水费、电费、邮电费、差旅费、公务接待费、公务用车运行维护费、其他交通费用、其他商品和服务支出等。机关运行经费较上年支出数增加8.47万元，增长25.01%，主要原因是2022年项目经费弥补公用经费比例较高。</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（三）国有资产占用情况说明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（四）政府采购支出情况说明</w:t>
      </w:r>
    </w:p>
    <w:p>
      <w:pPr>
        <w:pStyle w:val="7"/>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7"/>
        <w:numPr>
          <w:ilvl w:val="0"/>
          <w:numId w:val="2"/>
        </w:numPr>
        <w:shd w:val="clear" w:color="auto" w:fill="FFFFFF"/>
        <w:spacing w:before="0" w:beforeAutospacing="0" w:after="0" w:afterAutospacing="0" w:line="594" w:lineRule="exact"/>
        <w:ind w:firstLine="643"/>
        <w:rPr>
          <w:rStyle w:val="11"/>
          <w:rFonts w:hint="default" w:ascii="黑体" w:hAnsi="黑体" w:eastAsia="黑体" w:cs="黑体"/>
          <w:kern w:val="2"/>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autoSpaceDE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个二级项目开展了绩效自评，涉及资金</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65.66</w:t>
      </w:r>
      <w:r>
        <w:rPr>
          <w:rFonts w:ascii="方正仿宋_GBK" w:hAnsi="方正仿宋_GBK" w:eastAsia="方正仿宋_GBK" w:cs="方正仿宋_GBK"/>
          <w:sz w:val="32"/>
          <w:szCs w:val="32"/>
          <w:shd w:val="clear" w:color="auto" w:fill="FFFFFF"/>
        </w:rPr>
        <w:t>万元。</w:t>
      </w:r>
    </w:p>
    <w:p>
      <w:pPr>
        <w:pStyle w:val="2"/>
      </w:pPr>
    </w:p>
    <w:tbl>
      <w:tblPr>
        <w:tblStyle w:val="8"/>
        <w:tblW w:w="0" w:type="auto"/>
        <w:tblInd w:w="93" w:type="dxa"/>
        <w:tblLayout w:type="fixed"/>
        <w:tblCellMar>
          <w:top w:w="0" w:type="dxa"/>
          <w:left w:w="108" w:type="dxa"/>
          <w:bottom w:w="0" w:type="dxa"/>
          <w:right w:w="108" w:type="dxa"/>
        </w:tblCellMar>
      </w:tblPr>
      <w:tblGrid>
        <w:gridCol w:w="1077"/>
        <w:gridCol w:w="599"/>
        <w:gridCol w:w="599"/>
        <w:gridCol w:w="785"/>
        <w:gridCol w:w="687"/>
        <w:gridCol w:w="766"/>
        <w:gridCol w:w="794"/>
        <w:gridCol w:w="543"/>
        <w:gridCol w:w="543"/>
        <w:gridCol w:w="710"/>
        <w:gridCol w:w="627"/>
        <w:gridCol w:w="702"/>
      </w:tblGrid>
      <w:tr>
        <w:tblPrEx>
          <w:tblCellMar>
            <w:top w:w="0" w:type="dxa"/>
            <w:left w:w="108" w:type="dxa"/>
            <w:bottom w:w="0" w:type="dxa"/>
            <w:right w:w="108" w:type="dxa"/>
          </w:tblCellMar>
        </w:tblPrEx>
        <w:trPr>
          <w:trHeight w:val="285" w:hRule="atLeast"/>
        </w:trPr>
        <w:tc>
          <w:tcPr>
            <w:tcW w:w="8432" w:type="dxa"/>
            <w:gridSpan w:val="12"/>
            <w:tcBorders>
              <w:top w:val="nil"/>
              <w:left w:val="nil"/>
              <w:bottom w:val="single" w:color="auto" w:sz="4" w:space="0"/>
              <w:right w:val="nil"/>
            </w:tcBorders>
            <w:vAlign w:val="center"/>
          </w:tcPr>
          <w:p>
            <w:pPr>
              <w:rPr>
                <w:rFonts w:hint="default"/>
              </w:rPr>
            </w:pPr>
          </w:p>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2023</w:t>
            </w:r>
            <w:r>
              <w:rPr>
                <w:rStyle w:val="17"/>
                <w:color w:val="auto"/>
              </w:rPr>
              <w:t>年度二级项目绩效自评表</w:t>
            </w:r>
          </w:p>
        </w:tc>
      </w:tr>
      <w:tr>
        <w:tblPrEx>
          <w:tblCellMar>
            <w:top w:w="0" w:type="dxa"/>
            <w:left w:w="108" w:type="dxa"/>
            <w:bottom w:w="0" w:type="dxa"/>
            <w:right w:w="108" w:type="dxa"/>
          </w:tblCellMar>
        </w:tblPrEx>
        <w:trPr>
          <w:trHeight w:val="305" w:hRule="atLeast"/>
        </w:trPr>
        <w:tc>
          <w:tcPr>
            <w:tcW w:w="8432" w:type="dxa"/>
            <w:gridSpan w:val="1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状态：待送审</w:t>
            </w: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项目名称：</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eastAsia="方正仿宋_GBK"/>
                <w:color w:val="auto"/>
              </w:rPr>
              <w:t>招商投促运行业务经</w:t>
            </w:r>
            <w:r>
              <w:rPr>
                <w:rStyle w:val="17"/>
                <w:color w:val="auto"/>
              </w:rPr>
              <w:t>费</w:t>
            </w: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项目编码：</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50023123T000003408941</w:t>
            </w:r>
          </w:p>
        </w:tc>
        <w:tc>
          <w:tcPr>
            <w:tcW w:w="79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自评总分：</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97.06</w:t>
            </w:r>
          </w:p>
        </w:tc>
        <w:tc>
          <w:tcPr>
            <w:tcW w:w="71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项目主管部门：</w:t>
            </w:r>
          </w:p>
        </w:tc>
        <w:tc>
          <w:tcPr>
            <w:tcW w:w="1198"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505-</w:t>
            </w:r>
            <w:r>
              <w:rPr>
                <w:rStyle w:val="17"/>
                <w:color w:val="auto"/>
              </w:rPr>
              <w:t>垫江县招商投资促进局</w:t>
            </w:r>
          </w:p>
        </w:tc>
        <w:tc>
          <w:tcPr>
            <w:tcW w:w="785"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财政归口处室：</w:t>
            </w:r>
          </w:p>
        </w:tc>
        <w:tc>
          <w:tcPr>
            <w:tcW w:w="1453"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008-</w:t>
            </w:r>
            <w:r>
              <w:rPr>
                <w:rStyle w:val="17"/>
                <w:color w:val="auto"/>
              </w:rPr>
              <w:t>企业科</w:t>
            </w:r>
          </w:p>
        </w:tc>
        <w:tc>
          <w:tcPr>
            <w:tcW w:w="794"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部门联系人：</w:t>
            </w:r>
          </w:p>
        </w:tc>
        <w:tc>
          <w:tcPr>
            <w:tcW w:w="1086"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程</w:t>
            </w:r>
            <w:r>
              <w:rPr>
                <w:rStyle w:val="17"/>
                <w:rFonts w:hint="eastAsia" w:eastAsia="方正仿宋_GBK"/>
                <w:color w:val="auto"/>
                <w:lang w:val="en-US" w:eastAsia="zh-CN"/>
              </w:rPr>
              <w:t>*</w:t>
            </w:r>
            <w:r>
              <w:rPr>
                <w:rStyle w:val="17"/>
                <w:color w:val="auto"/>
              </w:rPr>
              <w:t>英</w:t>
            </w:r>
          </w:p>
        </w:tc>
        <w:tc>
          <w:tcPr>
            <w:tcW w:w="710"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联系电话：</w:t>
            </w:r>
          </w:p>
        </w:tc>
        <w:tc>
          <w:tcPr>
            <w:tcW w:w="1329"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eastAsia="宋体"/>
                <w:sz w:val="10"/>
                <w:szCs w:val="10"/>
                <w:lang w:val="en-US" w:eastAsia="zh-CN"/>
              </w:rPr>
            </w:pPr>
            <w:r>
              <w:rPr>
                <w:rFonts w:hint="eastAsia" w:ascii="Times New Roman" w:hAnsi="Times New Roman"/>
                <w:sz w:val="10"/>
                <w:szCs w:val="10"/>
                <w:lang w:val="en-US" w:eastAsia="zh-CN"/>
              </w:rPr>
              <w:t>023-</w:t>
            </w:r>
            <w:bookmarkStart w:id="0" w:name="_GoBack"/>
            <w:bookmarkEnd w:id="0"/>
            <w:r>
              <w:rPr>
                <w:rFonts w:hint="eastAsia" w:ascii="Times New Roman" w:hAnsi="Times New Roman"/>
                <w:sz w:val="10"/>
                <w:szCs w:val="10"/>
                <w:lang w:val="en-US" w:eastAsia="zh-CN"/>
              </w:rPr>
              <w:t>74512158</w:t>
            </w: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资金情况</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1384"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年初预算数</w:t>
            </w:r>
          </w:p>
        </w:tc>
        <w:tc>
          <w:tcPr>
            <w:tcW w:w="14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全年（调整）预算数</w:t>
            </w:r>
          </w:p>
        </w:tc>
        <w:tc>
          <w:tcPr>
            <w:tcW w:w="1337"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全年执行数</w:t>
            </w:r>
          </w:p>
        </w:tc>
        <w:tc>
          <w:tcPr>
            <w:tcW w:w="12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执行率权重</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执行率得分</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年度总金额</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其中：财政拨款</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w:t>
            </w: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一般公共预算</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绩效目标</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年初绩效目标</w:t>
            </w:r>
          </w:p>
        </w:tc>
        <w:tc>
          <w:tcPr>
            <w:tcW w:w="2790"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全年（调整）绩效目标</w:t>
            </w:r>
          </w:p>
        </w:tc>
        <w:tc>
          <w:tcPr>
            <w:tcW w:w="2582"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全年目标实际完成情况</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保障招商引资工作有序开展</w:t>
            </w:r>
          </w:p>
        </w:tc>
        <w:tc>
          <w:tcPr>
            <w:tcW w:w="2790" w:type="dxa"/>
            <w:gridSpan w:val="4"/>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2582" w:type="dxa"/>
            <w:gridSpan w:val="4"/>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2023年，全县签约招商引资项目共218个，正式合同额517.55亿元，资金到位额90.86亿元。</w:t>
            </w: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绩效指标</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指标名称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计量单位</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指标性质</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指标值</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全年完成值</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偏离度（</w:t>
            </w:r>
            <w:r>
              <w:rPr>
                <w:rStyle w:val="16"/>
                <w:rFonts w:hint="eastAsia" w:eastAsia="方正仿宋_GBK"/>
                <w:color w:val="auto"/>
              </w:rPr>
              <w:t>%</w:t>
            </w:r>
            <w:r>
              <w:rPr>
                <w:rStyle w:val="17"/>
                <w:color w:val="auto"/>
              </w:rPr>
              <w:t>）</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得分系数（</w:t>
            </w:r>
            <w:r>
              <w:rPr>
                <w:rStyle w:val="16"/>
                <w:rFonts w:hint="eastAsia" w:eastAsia="方正仿宋_GBK"/>
                <w:color w:val="auto"/>
              </w:rPr>
              <w:t>%</w:t>
            </w:r>
            <w:r>
              <w:rPr>
                <w:rStyle w:val="17"/>
                <w:color w:val="auto"/>
              </w:rPr>
              <w:t>）</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指标权重</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指标得分</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是否核心指标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说明</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市财政局建议</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签约项目个数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个</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110</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218</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98.18</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100</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否</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协议金额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517.55</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47.87</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资金到位额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6"/>
                <w:rFonts w:hint="eastAsia"/>
                <w:color w:val="auto"/>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70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90.86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29.8</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招商引资工作质量达标率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招商引资工作及时完成率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推动全县招商引资工作</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定性</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服务对象满意度</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工作经费支出</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万元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rFonts w:hint="default" w:ascii="Arial" w:hAnsi="Arial" w:cs="Arial"/>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160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165.66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3.54</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64.6</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5.36</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bl>
    <w:p>
      <w:pPr>
        <w:pStyle w:val="2"/>
        <w:spacing w:line="594" w:lineRule="exact"/>
        <w:rPr>
          <w:rFonts w:ascii="Times New Roman" w:hAnsi="Times New Roman" w:cs="Times New Roman"/>
          <w:color w:val="auto"/>
        </w:rPr>
      </w:pPr>
    </w:p>
    <w:p>
      <w:pPr>
        <w:pStyle w:val="2"/>
        <w:spacing w:line="594" w:lineRule="exact"/>
        <w:rPr>
          <w:rFonts w:ascii="Times New Roman" w:hAnsi="Times New Roman" w:cs="Times New Roman"/>
          <w:color w:val="auto"/>
        </w:rPr>
      </w:pPr>
    </w:p>
    <w:p>
      <w:pPr>
        <w:pStyle w:val="12"/>
        <w:numPr>
          <w:ilvl w:val="0"/>
          <w:numId w:val="3"/>
        </w:numPr>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单位绩效评价情况</w:t>
      </w:r>
    </w:p>
    <w:p>
      <w:pPr>
        <w:pStyle w:val="13"/>
        <w:autoSpaceDE w:val="0"/>
        <w:spacing w:before="0" w:beforeAutospacing="0" w:after="0" w:afterAutospacing="0" w:line="594" w:lineRule="exact"/>
        <w:ind w:firstLine="640" w:firstLineChars="200"/>
        <w:rPr>
          <w:rFonts w:ascii="Times New Roman" w:hAnsi="Times New Roman" w:eastAsia="楷体"/>
          <w:b/>
          <w:bCs/>
          <w:sz w:val="32"/>
          <w:szCs w:val="32"/>
          <w:shd w:val="clear" w:color="auto" w:fill="FFFFFF"/>
          <w:lang w:bidi="ar"/>
        </w:rPr>
      </w:pPr>
      <w:r>
        <w:rPr>
          <w:rFonts w:ascii="Times New Roman" w:hAnsi="Times New Roman" w:eastAsia="方正仿宋_GBK"/>
          <w:sz w:val="32"/>
          <w:szCs w:val="32"/>
          <w:shd w:val="clear" w:color="auto" w:fill="FFFFFF"/>
        </w:rPr>
        <w:t>我单位未组织开展绩效评价。</w:t>
      </w:r>
    </w:p>
    <w:p>
      <w:pPr>
        <w:pStyle w:val="12"/>
        <w:numPr>
          <w:ilvl w:val="0"/>
          <w:numId w:val="3"/>
        </w:numPr>
        <w:autoSpaceDE w:val="0"/>
        <w:spacing w:line="594" w:lineRule="exact"/>
        <w:ind w:firstLine="643"/>
        <w:rPr>
          <w:rFonts w:ascii="Times New Roman" w:hAnsi="Times New Roman" w:eastAsia="方正仿宋_GBK"/>
          <w:sz w:val="32"/>
          <w:szCs w:val="32"/>
          <w:shd w:val="clear" w:color="auto" w:fill="FFFFFF"/>
          <w:lang w:bidi="ar"/>
        </w:rPr>
      </w:pPr>
      <w:r>
        <w:rPr>
          <w:rFonts w:ascii="Times New Roman" w:hAnsi="Times New Roman" w:eastAsia="楷体"/>
          <w:b/>
          <w:bCs/>
          <w:sz w:val="32"/>
          <w:szCs w:val="32"/>
          <w:shd w:val="clear" w:color="auto" w:fill="FFFFFF"/>
          <w:lang w:bidi="ar"/>
        </w:rPr>
        <w:t>财政绩效评价情况</w:t>
      </w:r>
    </w:p>
    <w:p>
      <w:pPr>
        <w:pStyle w:val="13"/>
        <w:autoSpaceDE w:val="0"/>
        <w:spacing w:before="0" w:beforeAutospacing="0" w:after="0" w:afterAutospacing="0" w:line="594" w:lineRule="exact"/>
        <w:ind w:firstLine="640" w:firstLineChars="200"/>
        <w:rPr>
          <w:rFonts w:ascii="Times New Roman" w:hAnsi="Times New Roman" w:eastAsia="楷体"/>
          <w:b/>
          <w:bCs/>
          <w:sz w:val="32"/>
          <w:szCs w:val="32"/>
          <w:shd w:val="clear" w:color="auto" w:fill="FFFFFF"/>
          <w:lang w:bidi="ar"/>
        </w:rPr>
      </w:pP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财政局未委托第三方对我单位开展绩效评价。</w:t>
      </w:r>
    </w:p>
    <w:p>
      <w:pPr>
        <w:pStyle w:val="7"/>
        <w:numPr>
          <w:ilvl w:val="255"/>
          <w:numId w:val="0"/>
        </w:numPr>
        <w:shd w:val="clear" w:color="auto" w:fill="FFFFFF"/>
        <w:spacing w:before="0" w:beforeAutospacing="0" w:after="0" w:afterAutospacing="0" w:line="594" w:lineRule="exact"/>
        <w:ind w:firstLine="321" w:firstLineChars="100"/>
        <w:rPr>
          <w:rStyle w:val="11"/>
          <w:rFonts w:hint="default" w:ascii="Times New Roman" w:hAnsi="Times New Roman" w:eastAsia="黑体"/>
          <w:sz w:val="32"/>
          <w:szCs w:val="32"/>
          <w:shd w:val="clear" w:color="auto" w:fill="FFFFFF"/>
        </w:rPr>
      </w:pPr>
      <w:r>
        <w:rPr>
          <w:rStyle w:val="11"/>
          <w:rFonts w:ascii="Times New Roman" w:hAnsi="Times New Roman" w:eastAsia="黑体"/>
          <w:sz w:val="32"/>
          <w:szCs w:val="32"/>
          <w:shd w:val="clear" w:color="auto" w:fill="FFFFFF"/>
        </w:rPr>
        <w:t xml:space="preserve">  六、</w:t>
      </w:r>
      <w:r>
        <w:rPr>
          <w:rStyle w:val="11"/>
          <w:rFonts w:hint="default" w:ascii="Times New Roman" w:hAnsi="Times New Roman" w:eastAsia="黑体"/>
          <w:sz w:val="32"/>
          <w:szCs w:val="32"/>
          <w:shd w:val="clear" w:color="auto" w:fill="FFFFFF"/>
        </w:rPr>
        <w:t>专业名词解释</w:t>
      </w:r>
    </w:p>
    <w:p>
      <w:pPr>
        <w:pStyle w:val="7"/>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lang w:bidi="ar"/>
        </w:rPr>
        <w:t> </w:t>
      </w:r>
      <w:r>
        <w:rPr>
          <w:rFonts w:hint="default" w:ascii="Times New Roman" w:hAnsi="Times New Roman" w:eastAsia="楷体"/>
          <w:b/>
          <w:bCs/>
          <w:sz w:val="32"/>
          <w:szCs w:val="32"/>
          <w:shd w:val="clear" w:color="auto" w:fill="FFFFFF"/>
          <w:lang w:bidi="ar"/>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 </w:t>
      </w:r>
      <w:r>
        <w:rPr>
          <w:rStyle w:val="11"/>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94" w:lineRule="exact"/>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 xml:space="preserve">  </w:t>
      </w:r>
      <w:r>
        <w:rPr>
          <w:rStyle w:val="11"/>
          <w:rFonts w:hint="default" w:ascii="Times New Roman" w:hAnsi="Times New Roman" w:eastAsia="黑体"/>
          <w:sz w:val="32"/>
          <w:szCs w:val="32"/>
          <w:shd w:val="clear" w:color="auto" w:fill="FFFFFF"/>
        </w:rPr>
        <w:t>七、决算公开联系方式及信息反馈渠道</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shd w:val="clear" w:color="auto" w:fill="FFFFFF"/>
        </w:rPr>
        <w:t>刘老师  023-74</w:t>
      </w:r>
      <w:r>
        <w:rPr>
          <w:rFonts w:hint="eastAsia" w:ascii="Times New Roman" w:hAnsi="Times New Roman" w:eastAsia="方正仿宋_GBK"/>
          <w:sz w:val="32"/>
          <w:szCs w:val="32"/>
          <w:shd w:val="clear" w:color="auto" w:fill="FFFFFF"/>
          <w:lang w:val="en-US" w:eastAsia="zh-CN"/>
        </w:rPr>
        <w:t>682339</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rPr>
            </w:pPr>
            <w:r>
              <w:rPr>
                <w:rFonts w:cs="宋体"/>
              </w:rPr>
              <w:t>公开单位：垫江县招商投资促进局（本级）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344.33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7.62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13.54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390.46 </w:t>
            </w:r>
          </w:p>
        </w:tc>
      </w:tr>
    </w:tbl>
    <w:p>
      <w:pPr>
        <w:rPr>
          <w:rFonts w:hint="default" w:cs="宋体"/>
          <w:sz w:val="21"/>
          <w:szCs w:val="21"/>
          <w:lang w:bidi="ar"/>
        </w:rPr>
      </w:pPr>
      <w:r>
        <w:rPr>
          <w:rFonts w:cs="宋体"/>
          <w:sz w:val="21"/>
          <w:szCs w:val="21"/>
          <w:lang w:bidi="ar"/>
        </w:rPr>
        <w:t>备注：1.本表反映单位本年度的总收支和年末结转结余情况。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cs="宋体"/>
              </w:rPr>
              <w:t>公开单位：垫江县招商投资促进局（本级）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390.46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390.46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178.67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178.67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178.67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178.67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p>
    <w:p>
      <w:pPr>
        <w:ind w:left="630" w:hanging="630" w:hangingChars="300"/>
        <w:rPr>
          <w:rFonts w:hint="default" w:cs="宋体"/>
          <w:sz w:val="21"/>
          <w:szCs w:val="21"/>
          <w:lang w:bidi="ar"/>
        </w:rPr>
      </w:pPr>
      <w:r>
        <w:rPr>
          <w:rFonts w:cs="宋体"/>
          <w:sz w:val="21"/>
          <w:szCs w:val="21"/>
          <w:lang w:bidi="ar"/>
        </w:rPr>
        <w:t>2.本套报表金额单位转换时可能存在尾数误差。</w:t>
      </w:r>
    </w:p>
    <w:p>
      <w:pPr>
        <w:ind w:left="630" w:hanging="630" w:hangingChars="300"/>
        <w:rPr>
          <w:rFonts w:hint="default" w:cs="宋体"/>
          <w:sz w:val="21"/>
          <w:szCs w:val="21"/>
          <w:lang w:bidi="ar"/>
        </w:rPr>
      </w:pPr>
    </w:p>
    <w:p>
      <w:pPr>
        <w:ind w:left="630" w:hanging="630" w:hangingChars="300"/>
        <w:rPr>
          <w:rFonts w:hint="default" w:cs="宋体"/>
          <w:sz w:val="21"/>
          <w:szCs w:val="21"/>
          <w:lang w:bidi="ar"/>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垫江县招商投资促进局（本级）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390.46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224.79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165.66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24.43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备注：1.本表反映单位本年度各项支出情况。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344.33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344.33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390.46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390.46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390.46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390.46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224.79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344.33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178.67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178.67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178.67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178.67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178.67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24.43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24.43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24.43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24.43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182.45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42.34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68.58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182.45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42.34 </w:t>
            </w:r>
          </w:p>
        </w:tc>
      </w:tr>
    </w:tbl>
    <w:p>
      <w:pPr>
        <w:rPr>
          <w:rFonts w:hint="default" w:cs="宋体"/>
          <w:sz w:val="21"/>
          <w:szCs w:val="21"/>
          <w:lang w:bidi="ar"/>
        </w:rPr>
      </w:pPr>
      <w:r>
        <w:rPr>
          <w:rFonts w:cs="宋体"/>
          <w:sz w:val="21"/>
          <w:szCs w:val="21"/>
          <w:lang w:bidi="ar"/>
        </w:rPr>
        <w:t>备注：1.本表反映单位本年度一般公共预算财政拨款基本支出明细情况。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备注：本表反映单位本年度政府性基金预算财政拨款收入支出及结转和结余情况。本单位无政府性基金收支，故本表无数据。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垫江县招商投资促进局（本级）</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53.24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53.24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47.05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418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2,998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3.69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0.54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pPr>
        <w:ind w:left="0"/>
      </w:pPr>
      <w:rPr>
        <w:rFonts w:hint="eastAsia"/>
      </w:rPr>
    </w:lvl>
  </w:abstractNum>
  <w:abstractNum w:abstractNumId="1">
    <w:nsid w:val="035B46C0"/>
    <w:multiLevelType w:val="singleLevel"/>
    <w:tmpl w:val="035B46C0"/>
    <w:lvl w:ilvl="0" w:tentative="0">
      <w:start w:val="2"/>
      <w:numFmt w:val="chineseCounting"/>
      <w:suff w:val="nothing"/>
      <w:lvlText w:val="（%1）"/>
      <w:lvlJc w:val="left"/>
      <w:rPr>
        <w:rFonts w:hint="eastAsia"/>
      </w:rPr>
    </w:lvl>
  </w:abstractNum>
  <w:abstractNum w:abstractNumId="2">
    <w:nsid w:val="4B5480EA"/>
    <w:multiLevelType w:val="singleLevel"/>
    <w:tmpl w:val="4B5480EA"/>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273A9F"/>
    <w:rsid w:val="003569CF"/>
    <w:rsid w:val="00550ABE"/>
    <w:rsid w:val="00713D13"/>
    <w:rsid w:val="007B419D"/>
    <w:rsid w:val="009B67B8"/>
    <w:rsid w:val="00B03CCD"/>
    <w:rsid w:val="00C4191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A1454E"/>
    <w:rsid w:val="12C921C4"/>
    <w:rsid w:val="13033B9C"/>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9D5BA3"/>
    <w:rsid w:val="24B92327"/>
    <w:rsid w:val="24C14514"/>
    <w:rsid w:val="2533755C"/>
    <w:rsid w:val="25791755"/>
    <w:rsid w:val="26272B27"/>
    <w:rsid w:val="26396DF4"/>
    <w:rsid w:val="27167136"/>
    <w:rsid w:val="271B442C"/>
    <w:rsid w:val="27B23302"/>
    <w:rsid w:val="29310A5F"/>
    <w:rsid w:val="294F2DD3"/>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0D5A39"/>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4C2ADE"/>
    <w:rsid w:val="44C37687"/>
    <w:rsid w:val="45CB699A"/>
    <w:rsid w:val="46005F51"/>
    <w:rsid w:val="465B470D"/>
    <w:rsid w:val="469D6AD4"/>
    <w:rsid w:val="471E6C84"/>
    <w:rsid w:val="4748792B"/>
    <w:rsid w:val="475D719D"/>
    <w:rsid w:val="47674801"/>
    <w:rsid w:val="48225EF7"/>
    <w:rsid w:val="4862363B"/>
    <w:rsid w:val="488F422B"/>
    <w:rsid w:val="48E36915"/>
    <w:rsid w:val="48EB6572"/>
    <w:rsid w:val="495C4A24"/>
    <w:rsid w:val="497135DF"/>
    <w:rsid w:val="4A263DF2"/>
    <w:rsid w:val="4A6F6675"/>
    <w:rsid w:val="4B135857"/>
    <w:rsid w:val="4B2B4F2C"/>
    <w:rsid w:val="4B7951CB"/>
    <w:rsid w:val="4B7C315C"/>
    <w:rsid w:val="4CBF112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86968"/>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851F6E"/>
    <w:rsid w:val="73934AD2"/>
    <w:rsid w:val="750837F0"/>
    <w:rsid w:val="754758CF"/>
    <w:rsid w:val="764F62AB"/>
    <w:rsid w:val="765C45EC"/>
    <w:rsid w:val="768A7619"/>
    <w:rsid w:val="772E1EBA"/>
    <w:rsid w:val="777F251D"/>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19"/>
    <w:qFormat/>
    <w:uiPriority w:val="0"/>
    <w:rPr>
      <w:rFonts w:hint="default" w:ascii="Times New Roman" w:hAnsi="Times New Roman" w:cs="Times New Roman"/>
      <w:color w:val="000000"/>
      <w:sz w:val="10"/>
      <w:szCs w:val="10"/>
    </w:rPr>
  </w:style>
  <w:style w:type="character" w:customStyle="1" w:styleId="17">
    <w:name w:val="16"/>
    <w:qFormat/>
    <w:uiPriority w:val="0"/>
    <w:rPr>
      <w:rFonts w:hint="eastAsia" w:ascii="方正仿宋_GBK" w:hAnsi="方正仿宋_GBK" w:eastAsia="方正仿宋_GBK" w:cs="方正仿宋_GBK"/>
      <w:color w:val="000000"/>
      <w:sz w:val="10"/>
      <w:szCs w:val="10"/>
    </w:rPr>
  </w:style>
  <w:style w:type="character" w:customStyle="1" w:styleId="18">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9958</Words>
  <Characters>12132</Characters>
  <Lines>108</Lines>
  <Paragraphs>30</Paragraphs>
  <TotalTime>11</TotalTime>
  <ScaleCrop>false</ScaleCrop>
  <LinksUpToDate>false</LinksUpToDate>
  <CharactersWithSpaces>13218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2025-08-07T02:07:01Z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8806A262308847F8B45F4D0D146C4AC1_13</vt:lpwstr>
  </property>
</Properties>
</file>