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垫江县招商投资促进局（汇总）</w:t>
      </w:r>
    </w:p>
    <w:p>
      <w:pPr>
        <w:pStyle w:val="6"/>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olor w:val="000000" w:themeColor="text1"/>
          <w:sz w:val="32"/>
          <w:szCs w:val="32"/>
          <w:shd w:val="clear" w:color="auto" w:fill="FFFFFF"/>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黑体"/>
          <w:color w:val="000000" w:themeColor="text1"/>
          <w:sz w:val="32"/>
          <w:szCs w:val="32"/>
          <w:shd w:val="clear" w:color="auto" w:fill="FFFFFF"/>
          <w14:textFill>
            <w14:solidFill>
              <w14:schemeClr w14:val="tx1"/>
            </w14:solidFill>
          </w14:textFill>
        </w:rPr>
        <w:t>一、部门基本情况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Style w:val="15"/>
          <w:rFonts w:eastAsia="方正楷体_GBK"/>
          <w:color w:val="000000" w:themeColor="text1"/>
          <w:sz w:val="32"/>
          <w:szCs w:val="32"/>
          <w:shd w:val="clear" w:color="auto" w:fill="FFFFFF"/>
          <w14:textFill>
            <w14:solidFill>
              <w14:schemeClr w14:val="tx1"/>
            </w14:solidFill>
          </w14:textFill>
        </w:rPr>
        <w:t>（一）职能职责</w:t>
      </w:r>
    </w:p>
    <w:p>
      <w:pPr>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1.贯彻执行国家、市有关招商投资促进的方针政策和法律、法规、规章。负责统筹、指导、协调和督促全县招商投资促进工作。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2.负责组织研究产业发展趋势和招商投资促进政策，提出对策和建议。组织拟订全县招商投资促进发展中长期规划和年度计划并组织实施。</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3.负责建立和完善全县招商项目库，组织搜集、整理、研判全县招商引资项目信息。</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4.负责对外经济交流与合作。组织开展与大型企业和机构的投资促进战略合作，统筹协调重要投资考察团（组）来访接洽和驻外招商工作。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5.负责宣传全县投资环境。建立和完善招商网络及联系渠道，统筹策划全县综合性招商推介活动，推介重点区域、重点产业、县级重大招商项目。</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6.负责建立招商投资促进协同联动工作机制。负责统筹、参与重大项目的招商引资工作。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7.负责统筹协调全县招商专家顾问的联络、服务工作。建立全县招商投资促进工作信息报送和统计机制，协调指导招商引资信息化建设。</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8.负责起草制定全县招商投资促进工作综合评价体系和考核办法并组织实施。强化招商项目的评审评估，牵头重大招商项目实施情况督查督办，协调解决招商重大问题。建立招商引资同质化竞争调处机制，规范招商引资秩序。负责招商投资促进相关法律事务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9.负责指导全县招商投资促进队伍建设。</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10.完成县委、县政府交办的其他任务</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楷体"/>
          <w:color w:val="000000" w:themeColor="text1"/>
          <w:sz w:val="32"/>
          <w:szCs w:val="32"/>
          <w14:textFill>
            <w14:solidFill>
              <w14:schemeClr w14:val="tx1"/>
            </w14:solidFill>
          </w14:textFill>
        </w:rPr>
      </w:pPr>
      <w:r>
        <w:rPr>
          <w:rStyle w:val="10"/>
          <w:rFonts w:hint="default" w:ascii="Times New Roman" w:hAnsi="Times New Roman" w:eastAsia="楷体"/>
          <w:color w:val="000000" w:themeColor="text1"/>
          <w:sz w:val="32"/>
          <w:szCs w:val="32"/>
          <w:shd w:val="clear" w:color="auto" w:fill="FFFFFF"/>
          <w14:textFill>
            <w14:solidFill>
              <w14:schemeClr w14:val="tx1"/>
            </w14:solidFill>
          </w14:textFill>
        </w:rPr>
        <w:t>（二）机构设置</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垫江县招商投资促进局设内设机构4个，分别是办公室、规划发展科、招商促进科、综合效能科。</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办公室：</w:t>
      </w:r>
      <w:r>
        <w:rPr>
          <w:rFonts w:ascii="Times New Roman" w:hAnsi="Times New Roman" w:eastAsia="方正仿宋_GBK"/>
          <w:color w:val="000000" w:themeColor="text1"/>
          <w:sz w:val="32"/>
          <w:szCs w:val="32"/>
          <w14:textFill>
            <w14:solidFill>
              <w14:schemeClr w14:val="tx1"/>
            </w14:solidFill>
          </w14:textFill>
        </w:rPr>
        <w:t>负责机关和所属单位党的建设工作。负责机关日常运转工作。负责文电、机要、档案、干部人事、机构编制、工资福利等工作。负责固定资产、财务管理工作。负责机关督查、信访、信息、安全、保密、新闻宣传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规划发展科：负责组织研究产业发展趋势和招商投资促进政策，提出对策和建议；负责组织拟订全县招商投资促进发展中长期规划和年度计划并组织实施；负责重点招商项目包装策划；负责招商投资促进相关法律事务工作；负责全县招商专家顾问的联络、服务等工作；负责纳入县级决策招商项目的初审或前评估；负责指导全县招商投资促进队伍建设，组织实施人员培训工作；负责招商引资同质化竞争调处等具体工作，规范招商引资秩序。</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招商促进科：负责建立招商投资促进协同联动工作机制，建立和完善招商网络及联系渠道；统筹策划全县综合性招商推介活动；负责宣传全县投资环境，推介重点区域、重点产业、县级重大招商项目；负责组织搜集、整理、研判全县招商引资项目信息；承担县招商投资局统筹、参与的重大项目招商引资具体工作，协调推进县级重大招商项目；承担与大型企业和机构的投资促进战略合作及重要投资考察团（组）来访接洽方面具体工作。</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综合效能科：负责全县招商投资促进考核评价、集中签约等相关工作，负责已签约重大招商项目实施情况的督查督办具体工作；负责建立全县招商投资促进工作信息报送和统计机制，协调指导招商引资信息化建设；负责汇总分析、跟踪管理全县招商投资促进目标任务完成情况及工作动态信息；负责建立和完善招商项目库；负责收集、筛选和确定县级重点招商项目；负责全县招商项目投资协议收集、整理、归档；负责招商项目后评价。</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下属事业单位垫江县招商投资服务中心，其主要职责任务：负责全县整体投资环境和产业投资的对外宣传、推介活动；承担全县招商引资相关活动的商务接待工作。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黑体"/>
          <w:color w:val="000000" w:themeColor="text1"/>
          <w:sz w:val="32"/>
          <w:szCs w:val="32"/>
          <w:shd w:val="clear" w:color="auto" w:fill="FFFFFF"/>
          <w14:textFill>
            <w14:solidFill>
              <w14:schemeClr w14:val="tx1"/>
            </w14:solidFill>
          </w14:textFill>
        </w:rPr>
        <w:t>二、部门决算情况说明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2023年度收入总计583.11万元，支出总计</w:t>
      </w:r>
      <w:r>
        <w:rPr>
          <w:rFonts w:hint="default" w:ascii="Times New Roman" w:hAnsi="Times New Roman" w:eastAsia="方正仿宋_GBK"/>
          <w:color w:val="000000" w:themeColor="text1"/>
          <w:sz w:val="32"/>
          <w:szCs w:val="32"/>
          <w14:textFill>
            <w14:solidFill>
              <w14:schemeClr w14:val="tx1"/>
            </w14:solidFill>
          </w14:textFill>
        </w:rPr>
        <w:t>583.11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万元。收支较上年决算数减少110.36万元，下降15.91%，主要原因是人员调出以及项目经费的减少。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2023年度收入合计583.11万元，较上年决算数减少110.28万元，下降15.90%，主要原因是人员调出以及项目经费的减少。其中：财政拨款收入</w:t>
      </w:r>
      <w:r>
        <w:rPr>
          <w:rFonts w:hint="default" w:ascii="Times New Roman" w:hAnsi="Times New Roman" w:eastAsia="方正仿宋_GBK"/>
          <w:color w:val="000000" w:themeColor="text1"/>
          <w:sz w:val="32"/>
          <w:szCs w:val="32"/>
          <w14:textFill>
            <w14:solidFill>
              <w14:schemeClr w14:val="tx1"/>
            </w14:solidFill>
          </w14:textFill>
        </w:rPr>
        <w:t>583.11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100.00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olor w:val="000000" w:themeColor="text1"/>
          <w:sz w:val="32"/>
          <w:szCs w:val="32"/>
          <w14:textFill>
            <w14:solidFill>
              <w14:schemeClr w14:val="tx1"/>
            </w14:solidFill>
          </w14:textFill>
        </w:rPr>
        <w:t>583.11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万元，较上年决算数减少110.28万元，下降15.90%，主要原因是人员调出以及项目经费的减少。其中：基本支出</w:t>
      </w:r>
      <w:r>
        <w:rPr>
          <w:rFonts w:hint="default" w:ascii="Times New Roman" w:hAnsi="Times New Roman" w:eastAsia="方正仿宋_GBK"/>
          <w:color w:val="000000" w:themeColor="text1"/>
          <w:sz w:val="32"/>
          <w:szCs w:val="32"/>
          <w14:textFill>
            <w14:solidFill>
              <w14:schemeClr w14:val="tx1"/>
            </w14:solidFill>
          </w14:textFill>
        </w:rPr>
        <w:t>417.44</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万元，占71.59%；项目支出</w:t>
      </w:r>
      <w:r>
        <w:rPr>
          <w:rFonts w:hint="default" w:ascii="Times New Roman" w:hAnsi="Times New Roman" w:eastAsia="方正仿宋_GBK"/>
          <w:color w:val="000000" w:themeColor="text1"/>
          <w:sz w:val="32"/>
          <w:szCs w:val="32"/>
          <w14:textFill>
            <w14:solidFill>
              <w14:schemeClr w14:val="tx1"/>
            </w14:solidFill>
          </w14:textFill>
        </w:rPr>
        <w:t>165.66</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万元，占28.41%；经营支出</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万元，较上年决算数减少0.08万元，下降100.00%，主要原因是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及时</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使用资金，</w:t>
      </w:r>
      <w:r>
        <w:rPr>
          <w:rFonts w:ascii="Times New Roman" w:hAnsi="Times New Roman" w:eastAsia="方正仿宋_GBK"/>
          <w:color w:val="000000" w:themeColor="text1"/>
          <w:sz w:val="32"/>
          <w:szCs w:val="32"/>
          <w:shd w:val="clear" w:color="auto" w:fill="FFFFFF"/>
          <w14:textFill>
            <w14:solidFill>
              <w14:schemeClr w14:val="tx1"/>
            </w14:solidFill>
          </w14:textFill>
        </w:rPr>
        <w:t>年末</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无结转和结余。</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2023年度财政拨款收、支总计583.11万元。与2022年相比，财政拨款收、支总计各减少110.28万元，下降15.90%。主要原因是人员调出以及项目经费的减少。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olor w:val="000000" w:themeColor="text1"/>
          <w:sz w:val="32"/>
          <w:szCs w:val="32"/>
          <w14:textFill>
            <w14:solidFill>
              <w14:schemeClr w14:val="tx1"/>
            </w14:solidFill>
          </w14:textFill>
        </w:rPr>
        <w:t>583.11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减少110.28万元，下降15.90%。主要原因是人员调出以及项目经费的减少。较年初预算数增加18.24万元，增长3.23%。主要原因是2023年人员工资调标以及项目经费的追加。此外，年初财政拨款结转和结余</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olor w:val="000000" w:themeColor="text1"/>
          <w:sz w:val="32"/>
          <w:szCs w:val="32"/>
          <w14:textFill>
            <w14:solidFill>
              <w14:schemeClr w14:val="tx1"/>
            </w14:solidFill>
          </w14:textFill>
        </w:rPr>
        <w:t>583.11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万元，较上年决算数减少110.28万元，下降15.90%。主要原因是人员调出以及项目经费的减少。较年初预算数增加18.24万元，增长3.23%。主要原因是2023年人员工资调标以及项目经费的追加。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r>
        <w:rPr>
          <w:rFonts w:ascii="方正仿宋_GBK" w:hAnsi="方正仿宋_GBK" w:eastAsia="方正仿宋_GBK" w:cs="方正仿宋_GBK"/>
          <w:sz w:val="32"/>
          <w:szCs w:val="32"/>
          <w:shd w:val="clear" w:color="auto" w:fill="FFFFFF"/>
        </w:rPr>
        <w:t>较上年决算数无增减，主要原因是</w:t>
      </w:r>
      <w:r>
        <w:rPr>
          <w:rFonts w:hint="default" w:eastAsia="方正仿宋_GBK"/>
          <w:sz w:val="32"/>
          <w:szCs w:val="32"/>
        </w:rPr>
        <w:t>本年度与上年度均无结转结余</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000000" w:themeColor="text1"/>
          <w:sz w:val="32"/>
          <w:szCs w:val="32"/>
          <w:highlight w:val="cyan"/>
          <w:shd w:val="clear" w:color="auto" w:fill="FFFFFF"/>
          <w14:textFill>
            <w14:solidFill>
              <w14:schemeClr w14:val="tx1"/>
            </w14:solidFill>
          </w14:textFill>
        </w:rPr>
      </w:pPr>
      <w:r>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olor w:val="000000" w:themeColor="text1"/>
          <w:sz w:val="32"/>
          <w:szCs w:val="32"/>
          <w14:textFill>
            <w14:solidFill>
              <w14:schemeClr w14:val="tx1"/>
            </w14:solidFill>
          </w14:textFill>
        </w:rPr>
        <w:t>507.43</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87.02</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%，较年初预算数增加23.95万元，增长4.95%，主要原因是2023年人员工资调标以及项目经费的追加。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（2）教育支出</w:t>
      </w:r>
      <w:r>
        <w:rPr>
          <w:rFonts w:hint="default" w:ascii="Times New Roman" w:hAnsi="Times New Roman" w:eastAsia="方正仿宋_GBK"/>
          <w:color w:val="000000" w:themeColor="text1"/>
          <w:sz w:val="32"/>
          <w:szCs w:val="32"/>
          <w14:textFill>
            <w14:solidFill>
              <w14:schemeClr w14:val="tx1"/>
            </w14:solidFill>
          </w14:textFill>
        </w:rPr>
        <w:t>1.11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0.19</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主要原因是严格按照预算</w:t>
      </w:r>
      <w:r>
        <w:rPr>
          <w:rFonts w:ascii="Times New Roman" w:hAnsi="Times New Roman" w:eastAsia="方正仿宋_GBK"/>
          <w:sz w:val="32"/>
          <w:szCs w:val="32"/>
          <w:shd w:val="clear" w:color="auto" w:fill="FFFFFF"/>
        </w:rPr>
        <w:t>执行</w:t>
      </w:r>
      <w:r>
        <w:rPr>
          <w:rFonts w:hint="default" w:ascii="Times New Roman" w:hAnsi="Times New Roman" w:eastAsia="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（3）社会保障与就业支出</w:t>
      </w:r>
      <w:r>
        <w:rPr>
          <w:rFonts w:hint="default" w:ascii="Times New Roman" w:hAnsi="Times New Roman" w:eastAsia="方正仿宋_GBK"/>
          <w:color w:val="000000" w:themeColor="text1"/>
          <w:sz w:val="32"/>
          <w:szCs w:val="32"/>
          <w14:textFill>
            <w14:solidFill>
              <w14:schemeClr w14:val="tx1"/>
            </w14:solidFill>
          </w14:textFill>
        </w:rPr>
        <w:t>42.17</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7.23</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%，较年初预算数减少0.81万元，下降1.88%，主要原因是人员调出。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（4）卫生健康支出</w:t>
      </w:r>
      <w:r>
        <w:rPr>
          <w:rFonts w:hint="default" w:ascii="Times New Roman" w:hAnsi="Times New Roman" w:eastAsia="方正仿宋_GBK"/>
          <w:color w:val="000000" w:themeColor="text1"/>
          <w:sz w:val="32"/>
          <w:szCs w:val="32"/>
          <w14:textFill>
            <w14:solidFill>
              <w14:schemeClr w14:val="tx1"/>
            </w14:solidFill>
          </w14:textFill>
        </w:rPr>
        <w:t>15.01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2.57</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%，较年初预算数增加0.81万元，增长5.70%，主要原因是医疗保险基数增加。</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（5）</w:t>
      </w:r>
      <w:r>
        <w:rPr>
          <w:rFonts w:hint="default" w:ascii="Times New Roman" w:hAnsi="Times New Roman" w:eastAsia="方正仿宋_GBK"/>
          <w:color w:val="000000" w:themeColor="text1"/>
          <w:sz w:val="32"/>
          <w:szCs w:val="32"/>
          <w14:textFill>
            <w14:solidFill>
              <w14:schemeClr w14:val="tx1"/>
            </w14:solidFill>
          </w14:textFill>
        </w:rPr>
        <w:t>住房保障支出17.39</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14:textFill>
            <w14:solidFill>
              <w14:schemeClr w14:val="tx1"/>
            </w14:solidFill>
          </w14:textFill>
        </w:rPr>
        <w:t>2.98</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%，较年初预算数减少5.72万元，下降24.75%，主要原因是人员调出、清退2021年公务员多缴公积金以及事业人员降低公积金基数。</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2023年度一般公共财政拨款基本支出</w:t>
      </w:r>
      <w:r>
        <w:rPr>
          <w:rFonts w:hint="default" w:ascii="Times New Roman" w:hAnsi="Times New Roman" w:eastAsia="方正仿宋_GBK"/>
          <w:color w:val="000000" w:themeColor="text1"/>
          <w:sz w:val="32"/>
          <w:szCs w:val="32"/>
          <w14:textFill>
            <w14:solidFill>
              <w14:schemeClr w14:val="tx1"/>
            </w14:solidFill>
          </w14:textFill>
        </w:rPr>
        <w:t>417.44</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olor w:val="000000" w:themeColor="text1"/>
          <w:sz w:val="32"/>
          <w:szCs w:val="32"/>
          <w14:textFill>
            <w14:solidFill>
              <w14:schemeClr w14:val="tx1"/>
            </w14:solidFill>
          </w14:textFill>
        </w:rPr>
        <w:t>343.13</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增加7.03万元，增长2.09%，主要原因是工资调标及养老保险等基数增加。人员经费用途主要包括基本工资、津贴补贴、奖金、机关事业单位养老保险费、职业年金缴费、职工基本医疗保险缴费、住房公积金、其他工资福利支出等。公用经费</w:t>
      </w:r>
      <w:r>
        <w:rPr>
          <w:rFonts w:hint="default" w:ascii="Times New Roman" w:hAnsi="Times New Roman" w:eastAsia="方正仿宋_GBK"/>
          <w:color w:val="000000" w:themeColor="text1"/>
          <w:sz w:val="32"/>
          <w:szCs w:val="32"/>
          <w14:textFill>
            <w14:solidFill>
              <w14:schemeClr w14:val="tx1"/>
            </w14:solidFill>
          </w14:textFill>
        </w:rPr>
        <w:t>74.31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万元，较上年决算数增加11.84万元，增长18.95%，主要原因是202</w:t>
      </w: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年项目经费弥补公用经费比例较高。公用经费用途主要包括办公费、印刷费、水费、电费、邮电费、差旅费、公务接待费、公务用车运行维护费、其他交通费用、其他商品和服务支出等。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2023年度无政府性基金预算财政拨款收支。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2023年度国有资本经营预算财政拨本年支出0.00万元，基本支出0.00万元，项目支出0.00万元，本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2023年度无国有资本经营预算财政拨款支出。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0"/>
          <w:rFonts w:hint="default" w:ascii="Times New Roman" w:hAnsi="Times New Roman" w:eastAsia="黑体"/>
          <w:color w:val="000000" w:themeColor="text1"/>
          <w:sz w:val="32"/>
          <w:szCs w:val="32"/>
          <w:shd w:val="clear" w:color="auto" w:fill="FFFFFF"/>
          <w14:textFill>
            <w14:solidFill>
              <w14:schemeClr w14:val="tx1"/>
            </w14:solidFill>
          </w14:textFill>
        </w:rPr>
      </w:pPr>
      <w:r>
        <w:rPr>
          <w:rStyle w:val="10"/>
          <w:rFonts w:hint="default" w:ascii="Times New Roman" w:hAnsi="Times New Roman" w:eastAsia="黑体"/>
          <w:color w:val="000000" w:themeColor="text1"/>
          <w:sz w:val="32"/>
          <w:szCs w:val="32"/>
          <w:shd w:val="clear" w:color="auto" w:fill="FFFFFF"/>
          <w14:textFill>
            <w14:solidFill>
              <w14:schemeClr w14:val="tx1"/>
            </w14:solidFill>
          </w14:textFill>
        </w:rPr>
        <w:t>三、“三公”经费情况说明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olor w:val="000000" w:themeColor="text1"/>
          <w:sz w:val="32"/>
          <w:szCs w:val="32"/>
          <w14:textFill>
            <w14:solidFill>
              <w14:schemeClr w14:val="tx1"/>
            </w14:solidFill>
          </w14:textFill>
        </w:rPr>
        <w:t>53.24</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万元，较年初预算数增加48.04万元，增长923.85%，主要原因是年初预算时的公务接待费未包含项目经费中列支的商务接待费。较上年支出数减少0.07万元，下降0.13%，主要原因是严格落实政府过紧日子要求。</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0.00万元。费用支出较年初预算数无增减，主要原因是年初预算数未安排公务车购置费用。较上年支出数无增减，主要原因是上年和本年均未发生公务车购置费用。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方正仿宋_GBK"/>
          <w:color w:val="000000" w:themeColor="text1"/>
          <w:sz w:val="32"/>
          <w:szCs w:val="32"/>
          <w14:textFill>
            <w14:solidFill>
              <w14:schemeClr w14:val="tx1"/>
            </w14:solidFill>
          </w14:textFill>
        </w:rPr>
        <w:t>6.20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万元，主要用于公务车的加油、保险、维修等费用。费用支出较年初预算数增加1.20万元，增长24.00%，主要原因是年初预算不足。较上年支出数减少0.71万元，下降10.27%，主要原因是严格落实政府过紧日子要求。</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公务接待费</w:t>
      </w:r>
      <w:r>
        <w:rPr>
          <w:rFonts w:hint="default" w:ascii="Times New Roman" w:hAnsi="Times New Roman" w:eastAsia="方正仿宋_GBK"/>
          <w:color w:val="000000" w:themeColor="text1"/>
          <w:sz w:val="32"/>
          <w:szCs w:val="32"/>
          <w14:textFill>
            <w14:solidFill>
              <w14:schemeClr w14:val="tx1"/>
            </w14:solidFill>
          </w14:textFill>
        </w:rPr>
        <w:t>47.05</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主要用于接待招商引资。费用支出较年初预算数增加46.85万元，增长23425.00%，主要原因是年初预算时的公务接待费未包含项目经费中列支的商务接待费。较上年支出数增加0.65万元，增长1.40%，主要原因是2023年度招商任务加重，导致费用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2023年度本部门因公出国（境）共计</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olor w:val="000000" w:themeColor="text1"/>
          <w:sz w:val="32"/>
          <w:szCs w:val="32"/>
          <w14:textFill>
            <w14:solidFill>
              <w14:schemeClr w14:val="tx1"/>
            </w14:solidFill>
          </w14:textFill>
        </w:rPr>
        <w:t>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olor w:val="000000" w:themeColor="text1"/>
          <w:sz w:val="32"/>
          <w:szCs w:val="32"/>
          <w14:textFill>
            <w14:solidFill>
              <w14:schemeClr w14:val="tx1"/>
            </w14:solidFill>
          </w14:textFill>
        </w:rPr>
        <w:t>418</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14:textFill>
            <w14:solidFill>
              <w14:schemeClr w14:val="tx1"/>
            </w14:solidFill>
          </w14:textFill>
        </w:rPr>
        <w:t>2998</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人。2023年本部门人均接待费</w:t>
      </w:r>
      <w:r>
        <w:rPr>
          <w:rFonts w:hint="default" w:ascii="Times New Roman" w:hAnsi="Times New Roman" w:eastAsia="方正仿宋_GBK"/>
          <w:color w:val="000000" w:themeColor="text1"/>
          <w:sz w:val="32"/>
          <w:szCs w:val="32"/>
          <w14:textFill>
            <w14:solidFill>
              <w14:schemeClr w14:val="tx1"/>
            </w14:solidFill>
          </w14:textFill>
        </w:rPr>
        <w:t>156.92</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olor w:val="000000" w:themeColor="text1"/>
          <w:sz w:val="32"/>
          <w:szCs w:val="32"/>
          <w14:textFill>
            <w14:solidFill>
              <w14:schemeClr w14:val="tx1"/>
            </w14:solidFill>
          </w14:textFill>
        </w:rPr>
        <w:t>6.20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0"/>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0"/>
          <w:rFonts w:hint="default" w:ascii="Times New Roman" w:hAnsi="Times New Roman" w:eastAsia="黑体"/>
          <w:color w:val="000000" w:themeColor="text1"/>
          <w:sz w:val="32"/>
          <w:szCs w:val="32"/>
          <w:shd w:val="clear" w:color="auto" w:fill="FFFFFF"/>
          <w14:textFill>
            <w14:solidFill>
              <w14:schemeClr w14:val="tx1"/>
            </w14:solidFill>
          </w14:textFill>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本年度会议费支出</w:t>
      </w:r>
      <w:r>
        <w:rPr>
          <w:rFonts w:hint="default" w:ascii="Times New Roman" w:hAnsi="Times New Roman" w:eastAsia="方正仿宋_GBK"/>
          <w:color w:val="000000" w:themeColor="text1"/>
          <w:sz w:val="32"/>
          <w:szCs w:val="32"/>
          <w14:textFill>
            <w14:solidFill>
              <w14:schemeClr w14:val="tx1"/>
            </w14:solidFill>
          </w14:textFill>
        </w:rPr>
        <w:t>3.69</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万元，较上年决算数增加3.00万元，增长434.78%，主要</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原因是</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2023年受新冠疫情放开等因素影响，会议场次增加。本年度培训费支出</w:t>
      </w:r>
      <w:r>
        <w:rPr>
          <w:rFonts w:hint="default" w:ascii="Times New Roman" w:hAnsi="Times New Roman" w:eastAsia="方正仿宋_GBK"/>
          <w:color w:val="000000" w:themeColor="text1"/>
          <w:sz w:val="32"/>
          <w:szCs w:val="32"/>
          <w14:textFill>
            <w14:solidFill>
              <w14:schemeClr w14:val="tx1"/>
            </w14:solidFill>
          </w14:textFill>
        </w:rPr>
        <w:t>1.11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万元，较上年决算数增加1.08万元，增长3600.00%，主要原因是2023年职工参加培训场次增加，费用增加。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2023年度本部门机关运行经费支出</w:t>
      </w:r>
      <w:r>
        <w:rPr>
          <w:rFonts w:hint="default" w:ascii="Times New Roman" w:hAnsi="Times New Roman" w:eastAsia="方正仿宋_GBK"/>
          <w:color w:val="000000" w:themeColor="text1"/>
          <w:sz w:val="32"/>
          <w:szCs w:val="32"/>
          <w14:textFill>
            <w14:solidFill>
              <w14:schemeClr w14:val="tx1"/>
            </w14:solidFill>
          </w14:textFill>
        </w:rPr>
        <w:t>42.34</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万元，机关运行经费主要用于开支办公费、印刷费、水费、电费、邮电费、差旅费、公务接待费、</w:t>
      </w:r>
      <w:r>
        <w:rPr>
          <w:rFonts w:ascii="Times New Roman" w:hAnsi="Times New Roman" w:eastAsia="方正仿宋_GBK"/>
          <w:color w:val="000000" w:themeColor="text1"/>
          <w:sz w:val="32"/>
          <w:szCs w:val="32"/>
          <w:shd w:val="clear" w:color="auto" w:fill="FFFFFF"/>
          <w14:textFill>
            <w14:solidFill>
              <w14:schemeClr w14:val="tx1"/>
            </w14:solidFill>
          </w14:textFill>
        </w:rPr>
        <w:t>公务用车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运行维护费、其他交通费用、其他商品和服务支出等。机关运行经费较上年支出数增加8.47万元，增长25.01%，主要原因是2022年项目经费弥补公用经费比例较高。</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  截至2023年12月31日，本部门共有车辆</w:t>
      </w:r>
      <w:r>
        <w:rPr>
          <w:rFonts w:hint="default" w:ascii="Times New Roman" w:hAnsi="Times New Roman" w:eastAsia="方正仿宋_GBK"/>
          <w:color w:val="000000" w:themeColor="text1"/>
          <w:sz w:val="32"/>
          <w:szCs w:val="32"/>
          <w14:textFill>
            <w14:solidFill>
              <w14:schemeClr w14:val="tx1"/>
            </w14:solidFill>
          </w14:textFill>
        </w:rPr>
        <w:t>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olor w:val="000000" w:themeColor="text1"/>
          <w:sz w:val="32"/>
          <w:szCs w:val="32"/>
          <w14:textFill>
            <w14:solidFill>
              <w14:schemeClr w14:val="tx1"/>
            </w14:solidFill>
          </w14:textFill>
        </w:rPr>
        <w:t>1</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olor w:val="000000" w:themeColor="text1"/>
          <w:sz w:val="32"/>
          <w:szCs w:val="32"/>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960" w:firstLineChars="3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w:t>
      </w:r>
      <w:r>
        <w:rPr>
          <w:rFonts w:hint="default" w:ascii="方正仿宋_GBK" w:hAnsi="方正仿宋_GBK" w:eastAsia="方正仿宋_GBK" w:cs="方正仿宋_GBK"/>
          <w:sz w:val="32"/>
          <w:szCs w:val="32"/>
          <w:shd w:val="clear" w:color="auto" w:fill="FFFFFF"/>
        </w:rPr>
        <w:t>023年度本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pPr>
        <w:pStyle w:val="6"/>
        <w:numPr>
          <w:ilvl w:val="0"/>
          <w:numId w:val="1"/>
        </w:numPr>
        <w:shd w:val="clear" w:color="auto" w:fill="FFFFFF"/>
        <w:spacing w:before="0" w:beforeAutospacing="0" w:after="0" w:afterAutospacing="0" w:line="594" w:lineRule="exact"/>
        <w:ind w:firstLine="643" w:firstLineChars="200"/>
        <w:rPr>
          <w:rStyle w:val="10"/>
          <w:rFonts w:hint="default" w:ascii="Times New Roman" w:hAnsi="Times New Roman" w:eastAsia="黑体"/>
          <w:color w:val="000000" w:themeColor="text1"/>
          <w:sz w:val="32"/>
          <w:szCs w:val="32"/>
          <w:shd w:val="clear" w:color="auto" w:fill="FFFFFF"/>
          <w14:textFill>
            <w14:solidFill>
              <w14:schemeClr w14:val="tx1"/>
            </w14:solidFill>
          </w14:textFill>
        </w:rPr>
      </w:pPr>
      <w:r>
        <w:rPr>
          <w:rStyle w:val="10"/>
          <w:rFonts w:hint="default" w:ascii="Times New Roman" w:hAnsi="Times New Roman" w:eastAsia="黑体"/>
          <w:color w:val="000000" w:themeColor="text1"/>
          <w:sz w:val="32"/>
          <w:szCs w:val="32"/>
          <w:shd w:val="clear" w:color="auto" w:fill="FFFFFF"/>
          <w14:textFill>
            <w14:solidFill>
              <w14:schemeClr w14:val="tx1"/>
            </w14:solidFill>
          </w14:textFill>
        </w:rPr>
        <w:t>预算绩效管理情况说明</w:t>
      </w:r>
    </w:p>
    <w:p>
      <w:pPr>
        <w:pStyle w:val="11"/>
        <w:autoSpaceDE w:val="0"/>
        <w:spacing w:line="594" w:lineRule="exact"/>
        <w:ind w:firstLine="643"/>
        <w:rPr>
          <w:rFonts w:ascii="Times New Roman" w:hAnsi="Times New Roman" w:eastAsia="楷体"/>
          <w:b/>
          <w:bCs/>
          <w:color w:val="000000" w:themeColor="text1"/>
          <w:sz w:val="32"/>
          <w:szCs w:val="32"/>
          <w:shd w:val="clear" w:color="auto" w:fill="FFFFFF"/>
          <w:lang w:bidi="ar"/>
          <w14:textFill>
            <w14:solidFill>
              <w14:schemeClr w14:val="tx1"/>
            </w14:solidFill>
          </w14:textFill>
        </w:rPr>
      </w:pPr>
      <w:r>
        <w:rPr>
          <w:rFonts w:ascii="Times New Roman" w:hAnsi="Times New Roman" w:eastAsia="楷体"/>
          <w:b/>
          <w:bCs/>
          <w:color w:val="000000" w:themeColor="text1"/>
          <w:sz w:val="32"/>
          <w:szCs w:val="32"/>
          <w:shd w:val="clear" w:color="auto" w:fill="FFFFFF"/>
          <w:lang w:bidi="ar"/>
          <w14:textFill>
            <w14:solidFill>
              <w14:schemeClr w14:val="tx1"/>
            </w14:solidFill>
          </w14:textFill>
        </w:rPr>
        <w:t>（一）部门自评情况</w:t>
      </w:r>
    </w:p>
    <w:p>
      <w:pPr>
        <w:pStyle w:val="12"/>
        <w:autoSpaceDE w:val="0"/>
        <w:spacing w:before="0" w:beforeAutospacing="0" w:after="0" w:afterAutospacing="0" w:line="594" w:lineRule="exact"/>
        <w:ind w:firstLine="640" w:firstLineChars="200"/>
        <w:rPr>
          <w:rFonts w:ascii="Times New Roman" w:hAnsi="Times New Roman" w:eastAsia="方正仿宋_GBK"/>
          <w:color w:val="000000" w:themeColor="text1"/>
          <w:sz w:val="32"/>
          <w:szCs w:val="32"/>
          <w:highlight w:val="yellow"/>
          <w:shd w:val="clear" w:color="auto" w:fill="FFFFFF"/>
          <w:lang w:bidi="ar"/>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根据预算绩效管理要求，我单位对部门整体和1个二级项目开展了绩效自评，涉及资金195.62万元。</w:t>
      </w:r>
    </w:p>
    <w:tbl>
      <w:tblPr>
        <w:tblStyle w:val="7"/>
        <w:tblW w:w="8336" w:type="dxa"/>
        <w:tblInd w:w="0" w:type="dxa"/>
        <w:tblLayout w:type="fixed"/>
        <w:tblCellMar>
          <w:top w:w="0" w:type="dxa"/>
          <w:left w:w="0" w:type="dxa"/>
          <w:bottom w:w="0" w:type="dxa"/>
          <w:right w:w="0" w:type="dxa"/>
        </w:tblCellMar>
      </w:tblPr>
      <w:tblGrid>
        <w:gridCol w:w="876"/>
        <w:gridCol w:w="456"/>
        <w:gridCol w:w="475"/>
        <w:gridCol w:w="1023"/>
        <w:gridCol w:w="522"/>
        <w:gridCol w:w="1038"/>
        <w:gridCol w:w="642"/>
        <w:gridCol w:w="1278"/>
        <w:gridCol w:w="600"/>
        <w:gridCol w:w="733"/>
        <w:gridCol w:w="693"/>
      </w:tblGrid>
      <w:tr>
        <w:tblPrEx>
          <w:tblCellMar>
            <w:top w:w="0" w:type="dxa"/>
            <w:left w:w="0" w:type="dxa"/>
            <w:bottom w:w="0" w:type="dxa"/>
            <w:right w:w="0" w:type="dxa"/>
          </w:tblCellMar>
        </w:tblPrEx>
        <w:trPr>
          <w:trHeight w:val="8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000000"/>
                <w:sz w:val="20"/>
                <w:szCs w:val="20"/>
              </w:rPr>
            </w:pPr>
            <w:r>
              <w:rPr>
                <w:rFonts w:ascii="微软雅黑" w:hAnsi="微软雅黑" w:eastAsia="微软雅黑" w:cs="微软雅黑"/>
                <w:b/>
                <w:color w:val="000000"/>
                <w:sz w:val="20"/>
                <w:szCs w:val="20"/>
                <w:lang w:bidi="ar"/>
              </w:rPr>
              <w:t>2023年度部门整体绩效自评表</w:t>
            </w:r>
          </w:p>
        </w:tc>
      </w:tr>
      <w:tr>
        <w:tblPrEx>
          <w:tblCellMar>
            <w:top w:w="0" w:type="dxa"/>
            <w:left w:w="0" w:type="dxa"/>
            <w:bottom w:w="0" w:type="dxa"/>
            <w:right w:w="0" w:type="dxa"/>
          </w:tblCellMar>
        </w:tblPrEx>
        <w:trPr>
          <w:trHeight w:val="5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20"/>
                <w:szCs w:val="20"/>
              </w:rPr>
            </w:pPr>
            <w:r>
              <w:rPr>
                <w:rFonts w:cs="宋体"/>
                <w:b/>
                <w:color w:val="000000"/>
                <w:sz w:val="20"/>
                <w:szCs w:val="20"/>
                <w:lang w:bidi="ar"/>
              </w:rPr>
              <w:t>状态：绩效审核已审</w:t>
            </w:r>
          </w:p>
        </w:tc>
      </w:tr>
      <w:tr>
        <w:tblPrEx>
          <w:tblCellMar>
            <w:top w:w="0" w:type="dxa"/>
            <w:left w:w="0" w:type="dxa"/>
            <w:bottom w:w="0" w:type="dxa"/>
            <w:right w:w="0" w:type="dxa"/>
          </w:tblCellMar>
        </w:tblPrEx>
        <w:trPr>
          <w:trHeight w:val="8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垫江县招商投资促进局整体监控</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50023100023P000060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rPr>
              <w:t>95.5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b/>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8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505-垫江县招商投资促进局</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008-企业科</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eastAsia" w:eastAsia="宋体" w:cs="宋体"/>
                <w:color w:val="000000"/>
                <w:sz w:val="18"/>
                <w:szCs w:val="18"/>
                <w:lang w:eastAsia="zh-CN"/>
              </w:rPr>
            </w:pPr>
            <w:r>
              <w:rPr>
                <w:rFonts w:cs="宋体"/>
                <w:color w:val="000000"/>
                <w:sz w:val="18"/>
                <w:szCs w:val="18"/>
                <w:lang w:bidi="ar"/>
              </w:rPr>
              <w:t>刘</w:t>
            </w:r>
            <w:r>
              <w:rPr>
                <w:rFonts w:hint="eastAsia" w:cs="宋体"/>
                <w:color w:val="000000"/>
                <w:sz w:val="18"/>
                <w:szCs w:val="18"/>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eastAsia="宋体" w:cs="宋体"/>
                <w:color w:val="000000"/>
                <w:sz w:val="18"/>
                <w:szCs w:val="18"/>
                <w:lang w:val="en-US" w:eastAsia="zh-CN"/>
              </w:rPr>
            </w:pPr>
            <w:r>
              <w:rPr>
                <w:rFonts w:hint="eastAsia" w:cs="宋体"/>
                <w:color w:val="000000"/>
                <w:sz w:val="18"/>
                <w:szCs w:val="18"/>
                <w:lang w:val="en-US" w:eastAsia="zh-CN" w:bidi="ar"/>
              </w:rPr>
              <w:t>023-74512518</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cs="宋体"/>
                <w:color w:val="000000"/>
                <w:sz w:val="18"/>
                <w:szCs w:val="18"/>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7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2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5648712.37 </w:t>
            </w:r>
          </w:p>
        </w:tc>
        <w:tc>
          <w:tcPr>
            <w:tcW w:w="5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4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2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7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2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5648712.37 </w:t>
            </w:r>
          </w:p>
        </w:tc>
        <w:tc>
          <w:tcPr>
            <w:tcW w:w="5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4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2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4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47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2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5648712.37 </w:t>
            </w:r>
          </w:p>
        </w:tc>
        <w:tc>
          <w:tcPr>
            <w:tcW w:w="5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0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4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rPr>
                <w:rFonts w:hint="default" w:cs="宋体"/>
                <w:color w:val="000000"/>
                <w:sz w:val="18"/>
                <w:szCs w:val="18"/>
              </w:rPr>
            </w:pPr>
          </w:p>
        </w:tc>
        <w:tc>
          <w:tcPr>
            <w:tcW w:w="127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5831082.91 </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283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283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r>
              <w:rPr>
                <w:rFonts w:cs="宋体"/>
                <w:color w:val="000000"/>
                <w:sz w:val="18"/>
                <w:szCs w:val="18"/>
                <w:lang w:bidi="ar"/>
              </w:rPr>
              <w:t>市招商投资目标任务：招商引资协议金额330亿元以上，其中工业150亿元以上，到位资金60亿元以上。县政府工作目标任务：全力力争实现协议引资500亿元以上，其中亿元级项目50个以上，10亿元级项目60个以上，实现到位资金80亿元以上。</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hint="default" w:cs="宋体"/>
                <w:color w:val="000000"/>
                <w:sz w:val="18"/>
                <w:szCs w:val="18"/>
              </w:rPr>
            </w:pPr>
            <w:r>
              <w:rPr>
                <w:rStyle w:val="18"/>
                <w:lang w:bidi="ar"/>
              </w:rPr>
              <w:t>2023年，全年签约招商引资项目</w:t>
            </w:r>
            <w:r>
              <w:rPr>
                <w:rStyle w:val="18"/>
                <w:rFonts w:hint="eastAsia"/>
                <w:lang w:eastAsia="zh-CN" w:bidi="ar"/>
              </w:rPr>
              <w:t>共</w:t>
            </w:r>
            <w:r>
              <w:rPr>
                <w:rStyle w:val="18"/>
                <w:lang w:bidi="ar"/>
              </w:rPr>
              <w:t xml:space="preserve">218个，正式合同额517.55亿元，资金到位额90.86亿元。  </w:t>
            </w:r>
          </w:p>
        </w:tc>
      </w:tr>
      <w:tr>
        <w:tblPrEx>
          <w:tblCellMar>
            <w:top w:w="0" w:type="dxa"/>
            <w:left w:w="0" w:type="dxa"/>
            <w:bottom w:w="0" w:type="dxa"/>
            <w:right w:w="0" w:type="dxa"/>
          </w:tblCellMar>
        </w:tblPrEx>
        <w:trPr>
          <w:trHeight w:val="600" w:hRule="atLeast"/>
        </w:trPr>
        <w:tc>
          <w:tcPr>
            <w:tcW w:w="833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11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到位资金额</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亿元</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90.86</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29.8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7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签约项目个数</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个</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110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218</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98.18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rPr>
              <w:t>2023年，签约亿元级项目132个，10亿元级项目7个</w:t>
            </w:r>
          </w:p>
        </w:tc>
      </w:tr>
      <w:tr>
        <w:tblPrEx>
          <w:tblCellMar>
            <w:top w:w="0" w:type="dxa"/>
            <w:left w:w="0" w:type="dxa"/>
            <w:bottom w:w="0" w:type="dxa"/>
            <w:right w:w="0" w:type="dxa"/>
          </w:tblCellMar>
        </w:tblPrEx>
        <w:trPr>
          <w:trHeight w:val="23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协议金额</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亿元</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350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517.55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47.87</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rPr>
              <w:t>2023年，签约亿元级项目132个，10亿元级项目7个</w:t>
            </w: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招商引资工作达标率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部门预决算按时公开率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全年预算支出执行率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三季度预算执行进度</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75</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75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招商引资工作及时完成率</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1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推动全县招商引资工作</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定性</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优良中低差</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03</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服务对象满意度</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80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80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p>
        </w:tc>
      </w:tr>
      <w:tr>
        <w:tblPrEx>
          <w:tblCellMar>
            <w:top w:w="0" w:type="dxa"/>
            <w:left w:w="0" w:type="dxa"/>
            <w:bottom w:w="0" w:type="dxa"/>
            <w:right w:w="0" w:type="dxa"/>
          </w:tblCellMar>
        </w:tblPrEx>
        <w:trPr>
          <w:trHeight w:val="7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rPr>
              <w:t>工作经费支出</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万元</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hint="default" w:ascii="Arial" w:hAnsi="Arial" w:cs="Arial"/>
                <w:color w:val="000000"/>
                <w:sz w:val="18"/>
                <w:szCs w:val="18"/>
                <w:lang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140</w:t>
            </w:r>
          </w:p>
        </w:tc>
        <w:tc>
          <w:tcPr>
            <w:tcW w:w="5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165.66</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18.33</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textAlignment w:val="center"/>
              <w:rPr>
                <w:rFonts w:hint="default" w:cs="宋体"/>
                <w:color w:val="000000"/>
                <w:sz w:val="18"/>
                <w:szCs w:val="18"/>
              </w:rPr>
            </w:pPr>
            <w:r>
              <w:rPr>
                <w:rFonts w:cs="宋体"/>
                <w:color w:val="000000"/>
                <w:sz w:val="18"/>
                <w:szCs w:val="18"/>
                <w:lang w:bidi="ar"/>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否</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hint="default" w:cs="宋体"/>
                <w:color w:val="000000"/>
                <w:sz w:val="18"/>
                <w:szCs w:val="18"/>
              </w:rPr>
            </w:pPr>
            <w:r>
              <w:rPr>
                <w:rFonts w:cs="宋体"/>
                <w:color w:val="000000"/>
                <w:sz w:val="18"/>
                <w:szCs w:val="18"/>
                <w:lang w:bidi="ar"/>
              </w:rPr>
              <w:t>年中追加工作经费25.66万元</w:t>
            </w:r>
          </w:p>
        </w:tc>
      </w:tr>
    </w:tbl>
    <w:p>
      <w:pPr>
        <w:pStyle w:val="12"/>
        <w:spacing w:before="0" w:beforeAutospacing="0"/>
        <w:rPr>
          <w:rFonts w:ascii="方正仿宋_GBK" w:hAnsi="方正仿宋_GBK" w:eastAsia="方正仿宋_GBK" w:cs="方正仿宋_GBK"/>
          <w:sz w:val="32"/>
          <w:szCs w:val="32"/>
          <w:shd w:val="clear" w:color="auto" w:fill="FFFFFF"/>
        </w:rPr>
      </w:pPr>
    </w:p>
    <w:tbl>
      <w:tblPr>
        <w:tblStyle w:val="7"/>
        <w:tblW w:w="0" w:type="auto"/>
        <w:tblInd w:w="93" w:type="dxa"/>
        <w:tblLayout w:type="fixed"/>
        <w:tblCellMar>
          <w:top w:w="0" w:type="dxa"/>
          <w:left w:w="108" w:type="dxa"/>
          <w:bottom w:w="0" w:type="dxa"/>
          <w:right w:w="108" w:type="dxa"/>
        </w:tblCellMar>
      </w:tblPr>
      <w:tblGrid>
        <w:gridCol w:w="1077"/>
        <w:gridCol w:w="599"/>
        <w:gridCol w:w="599"/>
        <w:gridCol w:w="785"/>
        <w:gridCol w:w="687"/>
        <w:gridCol w:w="766"/>
        <w:gridCol w:w="794"/>
        <w:gridCol w:w="543"/>
        <w:gridCol w:w="543"/>
        <w:gridCol w:w="710"/>
        <w:gridCol w:w="627"/>
        <w:gridCol w:w="702"/>
      </w:tblGrid>
      <w:tr>
        <w:tblPrEx>
          <w:tblCellMar>
            <w:top w:w="0" w:type="dxa"/>
            <w:left w:w="108" w:type="dxa"/>
            <w:bottom w:w="0" w:type="dxa"/>
            <w:right w:w="108" w:type="dxa"/>
          </w:tblCellMar>
        </w:tblPrEx>
        <w:trPr>
          <w:trHeight w:val="285" w:hRule="atLeast"/>
        </w:trPr>
        <w:tc>
          <w:tcPr>
            <w:tcW w:w="8432" w:type="dxa"/>
            <w:gridSpan w:val="12"/>
            <w:tcBorders>
              <w:top w:val="nil"/>
              <w:left w:val="nil"/>
              <w:bottom w:val="single" w:color="auto" w:sz="4" w:space="0"/>
              <w:right w:val="nil"/>
            </w:tcBorders>
            <w:vAlign w:val="center"/>
          </w:tcPr>
          <w:p>
            <w:pPr>
              <w:rPr>
                <w:rFonts w:hint="default"/>
              </w:rPr>
            </w:pPr>
          </w:p>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2023</w:t>
            </w:r>
            <w:r>
              <w:rPr>
                <w:rStyle w:val="17"/>
                <w:color w:val="auto"/>
              </w:rPr>
              <w:t>年度二级项目绩效自评表</w:t>
            </w:r>
          </w:p>
        </w:tc>
      </w:tr>
      <w:tr>
        <w:tblPrEx>
          <w:tblCellMar>
            <w:top w:w="0" w:type="dxa"/>
            <w:left w:w="108" w:type="dxa"/>
            <w:bottom w:w="0" w:type="dxa"/>
            <w:right w:w="108" w:type="dxa"/>
          </w:tblCellMar>
        </w:tblPrEx>
        <w:trPr>
          <w:trHeight w:val="305" w:hRule="atLeast"/>
        </w:trPr>
        <w:tc>
          <w:tcPr>
            <w:tcW w:w="8432" w:type="dxa"/>
            <w:gridSpan w:val="1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状态：待送审</w:t>
            </w:r>
          </w:p>
        </w:tc>
      </w:tr>
      <w:tr>
        <w:tblPrEx>
          <w:tblCellMar>
            <w:top w:w="0" w:type="dxa"/>
            <w:left w:w="108" w:type="dxa"/>
            <w:bottom w:w="0" w:type="dxa"/>
            <w:right w:w="108" w:type="dxa"/>
          </w:tblCellMar>
        </w:tblPrEx>
        <w:trPr>
          <w:trHeight w:val="285" w:hRule="atLeast"/>
        </w:trPr>
        <w:tc>
          <w:tcPr>
            <w:tcW w:w="1077"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项目名称：</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eastAsia="方正仿宋_GBK"/>
                <w:color w:val="auto"/>
              </w:rPr>
              <w:t>招商投促运行业务经</w:t>
            </w:r>
            <w:r>
              <w:rPr>
                <w:rStyle w:val="17"/>
                <w:color w:val="auto"/>
              </w:rPr>
              <w:t>费</w:t>
            </w: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项目编码：</w:t>
            </w:r>
          </w:p>
        </w:tc>
        <w:tc>
          <w:tcPr>
            <w:tcW w:w="1453"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50023123T000003408941</w:t>
            </w:r>
          </w:p>
        </w:tc>
        <w:tc>
          <w:tcPr>
            <w:tcW w:w="79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自评总分：</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97.06</w:t>
            </w:r>
          </w:p>
        </w:tc>
        <w:tc>
          <w:tcPr>
            <w:tcW w:w="710"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hint="default" w:ascii="Times New Roman" w:hAnsi="Times New Roman"/>
                <w:sz w:val="10"/>
                <w:szCs w:val="10"/>
              </w:rPr>
            </w:pPr>
          </w:p>
        </w:tc>
        <w:tc>
          <w:tcPr>
            <w:tcW w:w="1329"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077" w:type="dxa"/>
            <w:tcBorders>
              <w:top w:val="single" w:color="auto" w:sz="4" w:space="0"/>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项目主管部门：</w:t>
            </w:r>
          </w:p>
        </w:tc>
        <w:tc>
          <w:tcPr>
            <w:tcW w:w="1198" w:type="dxa"/>
            <w:gridSpan w:val="2"/>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505-</w:t>
            </w:r>
            <w:r>
              <w:rPr>
                <w:rStyle w:val="17"/>
                <w:color w:val="auto"/>
              </w:rPr>
              <w:t>垫江县招商投资促进局</w:t>
            </w:r>
          </w:p>
        </w:tc>
        <w:tc>
          <w:tcPr>
            <w:tcW w:w="785" w:type="dxa"/>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财政归口处室：</w:t>
            </w:r>
          </w:p>
        </w:tc>
        <w:tc>
          <w:tcPr>
            <w:tcW w:w="1453" w:type="dxa"/>
            <w:gridSpan w:val="2"/>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008-</w:t>
            </w:r>
            <w:r>
              <w:rPr>
                <w:rStyle w:val="17"/>
                <w:color w:val="auto"/>
              </w:rPr>
              <w:t>企业科</w:t>
            </w:r>
          </w:p>
        </w:tc>
        <w:tc>
          <w:tcPr>
            <w:tcW w:w="794" w:type="dxa"/>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部门联系人：</w:t>
            </w:r>
          </w:p>
        </w:tc>
        <w:tc>
          <w:tcPr>
            <w:tcW w:w="1086" w:type="dxa"/>
            <w:gridSpan w:val="2"/>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程</w:t>
            </w:r>
            <w:r>
              <w:rPr>
                <w:rStyle w:val="17"/>
                <w:rFonts w:hint="eastAsia" w:eastAsia="方正仿宋_GBK"/>
                <w:color w:val="auto"/>
                <w:lang w:val="en-US" w:eastAsia="zh-CN"/>
              </w:rPr>
              <w:t>*</w:t>
            </w:r>
            <w:r>
              <w:rPr>
                <w:rStyle w:val="17"/>
                <w:color w:val="auto"/>
              </w:rPr>
              <w:t>英</w:t>
            </w:r>
          </w:p>
        </w:tc>
        <w:tc>
          <w:tcPr>
            <w:tcW w:w="710" w:type="dxa"/>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联系电话：</w:t>
            </w:r>
          </w:p>
        </w:tc>
        <w:tc>
          <w:tcPr>
            <w:tcW w:w="1329" w:type="dxa"/>
            <w:gridSpan w:val="2"/>
            <w:tcBorders>
              <w:top w:val="single" w:color="auto" w:sz="4"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eastAsia="宋体"/>
                <w:sz w:val="10"/>
                <w:szCs w:val="10"/>
                <w:lang w:val="en-US" w:eastAsia="zh-CN"/>
              </w:rPr>
            </w:pPr>
            <w:r>
              <w:rPr>
                <w:rFonts w:hint="eastAsia" w:ascii="Times New Roman" w:hAnsi="Times New Roman"/>
                <w:sz w:val="10"/>
                <w:szCs w:val="10"/>
                <w:lang w:val="en-US" w:eastAsia="zh-CN"/>
              </w:rPr>
              <w:t>023-</w:t>
            </w:r>
            <w:bookmarkStart w:id="0" w:name="_GoBack"/>
            <w:bookmarkEnd w:id="0"/>
            <w:r>
              <w:rPr>
                <w:rFonts w:hint="eastAsia" w:ascii="Times New Roman" w:hAnsi="Times New Roman"/>
                <w:sz w:val="10"/>
                <w:szCs w:val="10"/>
                <w:lang w:val="en-US" w:eastAsia="zh-CN"/>
              </w:rPr>
              <w:t>71512518</w:t>
            </w:r>
          </w:p>
        </w:tc>
      </w:tr>
      <w:tr>
        <w:tblPrEx>
          <w:tblCellMar>
            <w:top w:w="0" w:type="dxa"/>
            <w:left w:w="108" w:type="dxa"/>
            <w:bottom w:w="0" w:type="dxa"/>
            <w:right w:w="108" w:type="dxa"/>
          </w:tblCellMar>
        </w:tblPrEx>
        <w:trPr>
          <w:trHeight w:val="285" w:hRule="atLeast"/>
        </w:trPr>
        <w:tc>
          <w:tcPr>
            <w:tcW w:w="8432" w:type="dxa"/>
            <w:gridSpan w:val="1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资金情况</w:t>
            </w:r>
          </w:p>
        </w:tc>
      </w:tr>
      <w:tr>
        <w:tblPrEx>
          <w:tblCellMar>
            <w:top w:w="0" w:type="dxa"/>
            <w:left w:w="108" w:type="dxa"/>
            <w:bottom w:w="0" w:type="dxa"/>
            <w:right w:w="108" w:type="dxa"/>
          </w:tblCellMar>
        </w:tblPrEx>
        <w:trPr>
          <w:trHeight w:val="285" w:hRule="atLeast"/>
        </w:trPr>
        <w:tc>
          <w:tcPr>
            <w:tcW w:w="1676" w:type="dxa"/>
            <w:gridSpan w:val="2"/>
            <w:tcBorders>
              <w:top w:val="nil"/>
              <w:left w:val="single" w:color="000000" w:sz="8" w:space="0"/>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1384" w:type="dxa"/>
            <w:gridSpan w:val="2"/>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年初预算数</w:t>
            </w:r>
          </w:p>
        </w:tc>
        <w:tc>
          <w:tcPr>
            <w:tcW w:w="1453" w:type="dxa"/>
            <w:gridSpan w:val="2"/>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全年（调整）预算数</w:t>
            </w:r>
          </w:p>
        </w:tc>
        <w:tc>
          <w:tcPr>
            <w:tcW w:w="1337" w:type="dxa"/>
            <w:gridSpan w:val="2"/>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全年执行数</w:t>
            </w:r>
          </w:p>
        </w:tc>
        <w:tc>
          <w:tcPr>
            <w:tcW w:w="1253" w:type="dxa"/>
            <w:gridSpan w:val="2"/>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执行率</w:t>
            </w:r>
          </w:p>
        </w:tc>
        <w:tc>
          <w:tcPr>
            <w:tcW w:w="627"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执行率权重</w:t>
            </w:r>
          </w:p>
        </w:tc>
        <w:tc>
          <w:tcPr>
            <w:tcW w:w="702"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执行率得分</w:t>
            </w:r>
          </w:p>
        </w:tc>
      </w:tr>
      <w:tr>
        <w:tblPrEx>
          <w:tblCellMar>
            <w:top w:w="0" w:type="dxa"/>
            <w:left w:w="108" w:type="dxa"/>
            <w:bottom w:w="0" w:type="dxa"/>
            <w:right w:w="108" w:type="dxa"/>
          </w:tblCellMar>
        </w:tblPrEx>
        <w:trPr>
          <w:trHeight w:val="285" w:hRule="atLeast"/>
        </w:trPr>
        <w:tc>
          <w:tcPr>
            <w:tcW w:w="1676" w:type="dxa"/>
            <w:gridSpan w:val="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年度总金额</w:t>
            </w:r>
          </w:p>
        </w:tc>
        <w:tc>
          <w:tcPr>
            <w:tcW w:w="1384"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w:t>
            </w:r>
            <w:r>
              <w:rPr>
                <w:rFonts w:ascii="Times New Roman" w:hAnsi="Times New Roman"/>
                <w:sz w:val="10"/>
                <w:szCs w:val="10"/>
              </w:rPr>
              <w:t>6</w:t>
            </w:r>
            <w:r>
              <w:rPr>
                <w:rFonts w:hint="default" w:ascii="Times New Roman" w:hAnsi="Times New Roman"/>
                <w:sz w:val="10"/>
                <w:szCs w:val="10"/>
              </w:rPr>
              <w:t>00,000.00</w:t>
            </w:r>
          </w:p>
        </w:tc>
        <w:tc>
          <w:tcPr>
            <w:tcW w:w="1453"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337"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253" w:type="dxa"/>
            <w:gridSpan w:val="2"/>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676" w:type="dxa"/>
            <w:gridSpan w:val="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其中：财政拨款</w:t>
            </w:r>
          </w:p>
        </w:tc>
        <w:tc>
          <w:tcPr>
            <w:tcW w:w="1384"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w:t>
            </w:r>
            <w:r>
              <w:rPr>
                <w:rFonts w:ascii="Times New Roman" w:hAnsi="Times New Roman"/>
                <w:sz w:val="10"/>
                <w:szCs w:val="10"/>
              </w:rPr>
              <w:t>6</w:t>
            </w:r>
            <w:r>
              <w:rPr>
                <w:rFonts w:hint="default" w:ascii="Times New Roman" w:hAnsi="Times New Roman"/>
                <w:sz w:val="10"/>
                <w:szCs w:val="10"/>
              </w:rPr>
              <w:t>00,000.00</w:t>
            </w:r>
          </w:p>
        </w:tc>
        <w:tc>
          <w:tcPr>
            <w:tcW w:w="1453"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337"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253"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w:t>
            </w: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w:t>
            </w:r>
          </w:p>
        </w:tc>
      </w:tr>
      <w:tr>
        <w:tblPrEx>
          <w:tblCellMar>
            <w:top w:w="0" w:type="dxa"/>
            <w:left w:w="108" w:type="dxa"/>
            <w:bottom w:w="0" w:type="dxa"/>
            <w:right w:w="108" w:type="dxa"/>
          </w:tblCellMar>
        </w:tblPrEx>
        <w:trPr>
          <w:trHeight w:val="285" w:hRule="atLeast"/>
        </w:trPr>
        <w:tc>
          <w:tcPr>
            <w:tcW w:w="1676" w:type="dxa"/>
            <w:gridSpan w:val="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一般公共预算</w:t>
            </w:r>
          </w:p>
        </w:tc>
        <w:tc>
          <w:tcPr>
            <w:tcW w:w="1384"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w:t>
            </w:r>
            <w:r>
              <w:rPr>
                <w:rFonts w:ascii="Times New Roman" w:hAnsi="Times New Roman"/>
                <w:sz w:val="10"/>
                <w:szCs w:val="10"/>
              </w:rPr>
              <w:t>6</w:t>
            </w:r>
            <w:r>
              <w:rPr>
                <w:rFonts w:hint="default" w:ascii="Times New Roman" w:hAnsi="Times New Roman"/>
                <w:sz w:val="10"/>
                <w:szCs w:val="10"/>
              </w:rPr>
              <w:t>00,000.00</w:t>
            </w:r>
          </w:p>
        </w:tc>
        <w:tc>
          <w:tcPr>
            <w:tcW w:w="1453"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337"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1656642.98</w:t>
            </w:r>
          </w:p>
        </w:tc>
        <w:tc>
          <w:tcPr>
            <w:tcW w:w="1253" w:type="dxa"/>
            <w:gridSpan w:val="2"/>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8432" w:type="dxa"/>
            <w:gridSpan w:val="1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绩效目标</w:t>
            </w:r>
          </w:p>
        </w:tc>
      </w:tr>
      <w:tr>
        <w:tblPrEx>
          <w:tblCellMar>
            <w:top w:w="0" w:type="dxa"/>
            <w:left w:w="108" w:type="dxa"/>
            <w:bottom w:w="0" w:type="dxa"/>
            <w:right w:w="108" w:type="dxa"/>
          </w:tblCellMar>
        </w:tblPrEx>
        <w:trPr>
          <w:trHeight w:val="285" w:hRule="atLeast"/>
        </w:trPr>
        <w:tc>
          <w:tcPr>
            <w:tcW w:w="3060" w:type="dxa"/>
            <w:gridSpan w:val="4"/>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年初绩效目标</w:t>
            </w:r>
          </w:p>
        </w:tc>
        <w:tc>
          <w:tcPr>
            <w:tcW w:w="2790" w:type="dxa"/>
            <w:gridSpan w:val="4"/>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全年（调整）绩效目标</w:t>
            </w:r>
          </w:p>
        </w:tc>
        <w:tc>
          <w:tcPr>
            <w:tcW w:w="2582" w:type="dxa"/>
            <w:gridSpan w:val="4"/>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全年目标实际完成情况</w:t>
            </w:r>
          </w:p>
        </w:tc>
      </w:tr>
      <w:tr>
        <w:tblPrEx>
          <w:tblCellMar>
            <w:top w:w="0" w:type="dxa"/>
            <w:left w:w="108" w:type="dxa"/>
            <w:bottom w:w="0" w:type="dxa"/>
            <w:right w:w="108" w:type="dxa"/>
          </w:tblCellMar>
        </w:tblPrEx>
        <w:trPr>
          <w:trHeight w:val="285" w:hRule="atLeast"/>
        </w:trPr>
        <w:tc>
          <w:tcPr>
            <w:tcW w:w="3060" w:type="dxa"/>
            <w:gridSpan w:val="4"/>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保障招商引资工作有序开展</w:t>
            </w:r>
          </w:p>
        </w:tc>
        <w:tc>
          <w:tcPr>
            <w:tcW w:w="2790" w:type="dxa"/>
            <w:gridSpan w:val="4"/>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2582" w:type="dxa"/>
            <w:gridSpan w:val="4"/>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2023年，全县签约招商引资项目共218个，正式合同额517.55亿元，资金到位额90.86亿元。</w:t>
            </w:r>
          </w:p>
        </w:tc>
      </w:tr>
      <w:tr>
        <w:tblPrEx>
          <w:tblCellMar>
            <w:top w:w="0" w:type="dxa"/>
            <w:left w:w="108" w:type="dxa"/>
            <w:bottom w:w="0" w:type="dxa"/>
            <w:right w:w="108" w:type="dxa"/>
          </w:tblCellMar>
        </w:tblPrEx>
        <w:trPr>
          <w:trHeight w:val="285" w:hRule="atLeast"/>
        </w:trPr>
        <w:tc>
          <w:tcPr>
            <w:tcW w:w="8432" w:type="dxa"/>
            <w:gridSpan w:val="12"/>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绩效指标</w:t>
            </w: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指标名称</w:t>
            </w:r>
          </w:p>
        </w:tc>
        <w:tc>
          <w:tcPr>
            <w:tcW w:w="599"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计量单位</w:t>
            </w:r>
          </w:p>
        </w:tc>
        <w:tc>
          <w:tcPr>
            <w:tcW w:w="599"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指标性质</w:t>
            </w:r>
          </w:p>
        </w:tc>
        <w:tc>
          <w:tcPr>
            <w:tcW w:w="785"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指标值</w:t>
            </w:r>
          </w:p>
        </w:tc>
        <w:tc>
          <w:tcPr>
            <w:tcW w:w="687"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全年完成值</w:t>
            </w:r>
          </w:p>
        </w:tc>
        <w:tc>
          <w:tcPr>
            <w:tcW w:w="766"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偏离度（</w:t>
            </w:r>
            <w:r>
              <w:rPr>
                <w:rStyle w:val="16"/>
                <w:rFonts w:hint="eastAsia" w:eastAsia="方正仿宋_GBK"/>
                <w:color w:val="auto"/>
              </w:rPr>
              <w:t>%</w:t>
            </w:r>
            <w:r>
              <w:rPr>
                <w:rStyle w:val="17"/>
                <w:color w:val="auto"/>
              </w:rPr>
              <w:t>）</w:t>
            </w:r>
          </w:p>
        </w:tc>
        <w:tc>
          <w:tcPr>
            <w:tcW w:w="794"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得分系数（</w:t>
            </w:r>
            <w:r>
              <w:rPr>
                <w:rStyle w:val="16"/>
                <w:rFonts w:hint="eastAsia" w:eastAsia="方正仿宋_GBK"/>
                <w:color w:val="auto"/>
              </w:rPr>
              <w:t>%</w:t>
            </w:r>
            <w:r>
              <w:rPr>
                <w:rStyle w:val="17"/>
                <w:color w:val="auto"/>
              </w:rPr>
              <w:t>）</w:t>
            </w:r>
          </w:p>
        </w:tc>
        <w:tc>
          <w:tcPr>
            <w:tcW w:w="543"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指标权重</w:t>
            </w:r>
          </w:p>
        </w:tc>
        <w:tc>
          <w:tcPr>
            <w:tcW w:w="543"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指标得分</w:t>
            </w:r>
          </w:p>
        </w:tc>
        <w:tc>
          <w:tcPr>
            <w:tcW w:w="710"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是否核心指标</w:t>
            </w:r>
          </w:p>
        </w:tc>
        <w:tc>
          <w:tcPr>
            <w:tcW w:w="627"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说明</w:t>
            </w:r>
          </w:p>
        </w:tc>
        <w:tc>
          <w:tcPr>
            <w:tcW w:w="702"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市财政局建议</w:t>
            </w: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签约项目个数</w:t>
            </w:r>
          </w:p>
        </w:tc>
        <w:tc>
          <w:tcPr>
            <w:tcW w:w="599"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个</w:t>
            </w:r>
          </w:p>
        </w:tc>
        <w:tc>
          <w:tcPr>
            <w:tcW w:w="599"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w:t>
            </w:r>
          </w:p>
        </w:tc>
        <w:tc>
          <w:tcPr>
            <w:tcW w:w="785"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110</w:t>
            </w:r>
          </w:p>
        </w:tc>
        <w:tc>
          <w:tcPr>
            <w:tcW w:w="687"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218</w:t>
            </w:r>
          </w:p>
        </w:tc>
        <w:tc>
          <w:tcPr>
            <w:tcW w:w="766"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98.18</w:t>
            </w:r>
          </w:p>
        </w:tc>
        <w:tc>
          <w:tcPr>
            <w:tcW w:w="794"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100</w:t>
            </w:r>
          </w:p>
        </w:tc>
        <w:tc>
          <w:tcPr>
            <w:tcW w:w="543"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8.3</w:t>
            </w:r>
          </w:p>
        </w:tc>
        <w:tc>
          <w:tcPr>
            <w:tcW w:w="543"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8.3</w:t>
            </w:r>
          </w:p>
        </w:tc>
        <w:tc>
          <w:tcPr>
            <w:tcW w:w="710"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否</w:t>
            </w:r>
          </w:p>
        </w:tc>
        <w:tc>
          <w:tcPr>
            <w:tcW w:w="627"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p>
        </w:tc>
        <w:tc>
          <w:tcPr>
            <w:tcW w:w="702" w:type="dxa"/>
            <w:tcBorders>
              <w:top w:val="single" w:color="000000" w:sz="8" w:space="0"/>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协议金额</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亿元</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350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517.55</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47.87</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8.3</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8.3</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资金到位额</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Style w:val="17"/>
                <w:rFonts w:hint="default"/>
                <w:color w:val="auto"/>
              </w:rPr>
            </w:pPr>
            <w:r>
              <w:rPr>
                <w:rStyle w:val="17"/>
                <w:color w:val="auto"/>
              </w:rPr>
              <w:t>亿元</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Style w:val="16"/>
                <w:rFonts w:hint="eastAsia"/>
                <w:color w:val="auto"/>
              </w:rPr>
            </w:pPr>
            <w:r>
              <w:rPr>
                <w:rStyle w:val="16"/>
                <w:rFonts w:hint="eastAsia"/>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70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90.86</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29.8</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8.3</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8.3</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招商引资工作质量达标率</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0</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w:t>
            </w:r>
            <w:r>
              <w:rPr>
                <w:rFonts w:ascii="Times New Roman" w:hAnsi="Times New Roman"/>
                <w:sz w:val="10"/>
                <w:szCs w:val="10"/>
              </w:rPr>
              <w:t>5</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w:t>
            </w:r>
            <w:r>
              <w:rPr>
                <w:rFonts w:ascii="Times New Roman" w:hAnsi="Times New Roman"/>
                <w:sz w:val="10"/>
                <w:szCs w:val="10"/>
              </w:rPr>
              <w:t>5</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招商引资工作及时完成率</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100</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0</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8.3</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8.3</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31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推动全县招商引资工作</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定性</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0</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30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30</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28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服务对象满意度</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Style w:val="16"/>
                <w:rFonts w:hint="eastAsia"/>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80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80</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0</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hint="default" w:ascii="Times New Roman" w:hAnsi="Times New Roman"/>
                <w:sz w:val="10"/>
                <w:szCs w:val="10"/>
              </w:rPr>
              <w:t>100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10</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r>
        <w:tblPrEx>
          <w:tblCellMar>
            <w:top w:w="0" w:type="dxa"/>
            <w:left w:w="108" w:type="dxa"/>
            <w:bottom w:w="0" w:type="dxa"/>
            <w:right w:w="108" w:type="dxa"/>
          </w:tblCellMar>
        </w:tblPrEx>
        <w:trPr>
          <w:trHeight w:val="315" w:hRule="atLeast"/>
        </w:trPr>
        <w:tc>
          <w:tcPr>
            <w:tcW w:w="1077" w:type="dxa"/>
            <w:tcBorders>
              <w:top w:val="nil"/>
              <w:left w:val="single" w:color="000000" w:sz="8" w:space="0"/>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工作经费支出</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万元</w:t>
            </w:r>
          </w:p>
        </w:tc>
        <w:tc>
          <w:tcPr>
            <w:tcW w:w="599"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rFonts w:hint="default" w:ascii="Arial" w:hAnsi="Arial" w:cs="Arial"/>
                <w:color w:val="auto"/>
              </w:rPr>
              <w:t>≤</w:t>
            </w:r>
          </w:p>
        </w:tc>
        <w:tc>
          <w:tcPr>
            <w:tcW w:w="785"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方正仿宋_GBK" w:hAnsi="方正仿宋_GBK" w:eastAsia="方正仿宋_GBK" w:cs="方正仿宋_GBK"/>
                <w:sz w:val="10"/>
                <w:szCs w:val="10"/>
              </w:rPr>
            </w:pPr>
            <w:r>
              <w:rPr>
                <w:rStyle w:val="17"/>
                <w:color w:val="auto"/>
              </w:rPr>
              <w:t>160</w:t>
            </w:r>
          </w:p>
        </w:tc>
        <w:tc>
          <w:tcPr>
            <w:tcW w:w="687"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165.66</w:t>
            </w:r>
          </w:p>
        </w:tc>
        <w:tc>
          <w:tcPr>
            <w:tcW w:w="766"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3.54</w:t>
            </w:r>
          </w:p>
        </w:tc>
        <w:tc>
          <w:tcPr>
            <w:tcW w:w="794"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64.6</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8.3</w:t>
            </w:r>
          </w:p>
        </w:tc>
        <w:tc>
          <w:tcPr>
            <w:tcW w:w="543" w:type="dxa"/>
            <w:tcBorders>
              <w:top w:val="nil"/>
              <w:left w:val="nil"/>
              <w:bottom w:val="single" w:color="000000" w:sz="8" w:space="0"/>
              <w:right w:val="single" w:color="000000" w:sz="8" w:space="0"/>
            </w:tcBorders>
            <w:vAlign w:val="center"/>
          </w:tcPr>
          <w:p>
            <w:pPr>
              <w:autoSpaceDE w:val="0"/>
              <w:adjustRightInd w:val="0"/>
              <w:snapToGrid w:val="0"/>
              <w:jc w:val="center"/>
              <w:textAlignment w:val="center"/>
              <w:rPr>
                <w:rFonts w:hint="default" w:ascii="Times New Roman" w:hAnsi="Times New Roman"/>
                <w:sz w:val="10"/>
                <w:szCs w:val="10"/>
              </w:rPr>
            </w:pPr>
            <w:r>
              <w:rPr>
                <w:rFonts w:ascii="Times New Roman" w:hAnsi="Times New Roman"/>
                <w:sz w:val="10"/>
                <w:szCs w:val="10"/>
              </w:rPr>
              <w:t>5.36</w:t>
            </w:r>
          </w:p>
        </w:tc>
        <w:tc>
          <w:tcPr>
            <w:tcW w:w="710"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r>
              <w:rPr>
                <w:rFonts w:ascii="Times New Roman" w:hAnsi="Times New Roman"/>
                <w:sz w:val="10"/>
                <w:szCs w:val="10"/>
              </w:rPr>
              <w:t>否</w:t>
            </w:r>
          </w:p>
        </w:tc>
        <w:tc>
          <w:tcPr>
            <w:tcW w:w="627"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c>
          <w:tcPr>
            <w:tcW w:w="702" w:type="dxa"/>
            <w:tcBorders>
              <w:top w:val="nil"/>
              <w:left w:val="nil"/>
              <w:bottom w:val="single" w:color="000000" w:sz="8" w:space="0"/>
              <w:right w:val="single" w:color="000000" w:sz="8" w:space="0"/>
            </w:tcBorders>
            <w:vAlign w:val="center"/>
          </w:tcPr>
          <w:p>
            <w:pPr>
              <w:autoSpaceDE w:val="0"/>
              <w:adjustRightInd w:val="0"/>
              <w:snapToGrid w:val="0"/>
              <w:jc w:val="center"/>
              <w:rPr>
                <w:rFonts w:hint="default" w:ascii="Times New Roman" w:hAnsi="Times New Roman"/>
                <w:sz w:val="10"/>
                <w:szCs w:val="10"/>
              </w:rPr>
            </w:pPr>
          </w:p>
        </w:tc>
      </w:tr>
    </w:tbl>
    <w:p>
      <w:pPr>
        <w:pStyle w:val="11"/>
        <w:autoSpaceDE w:val="0"/>
        <w:spacing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1"/>
        <w:autoSpaceDE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w:t>
      </w:r>
    </w:p>
    <w:p>
      <w:pPr>
        <w:pStyle w:val="11"/>
        <w:autoSpaceDE w:val="0"/>
        <w:spacing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县财政局</w:t>
      </w:r>
      <w:r>
        <w:rPr>
          <w:rFonts w:hint="default" w:ascii="Times New Roman" w:hAnsi="Times New Roman" w:eastAsia="方正仿宋_GBK"/>
          <w:sz w:val="32"/>
          <w:szCs w:val="32"/>
          <w:shd w:val="clear" w:color="auto" w:fill="FFFFFF"/>
        </w:rPr>
        <w:t>未委托第三方对我单位开展绩效评价。</w:t>
      </w:r>
    </w:p>
    <w:p>
      <w:pPr>
        <w:pStyle w:val="6"/>
        <w:shd w:val="clear" w:color="auto" w:fill="FFFFFF"/>
        <w:spacing w:before="0" w:beforeAutospacing="0" w:after="0" w:afterAutospacing="0" w:line="594" w:lineRule="exact"/>
        <w:ind w:firstLine="643" w:firstLineChars="200"/>
        <w:rPr>
          <w:rFonts w:ascii="方正仿宋_GBK" w:hAnsi="方正仿宋_GBK" w:eastAsia="方正仿宋_GBK" w:cs="方正仿宋_GBK"/>
          <w:b/>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00"/>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shd w:val="clear" w:color="auto" w:fill="FFFFFF"/>
        </w:rPr>
        <w:t>刘老师  023-74</w:t>
      </w:r>
      <w:r>
        <w:rPr>
          <w:rFonts w:hint="eastAsia" w:ascii="Times New Roman" w:hAnsi="Times New Roman" w:eastAsia="方正仿宋_GBK"/>
          <w:sz w:val="32"/>
          <w:szCs w:val="32"/>
          <w:shd w:val="clear" w:color="auto" w:fill="FFFFFF"/>
          <w:lang w:val="en-US" w:eastAsia="zh-CN"/>
        </w:rPr>
        <w:t>682339</w:t>
      </w:r>
    </w:p>
    <w:p>
      <w:pPr>
        <w:pStyle w:val="11"/>
        <w:autoSpaceDE w:val="0"/>
        <w:spacing w:line="594" w:lineRule="exact"/>
        <w:ind w:firstLine="643"/>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公开部门：垫江县招商投资促进局</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507.43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42.17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583.11 </w:t>
            </w:r>
          </w:p>
        </w:tc>
      </w:tr>
    </w:tbl>
    <w:p>
      <w:pPr>
        <w:rPr>
          <w:rFonts w:hint="default" w:cs="宋体"/>
          <w:sz w:val="21"/>
          <w:szCs w:val="21"/>
          <w:lang w:bidi="ar"/>
        </w:rPr>
      </w:pPr>
      <w:r>
        <w:rPr>
          <w:rFonts w:cs="宋体"/>
          <w:sz w:val="21"/>
          <w:szCs w:val="21"/>
          <w:lang w:bidi="ar"/>
        </w:rPr>
        <w:t>备注：1.本表反映部门本年度的总收支和年末结转结余情况。</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公开部门：垫江县招商投资促进局</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583.11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583.11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165.66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165.66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341.77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341.77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178.67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178.67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163.10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163.10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p>
    <w:p>
      <w:pPr>
        <w:ind w:left="630" w:hanging="630" w:hangingChars="300"/>
        <w:rPr>
          <w:rFonts w:hint="default" w:cs="宋体"/>
          <w:sz w:val="21"/>
          <w:szCs w:val="21"/>
          <w:lang w:bidi="ar"/>
        </w:rPr>
      </w:pPr>
      <w:r>
        <w:rPr>
          <w:rFonts w:cs="宋体"/>
          <w:sz w:val="21"/>
          <w:szCs w:val="21"/>
          <w:lang w:bidi="ar"/>
        </w:rPr>
        <w:t>2.本套报表金额单位转换时可能存在尾数误差。</w:t>
      </w:r>
    </w:p>
    <w:p>
      <w:pPr>
        <w:ind w:left="630" w:hanging="630" w:hangingChars="300"/>
        <w:rPr>
          <w:rFonts w:hint="default" w:cs="宋体"/>
          <w:sz w:val="21"/>
          <w:szCs w:val="21"/>
          <w:lang w:bidi="ar"/>
        </w:rPr>
      </w:pPr>
    </w:p>
    <w:p>
      <w:pPr>
        <w:ind w:left="630" w:hanging="630" w:hangingChars="300"/>
        <w:rPr>
          <w:rFonts w:hint="default" w:cs="宋体"/>
          <w:sz w:val="21"/>
          <w:szCs w:val="21"/>
          <w:lang w:bidi="ar"/>
        </w:rPr>
      </w:pP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垫江县招商投资促进局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583.11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417.44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165.66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341.77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165.66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165.66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165.66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165.66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341.77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341.77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178.67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178.67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27.84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lang w:bidi="ar"/>
        </w:rPr>
      </w:pPr>
      <w:r>
        <w:rPr>
          <w:rFonts w:cs="宋体"/>
          <w:sz w:val="21"/>
          <w:szCs w:val="21"/>
          <w:lang w:bidi="ar"/>
        </w:rPr>
        <w:t>备注：1.本表反映部门本年度各项支出情况。</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42.17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42.17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15.01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583.11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583.11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583.11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lang w:bidi="ar"/>
        </w:rPr>
      </w:pPr>
      <w:r>
        <w:rPr>
          <w:rFonts w:cs="宋体"/>
          <w:sz w:val="21"/>
          <w:szCs w:val="21"/>
          <w:lang w:bidi="ar"/>
        </w:rPr>
        <w:t>备注：1.本表反映部门本年度一般公共预算财政拨款、政府性基金预算财政拨款及国有资本经营预算财政拨款的总收支和年末结转结余情况。</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583.11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417.44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165.66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507.43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341.77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165.66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165.66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165.66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165.66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341.77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341.77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178.67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178.67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163.10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42.17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42.17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42.17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42.17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27.84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15.01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7.62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lang w:bidi="ar"/>
        </w:rPr>
      </w:pPr>
      <w:r>
        <w:rPr>
          <w:rFonts w:cs="宋体"/>
          <w:sz w:val="21"/>
          <w:szCs w:val="21"/>
          <w:lang w:bidi="ar"/>
        </w:rPr>
        <w:t>备注：1.本表反映部门本年度一般公共预算财政拨款支出情况。</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343.13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74.31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64.85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8.84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29.10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98.82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14.33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11.79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17.39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0.54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343.13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74.31 </w:t>
            </w:r>
          </w:p>
        </w:tc>
      </w:tr>
    </w:tbl>
    <w:p>
      <w:pPr>
        <w:rPr>
          <w:rFonts w:hint="default" w:cs="宋体"/>
          <w:sz w:val="21"/>
          <w:szCs w:val="21"/>
          <w:lang w:bidi="ar"/>
        </w:rPr>
      </w:pPr>
      <w:r>
        <w:rPr>
          <w:rFonts w:cs="宋体"/>
          <w:sz w:val="21"/>
          <w:szCs w:val="21"/>
          <w:lang w:bidi="ar"/>
        </w:rPr>
        <w:t>备注：1.本表反映部门本年度一般公共预算财政拨款基本支出明细情况。</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备注：本表反映部门本年度政府性基金预算财政拨款收入支出及结转和结余情况。本部门无政府性基金收支，故本表无数据。</w:t>
      </w:r>
    </w:p>
    <w:p>
      <w:pPr>
        <w:rPr>
          <w:rFonts w:hint="default" w:cs="宋体"/>
          <w:sz w:val="21"/>
          <w:szCs w:val="21"/>
          <w:lang w:bidi="ar"/>
        </w:rPr>
      </w:pPr>
    </w:p>
    <w:p>
      <w:pPr>
        <w:rPr>
          <w:rFonts w:hint="default" w:cs="宋体"/>
          <w:sz w:val="21"/>
          <w:szCs w:val="21"/>
          <w:lang w:bidi="ar"/>
        </w:rPr>
      </w:pP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p>
    <w:p>
      <w:pPr>
        <w:rPr>
          <w:rFonts w:hint="default" w:cs="宋体"/>
          <w:sz w:val="21"/>
          <w:szCs w:val="21"/>
          <w:lang w:bidi="ar"/>
        </w:rPr>
      </w:pPr>
    </w:p>
    <w:p>
      <w:pPr>
        <w:rPr>
          <w:rFonts w:hint="default" w:cs="宋体"/>
          <w:sz w:val="21"/>
          <w:szCs w:val="21"/>
          <w:lang w:bidi="ar"/>
        </w:rPr>
      </w:pP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single" w:color="auto" w:sz="4" w:space="0"/>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垫江县招商投资促进局</w:t>
            </w:r>
          </w:p>
        </w:tc>
        <w:tc>
          <w:tcPr>
            <w:tcW w:w="3822" w:type="dxa"/>
            <w:tcBorders>
              <w:top w:val="nil"/>
              <w:left w:val="nil"/>
              <w:bottom w:val="single" w:color="auto" w:sz="4" w:space="0"/>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single" w:color="auto" w:sz="4" w:space="0"/>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single" w:color="auto" w:sz="4" w:space="0"/>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42.34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53.24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53.24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42.34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6.20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6.20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6.20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6.20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47.05 </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47.05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47.05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418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2,998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3.69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1.11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lang w:bidi="ar"/>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p>
    <w:p>
      <w:pPr>
        <w:rPr>
          <w:rFonts w:hint="default" w:cs="宋体"/>
          <w:sz w:val="21"/>
          <w:szCs w:val="21"/>
          <w:lang w:bidi="ar"/>
        </w:rPr>
      </w:pPr>
      <w:r>
        <w:rPr>
          <w:rFonts w:cs="宋体"/>
          <w:sz w:val="21"/>
          <w:szCs w:val="21"/>
          <w:lang w:bidi="ar"/>
        </w:rPr>
        <w:t xml:space="preserve">      2.本套报表金额单位转换时可能存在尾数误差。</w:t>
      </w:r>
    </w:p>
    <w:p>
      <w:pPr>
        <w:rPr>
          <w:rFonts w:hint="default" w:cs="宋体"/>
          <w:sz w:val="21"/>
          <w:szCs w:val="21"/>
          <w:lang w:bidi="ar"/>
        </w:rPr>
      </w:pPr>
    </w:p>
    <w:p>
      <w:pPr>
        <w:rPr>
          <w:rFonts w:hint="default" w:cs="宋体"/>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NjI0Y2ViNzlkNTE4Yjc1ZWEzMTllODQ1YTZiZjUifQ=="/>
  </w:docVars>
  <w:rsids>
    <w:rsidRoot w:val="00B03CCD"/>
    <w:rsid w:val="001D0568"/>
    <w:rsid w:val="002E5443"/>
    <w:rsid w:val="00550ABE"/>
    <w:rsid w:val="005D2A0A"/>
    <w:rsid w:val="007235B6"/>
    <w:rsid w:val="007B419D"/>
    <w:rsid w:val="007F3D57"/>
    <w:rsid w:val="009B67B8"/>
    <w:rsid w:val="00B03CCD"/>
    <w:rsid w:val="00D24C86"/>
    <w:rsid w:val="00E7636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5F432D"/>
    <w:rsid w:val="0EA339FC"/>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5B488E"/>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1C4E5C"/>
    <w:rsid w:val="22403BD3"/>
    <w:rsid w:val="24B92327"/>
    <w:rsid w:val="24C14514"/>
    <w:rsid w:val="2533755C"/>
    <w:rsid w:val="25791755"/>
    <w:rsid w:val="25E10835"/>
    <w:rsid w:val="26396DF4"/>
    <w:rsid w:val="27167136"/>
    <w:rsid w:val="27B23302"/>
    <w:rsid w:val="29310A5F"/>
    <w:rsid w:val="298E7402"/>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8C0A41"/>
    <w:rsid w:val="37BF1123"/>
    <w:rsid w:val="37D8731C"/>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0F1EE7"/>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866C17"/>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99534C3"/>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B7E7F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17"/>
    <w:qFormat/>
    <w:uiPriority w:val="0"/>
    <w:rPr>
      <w:rFonts w:hint="default" w:ascii="Times New Roman" w:hAnsi="Times New Roman" w:cs="Times New Roman"/>
      <w:b/>
      <w:bCs/>
    </w:rPr>
  </w:style>
  <w:style w:type="character" w:customStyle="1" w:styleId="16">
    <w:name w:val="19"/>
    <w:qFormat/>
    <w:uiPriority w:val="0"/>
    <w:rPr>
      <w:rFonts w:hint="default" w:ascii="Times New Roman" w:hAnsi="Times New Roman" w:cs="Times New Roman"/>
      <w:color w:val="000000"/>
      <w:sz w:val="10"/>
      <w:szCs w:val="10"/>
    </w:rPr>
  </w:style>
  <w:style w:type="character" w:customStyle="1" w:styleId="17">
    <w:name w:val="16"/>
    <w:qFormat/>
    <w:uiPriority w:val="0"/>
    <w:rPr>
      <w:rFonts w:hint="eastAsia" w:ascii="方正仿宋_GBK" w:hAnsi="方正仿宋_GBK" w:eastAsia="方正仿宋_GBK" w:cs="方正仿宋_GBK"/>
      <w:color w:val="000000"/>
      <w:sz w:val="10"/>
      <w:szCs w:val="10"/>
    </w:rPr>
  </w:style>
  <w:style w:type="character" w:customStyle="1" w:styleId="18">
    <w:name w:val="font41"/>
    <w:basedOn w:val="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10664</Words>
  <Characters>13206</Characters>
  <Lines>118</Lines>
  <Paragraphs>33</Paragraphs>
  <TotalTime>6</TotalTime>
  <ScaleCrop>false</ScaleCrop>
  <LinksUpToDate>false</LinksUpToDate>
  <CharactersWithSpaces>14334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2025-08-07T02:09:16Z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ies>
</file>