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垫江县经济和信息化委员会（本级）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1、贯彻执行关于工业和信息化发展的法律、法规、规章和方针政策；</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2、根据本县国民经济和社会发展总体规划，拟定工业、信息化和生产性服务业的发展专项规划和年度计划并组织实施；</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3、监测分析工业和信息产业经济运行态势，进行预警预测和信息引导；</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4、负责拟定年度工业调控目标并贯彻落实；负责电力、天然气、煤炭等重要能源的日常运行调度管理及行政执法，会同县发展改革委编制电力、天然气、煤炭年度平衡计划</w:t>
      </w:r>
      <w:r>
        <w:rPr>
          <w:rFonts w:ascii="方正仿宋_GBK" w:hAnsi="方正仿宋_GBK" w:eastAsia="方正仿宋_GBK" w:cs="方正仿宋_GBK"/>
          <w:sz w:val="32"/>
        </w:rPr>
        <w:t>；</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5、承担液化天然气、液化石油气和醇基燃料的行业管理和日常安全生产监督管理工作；指导盐行业管理工作；负责全县资源综合利用、节约能源和清洁生产工作行政管理及监督；组织新产品、新技术、新设备、新材料的推广应用和实施重大示范工程；</w:t>
      </w:r>
      <w:r>
        <w:rPr>
          <w:rFonts w:ascii="方正仿宋_GBK" w:hAnsi="方正仿宋_GBK" w:eastAsia="方正仿宋_GBK" w:cs="方正仿宋_GBK"/>
          <w:sz w:val="32"/>
        </w:rPr>
        <w:t xml:space="preserve">  </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6、负责全县油气管道保护工作；</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7、负责提出我县工业、信息化固定资产投资规模和方向；</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8、拟定全县工业技术进步和高新技术产业发展规划；</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9、宏观管理和指导各种经济成分的工业企业；</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10、负责全县汽车、摩托车、装备、原材料、电子信息、消费品等工业系统行业管理；</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 xml:space="preserve">11、贯彻执行有关中小企业、乡镇企业发展的法律、法规、规章和方针政策； </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12、负责信息基础设施建设的规划、协调和管理，协调电信市场涉及社会公共利益的重大事宜；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rPr>
        <w:t>13、牵头承担军民融合发展方面的职责；负责拟订智能化相关规划，协调智能化发展中的重大问题；负责推进工业领域信息化发展，推进信息化和工业化融合、工业互联网、物联网、工业信息安全；负责全县软件和信息服务业产业发展和行业管理等职责；强化招商统筹、制造业招商职责；统筹协调推进电动汽车充电基础设施建设职责。</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垫江县经济和信息化委员会（本级）内设机构7个，分别为办公室、政策法规科、工业经济运行科、规划产业科、招商统筹科、中小企业发展科、综合执法科（应急管理科）。</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2024年度收入总计5759.47万元，支出总计</w:t>
      </w:r>
      <w:r>
        <w:rPr>
          <w:rFonts w:ascii="方正仿宋_GBK" w:hAnsi="方正仿宋_GBK" w:eastAsia="方正仿宋_GBK" w:cs="方正仿宋_GBK"/>
          <w:sz w:val="32"/>
          <w:szCs w:val="32"/>
        </w:rPr>
        <w:t>5759.47</w:t>
      </w:r>
      <w:r>
        <w:rPr>
          <w:rFonts w:ascii="方正仿宋_GBK" w:hAnsi="方正仿宋_GBK" w:eastAsia="方正仿宋_GBK" w:cs="方正仿宋_GBK"/>
          <w:sz w:val="32"/>
          <w:szCs w:val="32"/>
          <w:shd w:val="clear" w:color="auto" w:fill="FFFFFF"/>
        </w:rPr>
        <w:t>万元。收、支与2023年度相比，减少18408.92万元，下降76.2%，</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2024年度收入合计5638.57万元，与2023年度相比，减少18376.23万元，下降76.5%，</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5638.57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120.90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5758.38</w:t>
      </w:r>
      <w:r>
        <w:rPr>
          <w:rFonts w:ascii="方正仿宋_GBK" w:hAnsi="方正仿宋_GBK" w:eastAsia="方正仿宋_GBK" w:cs="方正仿宋_GBK"/>
          <w:sz w:val="32"/>
          <w:szCs w:val="32"/>
          <w:shd w:val="clear" w:color="auto" w:fill="FFFFFF"/>
        </w:rPr>
        <w:t>万元，与2023年度相比，减少18409.61万元，下降76.2%，</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779.10</w:t>
      </w:r>
      <w:r>
        <w:rPr>
          <w:rFonts w:ascii="方正仿宋_GBK" w:hAnsi="方正仿宋_GBK" w:eastAsia="方正仿宋_GBK" w:cs="方正仿宋_GBK"/>
          <w:sz w:val="32"/>
          <w:szCs w:val="32"/>
          <w:shd w:val="clear" w:color="auto" w:fill="FFFFFF"/>
        </w:rPr>
        <w:t>万元，占13.5%；项目支出</w:t>
      </w:r>
      <w:r>
        <w:rPr>
          <w:rFonts w:ascii="方正仿宋_GBK" w:hAnsi="方正仿宋_GBK" w:eastAsia="方正仿宋_GBK" w:cs="方正仿宋_GBK"/>
          <w:sz w:val="32"/>
          <w:szCs w:val="32"/>
        </w:rPr>
        <w:t>4979.28</w:t>
      </w:r>
      <w:r>
        <w:rPr>
          <w:rFonts w:ascii="方正仿宋_GBK" w:hAnsi="方正仿宋_GBK" w:eastAsia="方正仿宋_GBK" w:cs="方正仿宋_GBK"/>
          <w:sz w:val="32"/>
          <w:szCs w:val="32"/>
          <w:shd w:val="clear" w:color="auto" w:fill="FFFFFF"/>
        </w:rPr>
        <w:t>万元，占86.5%；经营支出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万元，与2023年度相比，增加0.69万元，增长172.5%，主要原因是新增基本养老保险结余。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2024年度财政拨款收、支总计5759.07万元。与2023年相比，财政拨款收、支总计各减少18396.03万元，下降76.2%。</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3037.07</w:t>
      </w:r>
      <w:r>
        <w:rPr>
          <w:rFonts w:ascii="方正仿宋_GBK" w:hAnsi="方正仿宋_GBK" w:eastAsia="方正仿宋_GBK" w:cs="方正仿宋_GBK"/>
          <w:sz w:val="32"/>
          <w:szCs w:val="32"/>
          <w:shd w:val="clear" w:color="auto" w:fill="FFFFFF"/>
        </w:rPr>
        <w:t>万元，与2023年度相比，减少20977.73万元，下降87.4%。</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r>
        <w:rPr>
          <w:rFonts w:ascii="方正仿宋_GBK" w:hAnsi="方正仿宋_GBK" w:eastAsia="方正仿宋_GBK" w:cs="方正仿宋_GBK"/>
          <w:sz w:val="32"/>
          <w:szCs w:val="32"/>
          <w:shd w:val="clear" w:color="auto" w:fill="FFFFFF"/>
        </w:rPr>
        <w:t>较年初预算数减少484.00万元，下降13.8%。主要原因是市中小微企业专项发展资金、先进制造业和现代服务业发展专项中央基建投资项目经费在执行过程中，根据实际情况预算项目调减。此外，年初财政拨款结转和结余</w:t>
      </w:r>
      <w:r>
        <w:rPr>
          <w:rFonts w:ascii="方正仿宋_GBK" w:hAnsi="方正仿宋_GBK" w:eastAsia="方正仿宋_GBK" w:cs="方正仿宋_GBK"/>
          <w:sz w:val="32"/>
          <w:szCs w:val="32"/>
        </w:rPr>
        <w:t>120.50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3156.48</w:t>
      </w:r>
      <w:r>
        <w:rPr>
          <w:rFonts w:ascii="方正仿宋_GBK" w:hAnsi="方正仿宋_GBK" w:eastAsia="方正仿宋_GBK" w:cs="方正仿宋_GBK"/>
          <w:sz w:val="32"/>
          <w:szCs w:val="32"/>
          <w:shd w:val="clear" w:color="auto" w:fill="FFFFFF"/>
        </w:rPr>
        <w:t>万元，与2023年度相比，减少20998.62万元，下降86.9%。</w:t>
      </w:r>
      <w:r>
        <w:rPr>
          <w:rFonts w:hint="default" w:ascii="方正仿宋_GBK" w:hAnsi="方正仿宋_GBK" w:eastAsia="方正仿宋_GBK" w:cs="方正仿宋_GBK"/>
          <w:sz w:val="32"/>
          <w:szCs w:val="32"/>
          <w:shd w:val="clear" w:color="auto" w:fill="FFFFFF"/>
        </w:rPr>
        <w:t>主要原因是市中小微企业专项发展资金、城市燃气管道等老化更新改造、工业和信息化专项资金、先进制造业和现代服务业发展专项中央基建投资等项目经费减少。</w:t>
      </w:r>
      <w:r>
        <w:rPr>
          <w:rFonts w:ascii="方正仿宋_GBK" w:hAnsi="方正仿宋_GBK" w:eastAsia="方正仿宋_GBK" w:cs="方正仿宋_GBK"/>
          <w:sz w:val="32"/>
          <w:szCs w:val="32"/>
          <w:shd w:val="clear" w:color="auto" w:fill="FFFFFF"/>
        </w:rPr>
        <w:t>较年初预算数减少364.59万元，下降10.4%。主要原因是市中小微企业专项发展资金、先进制造业和现代服务业发展专项中央基建投资项目经费在执行过程中，根据实际情况预算项目调减。</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万元，与2023年度相比，增加1.09万元，增长100.0%，主要原因是基本养老保险有结余。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651.59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，较年初预算数增加317.51万元，增长95.0%，</w:t>
      </w:r>
      <w:r>
        <w:rPr>
          <w:rFonts w:hint="default"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本年度机构改革，原垫江县招商投资促进局合并至我单位，人员经费及公用经费增加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，较年初预算数减少0.05万元，下降5.0%，主要原因是</w:t>
      </w:r>
      <w:r>
        <w:rPr>
          <w:rFonts w:ascii="仿宋_GB2312" w:hAnsi="仿宋" w:eastAsia="仿宋_GB2312"/>
          <w:kern w:val="2"/>
          <w:sz w:val="32"/>
          <w:szCs w:val="32"/>
        </w:rPr>
        <w:t>本年度职工培训减少。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325.67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，较年初预算数增加86.86万元，增长36.4%，</w:t>
      </w:r>
      <w:r>
        <w:rPr>
          <w:rFonts w:hint="default"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一是本年度根据政策补缴</w:t>
      </w:r>
      <w:r>
        <w:rPr>
          <w:rFonts w:hint="default" w:ascii="方正仿宋_GBK" w:eastAsia="方正仿宋_GBK"/>
          <w:sz w:val="32"/>
          <w:szCs w:val="32"/>
        </w:rPr>
        <w:t>2021年-2022年养老保险和职业年金，二是机构改革，原垫江县招商投资促进局合并至我单位，养老保险和职业年金缴费增加。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25.60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，较年初预算数增加7.57万元，增长42.0%，</w:t>
      </w:r>
      <w:r>
        <w:rPr>
          <w:rFonts w:hint="default" w:ascii="方正仿宋_GBK" w:hAnsi="方正仿宋_GBK" w:eastAsia="方正仿宋_GBK" w:cs="方正仿宋_GBK"/>
          <w:sz w:val="32"/>
          <w:szCs w:val="32"/>
          <w:shd w:val="clear" w:color="auto" w:fill="FFFFFF"/>
        </w:rPr>
        <w:t>主要原因是机构改革，</w:t>
      </w:r>
      <w:r>
        <w:rPr>
          <w:rFonts w:ascii="方正仿宋_GBK" w:eastAsia="方正仿宋_GBK"/>
          <w:sz w:val="32"/>
          <w:szCs w:val="32"/>
        </w:rPr>
        <w:t>原垫江县招商投资促进局合并至我单位，职工医疗保险缴费增加。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1550.00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，较年初预算数减少150.00万元，下降8.8%，</w:t>
      </w:r>
      <w:r>
        <w:rPr>
          <w:rFonts w:hint="default" w:ascii="方正仿宋_GBK" w:hAnsi="方正仿宋_GBK" w:eastAsia="方正仿宋_GBK" w:cs="方正仿宋_GBK"/>
          <w:sz w:val="32"/>
          <w:szCs w:val="32"/>
          <w:shd w:val="clear" w:color="auto" w:fill="FFFFFF"/>
        </w:rPr>
        <w:t>主要原因是</w:t>
      </w:r>
      <w:r>
        <w:rPr>
          <w:rFonts w:ascii="方正仿宋_GBK" w:eastAsia="方正仿宋_GBK"/>
          <w:sz w:val="32"/>
          <w:szCs w:val="32"/>
        </w:rPr>
        <w:t>本年度污染治理和节能减碳专项（节能减碳方向）中央基建投资项目调减</w:t>
      </w:r>
      <w:r>
        <w:rPr>
          <w:rFonts w:hint="default" w:ascii="方正仿宋_GBK" w:eastAsia="方正仿宋_GBK"/>
          <w:sz w:val="32"/>
          <w:szCs w:val="32"/>
        </w:rPr>
        <w:t>150.00</w:t>
      </w:r>
      <w:r>
        <w:rPr>
          <w:rFonts w:ascii="方正仿宋_GBK" w:eastAsia="方正仿宋_GBK"/>
          <w:sz w:val="32"/>
          <w:szCs w:val="32"/>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157.97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，较年初预算数减少1047.03万元，下降86.9%，主要原因是</w:t>
      </w:r>
      <w:r>
        <w:rPr>
          <w:rFonts w:ascii="方正仿宋_GBK" w:eastAsia="方正仿宋_GBK"/>
          <w:sz w:val="32"/>
          <w:szCs w:val="32"/>
        </w:rPr>
        <w:t>市级中小微企业发展资金在执行过程中，根据实际情况预算项目调减。</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住房保障支出444.70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，较年初预算数增加420.55万元，增长1741.4%，</w:t>
      </w:r>
      <w:r>
        <w:rPr>
          <w:rFonts w:hint="default" w:ascii="方正仿宋_GBK" w:hAnsi="方正仿宋_GBK" w:eastAsia="方正仿宋_GBK" w:cs="方正仿宋_GBK"/>
          <w:sz w:val="32"/>
          <w:szCs w:val="32"/>
          <w:shd w:val="clear" w:color="auto" w:fill="FFFFFF"/>
        </w:rPr>
        <w:t>主要原因是老旧小区改造项目经费增加。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778.70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651.32</w:t>
      </w:r>
      <w:r>
        <w:rPr>
          <w:rFonts w:ascii="方正仿宋_GBK" w:hAnsi="方正仿宋_GBK" w:eastAsia="方正仿宋_GBK" w:cs="方正仿宋_GBK"/>
          <w:sz w:val="32"/>
          <w:szCs w:val="32"/>
          <w:shd w:val="clear" w:color="auto" w:fill="FFFFFF"/>
        </w:rPr>
        <w:t>万元，与2023年度相比，增加122.75万元，增长23.2%，</w:t>
      </w:r>
      <w:r>
        <w:rPr>
          <w:rFonts w:hint="default" w:ascii="方正仿宋_GBK" w:hAnsi="方正仿宋_GBK" w:eastAsia="方正仿宋_GBK" w:cs="方正仿宋_GBK"/>
          <w:sz w:val="32"/>
          <w:szCs w:val="32"/>
          <w:shd w:val="clear" w:color="auto" w:fill="FFFFFF"/>
        </w:rPr>
        <w:t>主要原因是原招商局合并至</w:t>
      </w:r>
      <w:r>
        <w:rPr>
          <w:rFonts w:hint="eastAsia" w:ascii="方正仿宋_GBK" w:hAnsi="方正仿宋_GBK" w:eastAsia="方正仿宋_GBK" w:cs="方正仿宋_GBK"/>
          <w:sz w:val="32"/>
          <w:szCs w:val="32"/>
          <w:shd w:val="clear" w:color="auto" w:fill="FFFFFF"/>
          <w:lang w:val="en-US" w:eastAsia="zh-CN"/>
        </w:rPr>
        <w:t>我单位</w:t>
      </w:r>
      <w:bookmarkStart w:id="0" w:name="_GoBack"/>
      <w:bookmarkEnd w:id="0"/>
      <w:r>
        <w:rPr>
          <w:rFonts w:hint="default" w:ascii="方正仿宋_GBK" w:hAnsi="方正仿宋_GBK" w:eastAsia="方正仿宋_GBK" w:cs="方正仿宋_GBK"/>
          <w:sz w:val="32"/>
          <w:szCs w:val="32"/>
          <w:shd w:val="clear" w:color="auto" w:fill="FFFFFF"/>
        </w:rPr>
        <w:t>，人员增加，人员经费增加。人员经费用途主要包括基本工资、津贴补贴、奖金、社会保障缴费、住房公积金、其他工资福利支出等。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127.38</w:t>
      </w:r>
      <w:r>
        <w:rPr>
          <w:rFonts w:ascii="方正仿宋_GBK" w:hAnsi="方正仿宋_GBK" w:eastAsia="方正仿宋_GBK" w:cs="方正仿宋_GBK"/>
          <w:sz w:val="32"/>
          <w:szCs w:val="32"/>
          <w:shd w:val="clear" w:color="auto" w:fill="FFFFFF"/>
        </w:rPr>
        <w:t>万元，与2023年度相比，增加65.02万元，增长104.3%，</w:t>
      </w:r>
      <w:r>
        <w:rPr>
          <w:rFonts w:hint="default" w:ascii="方正仿宋_GBK" w:hAnsi="方正仿宋_GBK" w:eastAsia="方正仿宋_GBK" w:cs="方正仿宋_GBK"/>
          <w:sz w:val="32"/>
          <w:szCs w:val="32"/>
          <w:shd w:val="clear" w:color="auto" w:fill="FFFFFF"/>
        </w:rPr>
        <w:t>主要原因是原招商局合并至经信委，人员增加，支出增加。公用经费用途主要包括办公费、印刷费、咨询费、水电费、邮电费、手续费、差旅费、劳务费等。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2601.50</w:t>
      </w:r>
      <w:r>
        <w:rPr>
          <w:rFonts w:ascii="方正仿宋_GBK" w:hAnsi="方正仿宋_GBK" w:eastAsia="方正仿宋_GBK" w:cs="方正仿宋_GBK"/>
          <w:sz w:val="32"/>
          <w:szCs w:val="32"/>
          <w:shd w:val="clear" w:color="auto" w:fill="FFFFFF"/>
        </w:rPr>
        <w:t>万元，与2023年度相比，增加2601.50万元，增长100.0%，</w:t>
      </w:r>
      <w:r>
        <w:rPr>
          <w:rFonts w:hint="default" w:ascii="方正仿宋_GBK" w:hAnsi="方正仿宋_GBK" w:eastAsia="方正仿宋_GBK" w:cs="方正仿宋_GBK"/>
          <w:sz w:val="32"/>
          <w:szCs w:val="32"/>
          <w:shd w:val="clear" w:color="auto" w:fill="FFFFFF"/>
        </w:rPr>
        <w:t>主要原因是垫江县燃气智慧平台及物联感知设备更新改造工程项目增加。</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2601.50</w:t>
      </w:r>
      <w:r>
        <w:rPr>
          <w:rFonts w:ascii="方正仿宋_GBK" w:hAnsi="方正仿宋_GBK" w:eastAsia="方正仿宋_GBK" w:cs="方正仿宋_GBK"/>
          <w:sz w:val="32"/>
          <w:szCs w:val="32"/>
          <w:shd w:val="clear" w:color="auto" w:fill="FFFFFF"/>
        </w:rPr>
        <w:t>万元，与2023年度相比，增加2601.50万元，增长100.0%，</w:t>
      </w:r>
      <w:r>
        <w:rPr>
          <w:rFonts w:hint="default" w:ascii="方正仿宋_GBK" w:hAnsi="方正仿宋_GBK" w:eastAsia="方正仿宋_GBK" w:cs="方正仿宋_GBK"/>
          <w:sz w:val="32"/>
          <w:szCs w:val="32"/>
          <w:shd w:val="clear" w:color="auto" w:fill="FFFFFF"/>
        </w:rPr>
        <w:t>主要原因是垫江县燃气智慧平台及物联感知设备更新改造工程项目增加。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 2024年度国有资本经营预算财政拨本年支出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w:t>
      </w:r>
      <w:r>
        <w:rPr>
          <w:rFonts w:hint="default" w:ascii="方正仿宋_GBK" w:hAnsi="方正仿宋_GBK" w:eastAsia="方正仿宋_GBK" w:cs="方正仿宋_GBK"/>
          <w:sz w:val="32"/>
          <w:szCs w:val="32"/>
          <w:shd w:val="clear" w:color="auto" w:fill="FFFFFF"/>
        </w:rPr>
        <w:t>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57.24</w:t>
      </w:r>
      <w:r>
        <w:rPr>
          <w:rFonts w:ascii="方正仿宋_GBK" w:hAnsi="方正仿宋_GBK" w:eastAsia="方正仿宋_GBK" w:cs="方正仿宋_GBK"/>
          <w:sz w:val="32"/>
          <w:szCs w:val="32"/>
          <w:shd w:val="clear" w:color="auto" w:fill="FFFFFF"/>
        </w:rPr>
        <w:t>万元，较年初预算数增加47.75万元，增长503.2%，</w:t>
      </w:r>
      <w:r>
        <w:rPr>
          <w:rFonts w:hint="default" w:ascii="方正仿宋_GBK" w:hAnsi="方正仿宋_GBK" w:eastAsia="方正仿宋_GBK" w:cs="方正仿宋_GBK"/>
          <w:sz w:val="32"/>
          <w:szCs w:val="32"/>
          <w:shd w:val="clear" w:color="auto" w:fill="FFFFFF"/>
        </w:rPr>
        <w:t>主要原因是本年度因机构改革，招商局合并至我单位，招商引资增加，公务用车增加。</w:t>
      </w:r>
      <w:r>
        <w:rPr>
          <w:rFonts w:ascii="方正仿宋_GBK" w:hAnsi="方正仿宋_GBK" w:eastAsia="方正仿宋_GBK" w:cs="方正仿宋_GBK"/>
          <w:sz w:val="32"/>
          <w:szCs w:val="32"/>
          <w:shd w:val="clear" w:color="auto" w:fill="FFFFFF"/>
        </w:rPr>
        <w:t>较上年支出数增加44.75万元，增长358.3%，</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kern w:val="2"/>
          <w:sz w:val="32"/>
          <w:szCs w:val="32"/>
        </w:rPr>
        <w:t>本年度因机构改革，招商局合并至我单位，招商引资增加，公务用车增加。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万元，主要用于机要文件交换、市内因公出行、安全检查等工作所需车辆的燃料费、维修费、过桥过路费、保险费等。费用支出较年初预算数增加4.00万元，增长100.0%，</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kern w:val="2"/>
          <w:sz w:val="32"/>
          <w:szCs w:val="32"/>
        </w:rPr>
        <w:t>本年度因机构改革，招商局合并至我单位</w:t>
      </w:r>
      <w:r>
        <w:rPr>
          <w:rFonts w:ascii="方正仿宋_GBK" w:hAnsi="方正仿宋_GBK" w:eastAsia="方正仿宋_GBK" w:cs="方正仿宋_GBK"/>
          <w:sz w:val="32"/>
          <w:szCs w:val="32"/>
          <w:shd w:val="clear" w:color="auto" w:fill="FFFFFF"/>
        </w:rPr>
        <w:t>。较上年支出数增加3.00万元，增长60.0%，</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kern w:val="2"/>
          <w:sz w:val="32"/>
          <w:szCs w:val="32"/>
        </w:rPr>
        <w:t>本年度因机构改革，招商局合并至我单位，公务用车增加一辆，公车运行维护费增加。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49.24</w:t>
      </w:r>
      <w:r>
        <w:rPr>
          <w:rFonts w:ascii="方正仿宋_GBK" w:hAnsi="方正仿宋_GBK" w:eastAsia="方正仿宋_GBK" w:cs="方正仿宋_GBK"/>
          <w:sz w:val="32"/>
          <w:szCs w:val="32"/>
          <w:shd w:val="clear" w:color="auto" w:fill="FFFFFF"/>
        </w:rPr>
        <w:t>万元，主要用于接待招商引资、接待市内其他区县相关单位到我单位学习调研工作，接受相关部门检查指导工作发生的接待支出。费用支出较年初预算数增加43.75万元，增长796.9%，</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kern w:val="2"/>
          <w:sz w:val="32"/>
          <w:szCs w:val="32"/>
        </w:rPr>
        <w:t>本年度因机构改革，招商局合并至我单位</w:t>
      </w:r>
      <w:r>
        <w:rPr>
          <w:rFonts w:ascii="方正仿宋_GBK" w:hAnsi="方正仿宋_GBK" w:eastAsia="方正仿宋_GBK" w:cs="方正仿宋_GBK"/>
          <w:sz w:val="32"/>
          <w:szCs w:val="32"/>
          <w:shd w:val="clear" w:color="auto" w:fill="FFFFFF"/>
        </w:rPr>
        <w:t>。较上年支出数增加41.75万元，增长557.4%，</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kern w:val="2"/>
          <w:sz w:val="32"/>
          <w:szCs w:val="32"/>
        </w:rPr>
        <w:t>本年度因机构改革，招商局合并至我单位，招商引资职能职责增加，外出招商引资公务接待费增加。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2920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168.64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万元，与2023年度相比，增加0.85万元，增长80.2%，</w:t>
      </w:r>
      <w:r>
        <w:rPr>
          <w:rFonts w:hint="default" w:ascii="方正仿宋_GBK" w:hAnsi="方正仿宋_GBK" w:eastAsia="方正仿宋_GBK" w:cs="方正仿宋_GBK"/>
          <w:sz w:val="32"/>
          <w:szCs w:val="32"/>
          <w:shd w:val="clear" w:color="auto" w:fill="FFFFFF"/>
        </w:rPr>
        <w:t>主要原因是机构改革，</w:t>
      </w:r>
      <w:r>
        <w:rPr>
          <w:rFonts w:ascii="仿宋_GB2312" w:hAnsi="仿宋" w:eastAsia="仿宋_GB2312"/>
          <w:sz w:val="32"/>
          <w:szCs w:val="32"/>
        </w:rPr>
        <w:t>本年度招商局、招商投促中心合并至我单位，会议费支出增加。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万元，与2023年度相比，减少0.63万元，下降39.9%，主要原因是本年度培训减少</w:t>
      </w:r>
      <w:r>
        <w:rPr>
          <w:rFonts w:ascii="仿宋_GB2312" w:hAnsi="仿宋" w:eastAsia="仿宋_GB2312"/>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127.38</w:t>
      </w:r>
      <w:r>
        <w:rPr>
          <w:rFonts w:ascii="方正仿宋_GBK" w:hAnsi="方正仿宋_GBK" w:eastAsia="方正仿宋_GBK" w:cs="方正仿宋_GBK"/>
          <w:sz w:val="32"/>
          <w:szCs w:val="32"/>
          <w:shd w:val="clear" w:color="auto" w:fill="FFFFFF"/>
        </w:rPr>
        <w:t>万元，机关运行经费主要用于开支机关运行经费主要用于</w:t>
      </w:r>
      <w:r>
        <w:rPr>
          <w:rFonts w:ascii="方正仿宋_GBK" w:hAnsi="方正仿宋_GBK" w:eastAsia="方正仿宋_GBK" w:cs="方正仿宋_GBK"/>
          <w:kern w:val="2"/>
          <w:sz w:val="32"/>
          <w:szCs w:val="32"/>
          <w:shd w:val="clear" w:color="auto" w:fill="FFFFFF"/>
        </w:rPr>
        <w:t>开支办公费、公务车运行维护费、信息网络购置更新费等</w:t>
      </w:r>
      <w:r>
        <w:rPr>
          <w:rFonts w:ascii="方正仿宋_GBK" w:hAnsi="方正仿宋_GBK" w:eastAsia="方正仿宋_GBK" w:cs="方正仿宋_GBK"/>
          <w:sz w:val="32"/>
          <w:szCs w:val="32"/>
          <w:shd w:val="clear" w:color="auto" w:fill="FFFFFF"/>
        </w:rPr>
        <w:t>。机关运行经费较上年支出数增加65.02万元，增长104.3%，</w:t>
      </w:r>
      <w:r>
        <w:rPr>
          <w:rFonts w:hint="default"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本年度招商局合并至我单位，人员增加，机关运行经费增加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ascii="方正仿宋_GBK" w:hAnsi="方正仿宋_GBK" w:eastAsia="方正仿宋_GBK" w:cs="方正仿宋_GBK"/>
          <w:sz w:val="32"/>
          <w:szCs w:val="32"/>
          <w:shd w:val="clear" w:color="auto" w:fill="FFFFFF"/>
        </w:rPr>
        <w:t>18个二级项目开展了绩效自评，涉及财政拨款项目支出资金2377.78</w:t>
      </w:r>
      <w:r>
        <w:rPr>
          <w:rFonts w:hint="eastAsia" w:ascii="方正仿宋_GBK" w:hAnsi="方正仿宋_GBK" w:eastAsia="方正仿宋_GBK" w:cs="方正仿宋_GBK"/>
          <w:sz w:val="32"/>
          <w:szCs w:val="32"/>
          <w:shd w:val="clear" w:color="auto" w:fill="FFFFFF"/>
        </w:rPr>
        <w:t>万元。</w:t>
      </w:r>
    </w:p>
    <w:p>
      <w:pPr>
        <w:pStyle w:val="12"/>
        <w:spacing w:before="0" w:beforeAutospacing="0" w:after="0" w:afterAutospacing="0" w:line="596" w:lineRule="exact"/>
        <w:ind w:firstLine="643" w:firstLineChars="200"/>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pPr w:leftFromText="180" w:rightFromText="180" w:vertAnchor="text" w:horzAnchor="page" w:tblpX="995" w:tblpY="622"/>
        <w:tblOverlap w:val="never"/>
        <w:tblW w:w="5000" w:type="pct"/>
        <w:tblInd w:w="0" w:type="dxa"/>
        <w:tblLayout w:type="autofit"/>
        <w:tblCellMar>
          <w:top w:w="0" w:type="dxa"/>
          <w:left w:w="0" w:type="dxa"/>
          <w:bottom w:w="0" w:type="dxa"/>
          <w:right w:w="0" w:type="dxa"/>
        </w:tblCellMar>
      </w:tblPr>
      <w:tblGrid>
        <w:gridCol w:w="1408"/>
        <w:gridCol w:w="1026"/>
        <w:gridCol w:w="819"/>
        <w:gridCol w:w="771"/>
        <w:gridCol w:w="604"/>
        <w:gridCol w:w="662"/>
        <w:gridCol w:w="718"/>
        <w:gridCol w:w="557"/>
        <w:gridCol w:w="453"/>
        <w:gridCol w:w="665"/>
        <w:gridCol w:w="662"/>
      </w:tblGrid>
      <w:tr>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hint="default" w:ascii="微软雅黑" w:hAnsi="微软雅黑" w:eastAsia="微软雅黑" w:cs="微软雅黑"/>
                <w:b/>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项目名称：</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企业“三类人员”生活医疗困难补助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项目编码：</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50023122T000000139920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自评总分：</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100.00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项目主管部门：</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503-垫江县经济和信息化委员会</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财政归口处室：</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008-企业科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部门联系人：</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汪老师</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联系电话：</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hint="default" w:cs="宋体"/>
                <w:sz w:val="22"/>
                <w:szCs w:val="22"/>
                <w:lang w:bidi="ar"/>
              </w:rPr>
              <w:t>023-74512518</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资金情况</w:t>
            </w:r>
          </w:p>
        </w:tc>
      </w:tr>
      <w:tr>
        <w:tblPrEx>
          <w:tblCellMar>
            <w:top w:w="0" w:type="dxa"/>
            <w:left w:w="0" w:type="dxa"/>
            <w:bottom w:w="0" w:type="dxa"/>
            <w:right w:w="0" w:type="dxa"/>
          </w:tblCellMar>
        </w:tblPrEx>
        <w:trPr>
          <w:trHeight w:val="500" w:hRule="atLeast"/>
        </w:trPr>
        <w:tc>
          <w:tcPr>
            <w:tcW w:w="14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sz w:val="22"/>
                <w:szCs w:val="22"/>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年初预算数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sz w:val="22"/>
                <w:szCs w:val="22"/>
              </w:rPr>
            </w:pPr>
            <w:r>
              <w:rPr>
                <w:rFonts w:cs="宋体"/>
                <w:b/>
                <w:sz w:val="22"/>
                <w:szCs w:val="22"/>
                <w:lang w:bidi="ar"/>
              </w:rPr>
              <w:t>执行率权重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执行率得分</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年度总金额</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其中：财政拨款</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hint="default" w:cs="宋体"/>
                <w:sz w:val="22"/>
                <w:szCs w:val="22"/>
                <w:lang w:bidi="ar"/>
              </w:rPr>
              <w:t>10.00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 xml:space="preserve">10.00 </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一般公共预算</w:t>
            </w:r>
          </w:p>
        </w:tc>
        <w:tc>
          <w:tcPr>
            <w:tcW w:w="61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4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42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113,683.00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绩效目标</w:t>
            </w:r>
          </w:p>
        </w:tc>
      </w:tr>
      <w:tr>
        <w:tblPrEx>
          <w:tblCellMar>
            <w:top w:w="0" w:type="dxa"/>
            <w:left w:w="0" w:type="dxa"/>
            <w:bottom w:w="0" w:type="dxa"/>
            <w:right w:w="0" w:type="dxa"/>
          </w:tblCellMar>
        </w:tblPrEx>
        <w:trPr>
          <w:trHeight w:val="500" w:hRule="atLeast"/>
        </w:trPr>
        <w:tc>
          <w:tcPr>
            <w:tcW w:w="241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年初绩效目标</w:t>
            </w:r>
          </w:p>
        </w:tc>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全年（调整）绩效目标</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全年目标实际完成情况</w:t>
            </w:r>
          </w:p>
        </w:tc>
      </w:tr>
      <w:tr>
        <w:tblPrEx>
          <w:tblCellMar>
            <w:top w:w="0" w:type="dxa"/>
            <w:left w:w="0" w:type="dxa"/>
            <w:bottom w:w="0" w:type="dxa"/>
            <w:right w:w="0" w:type="dxa"/>
          </w:tblCellMar>
        </w:tblPrEx>
        <w:trPr>
          <w:trHeight w:val="1600" w:hRule="atLeast"/>
        </w:trPr>
        <w:tc>
          <w:tcPr>
            <w:tcW w:w="24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w:t>
            </w:r>
            <w:r>
              <w:rPr>
                <w:rFonts w:hint="default" w:cs="宋体"/>
                <w:sz w:val="22"/>
                <w:szCs w:val="22"/>
                <w:lang w:bidi="ar"/>
              </w:rPr>
              <w:t>2020】30号），按标准对企业老复员军人、企业参战退役人员、企业参核退役人员进行补助。</w:t>
            </w:r>
          </w:p>
        </w:tc>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w:t>
            </w:r>
            <w:r>
              <w:rPr>
                <w:rFonts w:hint="default" w:cs="宋体"/>
                <w:sz w:val="22"/>
                <w:szCs w:val="22"/>
                <w:lang w:bidi="ar"/>
              </w:rPr>
              <w:t>2020】30号），按标准对企业老复员军人、企业参战退役人员、企业参核退役人员进行补助。</w:t>
            </w:r>
          </w:p>
        </w:tc>
        <w:tc>
          <w:tcPr>
            <w:tcW w:w="107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根据《关于调整企业“三类人员”生活医疗困难补助标准的通知》（渝退役军人局【</w:t>
            </w:r>
            <w:r>
              <w:rPr>
                <w:rFonts w:hint="default" w:cs="宋体"/>
                <w:sz w:val="22"/>
                <w:szCs w:val="22"/>
                <w:lang w:bidi="ar"/>
              </w:rPr>
              <w:t>2020】30号），已按标准对企业老复员军人、企业参战退役人员、企业参核退役人员进行补助。</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绩效指标</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指标名称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计量单位</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全年完成值</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偏离度（</w:t>
            </w:r>
            <w:r>
              <w:rPr>
                <w:rFonts w:hint="default" w:cs="宋体"/>
                <w:b/>
                <w:sz w:val="22"/>
                <w:szCs w:val="22"/>
                <w:lang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得分系数（</w:t>
            </w:r>
            <w:r>
              <w:rPr>
                <w:rFonts w:hint="default" w:cs="宋体"/>
                <w:b/>
                <w:sz w:val="22"/>
                <w:szCs w:val="22"/>
                <w:lang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是否核心指标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说明</w:t>
            </w: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补助人数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14</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补助发放覆盖率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补助按时到位率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老复员军人补助标准</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w:t>
            </w:r>
            <w:r>
              <w:rPr>
                <w:rFonts w:hint="default" w:cs="宋体"/>
                <w:sz w:val="22"/>
                <w:szCs w:val="22"/>
                <w:lang w:bidi="ar"/>
              </w:rPr>
              <w:t>/人*月</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1089</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1089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企业参战人员人均补助标准</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w:t>
            </w:r>
            <w:r>
              <w:rPr>
                <w:rFonts w:hint="default" w:cs="宋体"/>
                <w:sz w:val="22"/>
                <w:szCs w:val="22"/>
                <w:lang w:bidi="ar"/>
              </w:rPr>
              <w:t>/人*月</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535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535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补助政策知晓率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是</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服务对象满意度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bl>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tbl>
      <w:tblPr>
        <w:tblStyle w:val="7"/>
        <w:tblpPr w:leftFromText="180" w:rightFromText="180" w:vertAnchor="text" w:horzAnchor="page" w:tblpX="995" w:tblpY="622"/>
        <w:tblOverlap w:val="never"/>
        <w:tblW w:w="0" w:type="auto"/>
        <w:tblInd w:w="0" w:type="dxa"/>
        <w:tblLayout w:type="autofit"/>
        <w:tblCellMar>
          <w:top w:w="0" w:type="dxa"/>
          <w:left w:w="0" w:type="dxa"/>
          <w:bottom w:w="0" w:type="dxa"/>
          <w:right w:w="0" w:type="dxa"/>
        </w:tblCellMar>
      </w:tblPr>
      <w:tblGrid>
        <w:gridCol w:w="1279"/>
        <w:gridCol w:w="873"/>
        <w:gridCol w:w="873"/>
        <w:gridCol w:w="822"/>
        <w:gridCol w:w="645"/>
        <w:gridCol w:w="706"/>
        <w:gridCol w:w="766"/>
        <w:gridCol w:w="483"/>
        <w:gridCol w:w="483"/>
        <w:gridCol w:w="709"/>
        <w:gridCol w:w="706"/>
      </w:tblGrid>
      <w:tr>
        <w:tblPrEx>
          <w:tblCellMar>
            <w:top w:w="0" w:type="dxa"/>
            <w:left w:w="0" w:type="dxa"/>
            <w:bottom w:w="0" w:type="dxa"/>
            <w:right w:w="0"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hint="default" w:ascii="微软雅黑" w:hAnsi="微软雅黑" w:eastAsia="微软雅黑" w:cs="微软雅黑"/>
                <w:b/>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元旦春节慰问金经费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50023122T000000118262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503-垫江县经济和信息化委员会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008-企业科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汪老师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sz w:val="22"/>
                <w:szCs w:val="22"/>
              </w:rPr>
            </w:pPr>
            <w:r>
              <w:rPr>
                <w:rFonts w:cs="宋体"/>
                <w:b/>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hint="default" w:cs="宋体"/>
                <w:sz w:val="22"/>
                <w:szCs w:val="22"/>
                <w:lang w:bidi="ar"/>
              </w:rPr>
              <w:t>023-74512518</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sz w:val="22"/>
                <w:szCs w:val="22"/>
              </w:rPr>
            </w:pPr>
            <w:r>
              <w:rPr>
                <w:rFonts w:cs="宋体"/>
                <w:b/>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执行率得分</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hint="default"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 xml:space="preserve">10.00 </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全年目标实际完成情况</w:t>
            </w:r>
          </w:p>
        </w:tc>
      </w:tr>
      <w:tr>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老党员、困难党员春节慰问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老党员、困难党员春节慰问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sz w:val="22"/>
                <w:szCs w:val="22"/>
              </w:rPr>
            </w:pPr>
            <w:r>
              <w:rPr>
                <w:rFonts w:cs="宋体"/>
                <w:sz w:val="22"/>
                <w:szCs w:val="22"/>
                <w:lang w:bidi="ar"/>
              </w:rPr>
              <w:t>已完成老党员、困难党员春节慰问</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sz w:val="28"/>
                <w:szCs w:val="28"/>
              </w:rPr>
            </w:pPr>
            <w:r>
              <w:rPr>
                <w:rFonts w:ascii="微软雅黑" w:hAnsi="微软雅黑" w:eastAsia="微软雅黑" w:cs="微软雅黑"/>
                <w:b/>
                <w:sz w:val="28"/>
                <w:szCs w:val="28"/>
                <w:lang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偏离度（</w:t>
            </w:r>
            <w:r>
              <w:rPr>
                <w:rFonts w:hint="default" w:cs="宋体"/>
                <w:b/>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得分系数（</w:t>
            </w:r>
            <w:r>
              <w:rPr>
                <w:rFonts w:hint="default" w:cs="宋体"/>
                <w:b/>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慰问服务按时到位率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体现对困难党员的关怀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cs="宋体"/>
                <w:sz w:val="22"/>
                <w:szCs w:val="22"/>
                <w:lang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hint="default"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慰问标准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元</w:t>
            </w:r>
            <w:r>
              <w:rPr>
                <w:rFonts w:hint="default"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sz w:val="22"/>
                <w:szCs w:val="22"/>
              </w:rPr>
            </w:pPr>
            <w:r>
              <w:rPr>
                <w:rFonts w:hint="default"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r>
    </w:tbl>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本年度本单位未组织开展绩效评价。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6"/>
        <w:autoSpaceDE w:val="0"/>
        <w:spacing w:line="596" w:lineRule="exact"/>
        <w:ind w:firstLine="640"/>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县财政局委托第三方对我单位开展</w:t>
      </w:r>
      <w:r>
        <w:rPr>
          <w:rFonts w:hint="eastAsia" w:ascii="方正仿宋_GBK" w:hAnsi="方正仿宋_GBK" w:eastAsia="方正仿宋_GBK" w:cs="方正仿宋_GBK"/>
          <w:sz w:val="32"/>
          <w:szCs w:val="32"/>
          <w:shd w:val="clear" w:color="auto" w:fill="FFFFFF"/>
          <w:lang w:val="en-US" w:eastAsia="zh-CN"/>
        </w:rPr>
        <w:t>了部门整体</w:t>
      </w:r>
      <w:r>
        <w:rPr>
          <w:rFonts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ascii="方正仿宋_GBK" w:hAnsi="方正仿宋_GBK" w:eastAsia="方正仿宋_GBK" w:cs="方正仿宋_GBK"/>
          <w:color w:val="auto"/>
          <w:sz w:val="32"/>
          <w:szCs w:val="32"/>
          <w:highlight w:val="none"/>
          <w:shd w:val="clear" w:color="auto" w:fill="FFFFFF"/>
        </w:rPr>
        <w:t>涉及财政拨款项目资金</w:t>
      </w:r>
      <w:r>
        <w:rPr>
          <w:rFonts w:hint="eastAsia" w:ascii="方正仿宋_GBK" w:hAnsi="方正仿宋_GBK" w:eastAsia="方正仿宋_GBK" w:cs="方正仿宋_GBK"/>
          <w:color w:val="auto"/>
          <w:sz w:val="32"/>
          <w:szCs w:val="32"/>
          <w:highlight w:val="none"/>
          <w:shd w:val="clear" w:color="auto" w:fill="FFFFFF"/>
          <w:lang w:val="en-US" w:eastAsia="zh-CN"/>
        </w:rPr>
        <w:t>4979.28</w:t>
      </w:r>
      <w:r>
        <w:rPr>
          <w:rFonts w:ascii="方正仿宋_GBK" w:hAnsi="方正仿宋_GBK" w:eastAsia="方正仿宋_GBK" w:cs="方正仿宋_GBK"/>
          <w:color w:val="auto"/>
          <w:sz w:val="32"/>
          <w:szCs w:val="32"/>
          <w:highlight w:val="none"/>
          <w:shd w:val="clear" w:color="auto" w:fill="FFFFFF"/>
        </w:rPr>
        <w:t>万元，评价得分</w:t>
      </w:r>
      <w:r>
        <w:rPr>
          <w:rFonts w:hint="eastAsia" w:ascii="方正仿宋_GBK" w:hAnsi="方正仿宋_GBK" w:eastAsia="方正仿宋_GBK" w:cs="方正仿宋_GBK"/>
          <w:color w:val="auto"/>
          <w:sz w:val="32"/>
          <w:szCs w:val="32"/>
          <w:highlight w:val="none"/>
          <w:shd w:val="clear" w:color="auto" w:fill="FFFFFF"/>
          <w:lang w:val="en-US" w:eastAsia="zh-CN"/>
        </w:rPr>
        <w:t>90.47</w:t>
      </w:r>
      <w:r>
        <w:rPr>
          <w:rFonts w:ascii="方正仿宋_GBK" w:hAnsi="方正仿宋_GBK" w:eastAsia="方正仿宋_GBK" w:cs="方正仿宋_GBK"/>
          <w:color w:val="auto"/>
          <w:sz w:val="32"/>
          <w:szCs w:val="32"/>
          <w:highlight w:val="none"/>
          <w:shd w:val="clear" w:color="auto" w:fill="FFFFFF"/>
        </w:rPr>
        <w:t>分，评价等次为</w:t>
      </w:r>
      <w:r>
        <w:rPr>
          <w:rFonts w:hint="eastAsia" w:ascii="方正仿宋_GBK" w:hAnsi="方正仿宋_GBK" w:eastAsia="方正仿宋_GBK" w:cs="方正仿宋_GBK"/>
          <w:color w:val="auto"/>
          <w:sz w:val="32"/>
          <w:szCs w:val="32"/>
          <w:highlight w:val="none"/>
          <w:shd w:val="clear" w:color="auto" w:fill="FFFFFF"/>
          <w:lang w:val="en-US" w:eastAsia="zh-CN"/>
        </w:rPr>
        <w:t>优</w:t>
      </w: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部门整体</w:t>
      </w:r>
      <w:r>
        <w:rPr>
          <w:rFonts w:ascii="方正仿宋_GBK" w:hAnsi="方正仿宋_GBK" w:eastAsia="方正仿宋_GBK" w:cs="方正仿宋_GBK"/>
          <w:color w:val="auto"/>
          <w:sz w:val="32"/>
          <w:szCs w:val="32"/>
          <w:highlight w:val="none"/>
          <w:shd w:val="clear" w:color="auto" w:fill="FFFFFF"/>
        </w:rPr>
        <w:t>绩效评价发现了</w:t>
      </w:r>
      <w:r>
        <w:rPr>
          <w:rFonts w:hint="eastAsia" w:ascii="方正仿宋_GBK" w:hAnsi="方正仿宋_GBK" w:eastAsia="方正仿宋_GBK" w:cs="方正仿宋_GBK"/>
          <w:color w:val="auto"/>
          <w:sz w:val="32"/>
          <w:szCs w:val="32"/>
          <w:highlight w:val="none"/>
          <w:shd w:val="clear" w:color="auto" w:fill="FFFFFF"/>
        </w:rPr>
        <w:t>绩效目标缺乏具体性，绩效指标不够全面精准；“三公”经费超年初预算，绩效调整程序不到位；财务人员操作失误，资金退回程序失范；项目过程监管不足，全过程管理机制缺失</w:t>
      </w:r>
      <w:r>
        <w:rPr>
          <w:rFonts w:ascii="方正仿宋_GBK" w:hAnsi="方正仿宋_GBK" w:eastAsia="方正仿宋_GBK" w:cs="方正仿宋_GBK"/>
          <w:color w:val="auto"/>
          <w:sz w:val="32"/>
          <w:szCs w:val="32"/>
          <w:highlight w:val="none"/>
          <w:shd w:val="clear" w:color="auto" w:fill="FFFFFF"/>
        </w:rPr>
        <w:t>等主要问题，提出</w:t>
      </w:r>
      <w:r>
        <w:rPr>
          <w:rFonts w:hint="eastAsia" w:ascii="方正仿宋_GBK" w:hAnsi="方正仿宋_GBK" w:eastAsia="方正仿宋_GBK" w:cs="方正仿宋_GBK"/>
          <w:color w:val="auto"/>
          <w:sz w:val="32"/>
          <w:szCs w:val="32"/>
          <w:highlight w:val="none"/>
          <w:shd w:val="clear" w:color="auto" w:fill="FFFFFF"/>
        </w:rPr>
        <w:t>细化绩效目标描述，优化绩效指标设置</w:t>
      </w:r>
      <w:r>
        <w:rPr>
          <w:rFonts w:hint="eastAsia" w:ascii="方正仿宋_GBK" w:hAnsi="方正仿宋_GBK" w:eastAsia="方正仿宋_GBK" w:cs="方正仿宋_GBK"/>
          <w:color w:val="auto"/>
          <w:sz w:val="32"/>
          <w:szCs w:val="32"/>
          <w:highlight w:val="none"/>
          <w:shd w:val="clear" w:color="auto" w:fill="FFFFFF"/>
          <w:lang w:eastAsia="zh-CN"/>
        </w:rPr>
        <w:t>；动态调整绩效目标与预算编制，强化改革过渡期预算衔接；加强资金审核机制，确保资金使用到位；建立健全全过程监管体系，明确监管责任与能力建设</w:t>
      </w:r>
      <w:r>
        <w:rPr>
          <w:rFonts w:ascii="方正仿宋_GBK" w:hAnsi="方正仿宋_GBK" w:eastAsia="方正仿宋_GBK" w:cs="方正仿宋_GBK"/>
          <w:color w:val="auto"/>
          <w:sz w:val="32"/>
          <w:szCs w:val="32"/>
          <w:highlight w:val="none"/>
          <w:shd w:val="clear" w:color="auto" w:fill="FFFFFF"/>
        </w:rPr>
        <w:t>等下一步工作建议</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本单位决算公开信息反馈和联系方式：高老师</w:t>
      </w:r>
      <w:r>
        <w:rPr>
          <w:rFonts w:ascii="方正仿宋_GBK" w:hAnsi="方正仿宋_GBK" w:eastAsia="方正仿宋_GBK" w:cs="方正仿宋_GBK"/>
          <w:sz w:val="32"/>
          <w:szCs w:val="32"/>
          <w:shd w:val="clear" w:color="auto" w:fill="FFFFFF"/>
        </w:rPr>
        <w:t>023-74682339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垫江县经济和信息化委员会（本级）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3,037.07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5,638.57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5,758.38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5,759.47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5,759.47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8"/>
        <w:gridCol w:w="1581"/>
        <w:gridCol w:w="1448"/>
        <w:gridCol w:w="1256"/>
        <w:gridCol w:w="1436"/>
        <w:gridCol w:w="1460"/>
        <w:gridCol w:w="1293"/>
        <w:gridCol w:w="1349"/>
        <w:gridCol w:w="1334"/>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垫江县经济和信息化委员会（本级）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5,638.57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5,638.57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0"/>
        <w:gridCol w:w="3604"/>
        <w:gridCol w:w="1839"/>
        <w:gridCol w:w="1762"/>
        <w:gridCol w:w="1621"/>
        <w:gridCol w:w="1557"/>
        <w:gridCol w:w="1691"/>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垫江县经济和信息化委员会（本级）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5,758.38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779.10</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4,979.28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503.71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垫江县经济和信息化委员会（本级）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3,037.07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5,638.57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5,757.98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3,156.48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5,759.07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5,759.07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3,157.57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垫江县经济和信息化委员会（本级）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3,156.48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778.70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2,377.78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中小企业发展专项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垫江县经济和信息化委员会（本级）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651.32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垫江县经济和信息化委员会（本级）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21298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2129801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垫江县经济和信息化委员会（本级）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垫江县经济和信息化委员会（本级）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57.24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127.38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eyFOZeABAACzAwAADgAAAGRycy9lMm9Eb2MueG1srVPbbtswDH0f&#10;sH8Q9L44l2YXI07RtcgwoLsA7T6AluVYmC0KlBI7+/pRcpx17duwF4GmqMPDw+PN9dC14qjJG7SF&#10;XMzmUmirsDJ2X8gfj7s376XwAWwFLVpdyJP28nr7+tWmd7leYoNtpUkwiPV57wrZhODyLPOq0R34&#10;GTpt+bJG6iDwJ+2ziqBn9K7NlvP526xHqhyh0t5z9m68lNuEX9dahW917XUQbSGZW0gnpbOMZ7bd&#10;QL4ncI1RZxrwDyw6MJabXqDuIIA4kHkB1RlF6LEOM4VdhnVtlE4z8DSL+bNpHhpwOs3C4nh3kcn/&#10;P1j19fidhKkKuZLCQscretRDEB9xEMuoTu98zkUPjsvCwGnecprUu3tUP72weNuA3esbIuwbDRWz&#10;W8SX2ZOnI46PIGX/BStuA4eACWioqYvSsRiC0XlLp8tmIhXFydXVar1aS6H4anH17sN6nTpAPj12&#10;5MMnjZ2IQSGJF5/A4XjvQyQD+VQSe1ncmbZNy2/tXwkujJlEPvIdmYehHM5ilFideAzC0UvsfQ4a&#10;pF9S9OyjQlo2uhTtZ8tCRMtNAU1BOQVgFT8sZJBiDG/DaM2DI7NvGHeS+obF2pk0SFR15HBmyc5I&#10;851dHK339DtV/fnXt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tupU9IAAAADAQAADwAAAAAA&#10;AAABACAAAAAiAAAAZHJzL2Rvd25yZXYueG1sUEsBAhQAFAAAAAgAh07iQHshTmXgAQAAswMAAA4A&#10;AAAAAAAAAQAgAAAAIQEAAGRycy9lMm9Eb2MueG1sUEsFBgAAAAAGAAYAWQEAAHMFA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pQ6Hx3wEAALMDAAAOAAAAZHJzL2Uyb0RvYy54bWytU8Fu2zAMvQ/Y&#10;Pwi6L06CZsuMOEXXIsOAbh3Q9gNoWY6F2aJAKbGzrx8lx1m33oZdBJqiHh8fnzfXQ9eKoyZv0BZy&#10;MZtLoa3Cyth9IZ+fdu/WUvgAtoIWrS7kSXt5vX37ZtO7XC+xwbbSJBjE+rx3hWxCcHmWedXoDvwM&#10;nbZ8WSN1EPiT9llF0DN612bL+fx91iNVjlBp7zl7N17KbcKva63CQ117HURbSOYW0knpLOOZbTeQ&#10;7wlcY9SZBvwDiw6M5aYXqDsIIA5kXkF1RhF6rMNMYZdhXRul0ww8zWL+1zSPDTidZmFxvLvI5P8f&#10;rPp2/E7CVIVcSmGh4xU96SGITziIdVSndz7nokfHZWHgNG85TerdPaofXli8bcDu9Q0R9o2Gitkt&#10;4svsxdMRx0eQsv+KFbeBQ8AENNTURelYDMHovKXTZTORiuLkFa96vZJC8dXi6sPH1Sp1gHx67MiH&#10;zxo7EYNCEi8+gcPx3odIBvKpJPayuDNtm5bf2j8SXBgziXzkOzIPQzmcxSixOvEYhKOX2PscNEg/&#10;pejZR4W0bHQp2i+WhYiWmwKagnIKwCp+WMggxRjehtGaB0dm3zDuJPUNi7UzaZCo6sjhzJKdkeY7&#10;uzha7+V3qvr9r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lDqPLRAAAAAwEAAA8AAAAAAAAA&#10;AQAgAAAAIgAAAGRycy9kb3ducmV2LnhtbFBLAQIUABQAAAAIAIdO4kDpQ6Hx3wEAALMDAAAOAAAA&#10;AAAAAAEAIAAAACABAABkcnMvZTJvRG9jLnhtbFBLBQYAAAAABgAGAFkBAABxBQ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BUr6gzfAQAAswMAAA4AAABkcnMvZTJvRG9jLnhtbK1TwW7U&#10;MBC9I/EPlu9ssotKS7TZqrQqQioUqeUDHMdOLGKPNfZusnw9Y2ezFLghLtZkPPP85s3L9nqyAzso&#10;DAZczderkjPlJLTGdTX/9nz/5oqzEIVrxQBO1fyoAr/evX61HX2lNtDD0CpkBOJCNfqa9zH6qiiC&#10;7JUVYQVeObrUgFZE+sSuaFGMhG6HYlOW74oRsPUIUoVA2bv5ku8yvtZKxketg4psqDlxi/nEfDbp&#10;LHZbUXUofG/kiYb4BxZWGEePnqHuRBRsj+YvKGskQgAdVxJsAVobqfIMNM26/GOap154lWchcYI/&#10;yxT+H6z8cviKzLS0O86csLSiZzVF9gEmdpnUGX2oqOjJU1mcKJ0q06TBP4D8HpiD2164Tt0gwtgr&#10;0RK7deosXrTOOCGBNONnaOkZsY+QgSaNNgGSGIzQaUvH82YSFUnJi8vN+u0FZ5KuNpvy/VXeXCGq&#10;pdljiB8VWJaCmiMtPoOLw0OIiYyolpL0loN7Mwx5+YP7LUGFKZPJJ74z8zg100mMBtojjYEwe4m8&#10;T0EP+IOzkXxUc0dG52z45EiIZLklwCVolkA4SY01j5zN4W2crbn3aLqecGepHdyQWNrkQZKqM4cT&#10;S3JGnu/k4mS9l9+56te/tv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JfoUNYAAAAJAQAADwAA&#10;AAAAAAABACAAAAAiAAAAZHJzL2Rvd25yZXYueG1sUEsBAhQAFAAAAAgAh07iQBUr6gzfAQAAswMA&#10;AA4AAAAAAAAAAQAgAAAAJQEAAGRycy9lMm9Eb2MueG1sUEsFBgAAAAAGAAYAWQEAAHYFA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0F4AE0"/>
    <w:rsid w:val="001C6B23"/>
    <w:rsid w:val="001D3BB7"/>
    <w:rsid w:val="00203006"/>
    <w:rsid w:val="00262109"/>
    <w:rsid w:val="002B254B"/>
    <w:rsid w:val="0034050A"/>
    <w:rsid w:val="0044504F"/>
    <w:rsid w:val="00466C9B"/>
    <w:rsid w:val="00486CFC"/>
    <w:rsid w:val="00491DDD"/>
    <w:rsid w:val="005112E4"/>
    <w:rsid w:val="00550ABE"/>
    <w:rsid w:val="005945A1"/>
    <w:rsid w:val="00594A1E"/>
    <w:rsid w:val="005D55BD"/>
    <w:rsid w:val="00623A85"/>
    <w:rsid w:val="006C3B22"/>
    <w:rsid w:val="0072722A"/>
    <w:rsid w:val="00770383"/>
    <w:rsid w:val="00777AA8"/>
    <w:rsid w:val="007819D4"/>
    <w:rsid w:val="007B419D"/>
    <w:rsid w:val="007B7C4B"/>
    <w:rsid w:val="007D3D39"/>
    <w:rsid w:val="00984C6A"/>
    <w:rsid w:val="00994AF7"/>
    <w:rsid w:val="009B67B8"/>
    <w:rsid w:val="009C14C9"/>
    <w:rsid w:val="009D2B67"/>
    <w:rsid w:val="009E1452"/>
    <w:rsid w:val="00A04B18"/>
    <w:rsid w:val="00A566F9"/>
    <w:rsid w:val="00AF2751"/>
    <w:rsid w:val="00B03CCD"/>
    <w:rsid w:val="00BE2B89"/>
    <w:rsid w:val="00BF0D89"/>
    <w:rsid w:val="00C10E9E"/>
    <w:rsid w:val="00C20C3E"/>
    <w:rsid w:val="00C5163E"/>
    <w:rsid w:val="00CF2ACF"/>
    <w:rsid w:val="00D03AAF"/>
    <w:rsid w:val="00DD0539"/>
    <w:rsid w:val="00E07662"/>
    <w:rsid w:val="00E32AB4"/>
    <w:rsid w:val="00E368E9"/>
    <w:rsid w:val="00EE1E33"/>
    <w:rsid w:val="00F100B5"/>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816F8D"/>
    <w:rsid w:val="0D963146"/>
    <w:rsid w:val="0DDA54E4"/>
    <w:rsid w:val="0E3A5F83"/>
    <w:rsid w:val="0F836721"/>
    <w:rsid w:val="0FA25D96"/>
    <w:rsid w:val="107B59E5"/>
    <w:rsid w:val="10872C91"/>
    <w:rsid w:val="10EC0126"/>
    <w:rsid w:val="10F70B9A"/>
    <w:rsid w:val="111445C7"/>
    <w:rsid w:val="114278C6"/>
    <w:rsid w:val="11561DB6"/>
    <w:rsid w:val="1158083A"/>
    <w:rsid w:val="11643A4B"/>
    <w:rsid w:val="11ED0F98"/>
    <w:rsid w:val="11F03528"/>
    <w:rsid w:val="12C921C4"/>
    <w:rsid w:val="13871C70"/>
    <w:rsid w:val="13A71CB4"/>
    <w:rsid w:val="13AF1D43"/>
    <w:rsid w:val="13CE1647"/>
    <w:rsid w:val="13FD55AB"/>
    <w:rsid w:val="14200702"/>
    <w:rsid w:val="14370EA1"/>
    <w:rsid w:val="14EE1DF7"/>
    <w:rsid w:val="163A6CEE"/>
    <w:rsid w:val="173708E3"/>
    <w:rsid w:val="17601460"/>
    <w:rsid w:val="17C374FC"/>
    <w:rsid w:val="182E4AB6"/>
    <w:rsid w:val="189079DC"/>
    <w:rsid w:val="189B0D0B"/>
    <w:rsid w:val="18B43F7C"/>
    <w:rsid w:val="191C433B"/>
    <w:rsid w:val="194A1770"/>
    <w:rsid w:val="19B906A4"/>
    <w:rsid w:val="1B6F15B6"/>
    <w:rsid w:val="1BAA2EDC"/>
    <w:rsid w:val="1BE003C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9777F5"/>
    <w:rsid w:val="27B23302"/>
    <w:rsid w:val="29310A5F"/>
    <w:rsid w:val="29C37A35"/>
    <w:rsid w:val="2A076083"/>
    <w:rsid w:val="2A73162E"/>
    <w:rsid w:val="2B167953"/>
    <w:rsid w:val="2B200583"/>
    <w:rsid w:val="2B2729C0"/>
    <w:rsid w:val="2B476DB6"/>
    <w:rsid w:val="2B8209DE"/>
    <w:rsid w:val="2B821C91"/>
    <w:rsid w:val="2BF81A22"/>
    <w:rsid w:val="2C636760"/>
    <w:rsid w:val="2C6762A3"/>
    <w:rsid w:val="2E090292"/>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3E5A4F"/>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2B1158"/>
    <w:rsid w:val="426C1EA8"/>
    <w:rsid w:val="42736402"/>
    <w:rsid w:val="42E86A87"/>
    <w:rsid w:val="43307B09"/>
    <w:rsid w:val="439A3EB9"/>
    <w:rsid w:val="43BB152F"/>
    <w:rsid w:val="44C37687"/>
    <w:rsid w:val="45CB699A"/>
    <w:rsid w:val="46423C66"/>
    <w:rsid w:val="465B470D"/>
    <w:rsid w:val="469D6AD4"/>
    <w:rsid w:val="46FB481D"/>
    <w:rsid w:val="471E6C84"/>
    <w:rsid w:val="4748792B"/>
    <w:rsid w:val="475D719D"/>
    <w:rsid w:val="47607475"/>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9A53D2"/>
    <w:rsid w:val="53C0244D"/>
    <w:rsid w:val="53DD4D4E"/>
    <w:rsid w:val="53E578CE"/>
    <w:rsid w:val="541330F0"/>
    <w:rsid w:val="54272666"/>
    <w:rsid w:val="543B029D"/>
    <w:rsid w:val="54861779"/>
    <w:rsid w:val="548D27D1"/>
    <w:rsid w:val="55084A4C"/>
    <w:rsid w:val="552256E1"/>
    <w:rsid w:val="554E5773"/>
    <w:rsid w:val="555829E0"/>
    <w:rsid w:val="555A3CBC"/>
    <w:rsid w:val="5582012B"/>
    <w:rsid w:val="558E4E05"/>
    <w:rsid w:val="55BE2E85"/>
    <w:rsid w:val="56530F5D"/>
    <w:rsid w:val="567700D3"/>
    <w:rsid w:val="56FF7E9E"/>
    <w:rsid w:val="578867FC"/>
    <w:rsid w:val="582632A6"/>
    <w:rsid w:val="5842572D"/>
    <w:rsid w:val="585F74EB"/>
    <w:rsid w:val="5A3B59D6"/>
    <w:rsid w:val="5A6A2105"/>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5D0B8A"/>
    <w:rsid w:val="666C2D2F"/>
    <w:rsid w:val="66AF5D7C"/>
    <w:rsid w:val="66EE5541"/>
    <w:rsid w:val="67924660"/>
    <w:rsid w:val="68407834"/>
    <w:rsid w:val="6883293E"/>
    <w:rsid w:val="688412AD"/>
    <w:rsid w:val="68EB1B71"/>
    <w:rsid w:val="69030A91"/>
    <w:rsid w:val="696C0310"/>
    <w:rsid w:val="6A6C7940"/>
    <w:rsid w:val="6A9F1565"/>
    <w:rsid w:val="6AAD2300"/>
    <w:rsid w:val="6B474EF5"/>
    <w:rsid w:val="6BC938E5"/>
    <w:rsid w:val="6C0A5AC5"/>
    <w:rsid w:val="6C560CAE"/>
    <w:rsid w:val="6C576495"/>
    <w:rsid w:val="6CF315AC"/>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6FD7E0E"/>
    <w:rsid w:val="772E1EBA"/>
    <w:rsid w:val="781926BC"/>
    <w:rsid w:val="796D60A4"/>
    <w:rsid w:val="79A031D5"/>
    <w:rsid w:val="79B47FDF"/>
    <w:rsid w:val="79E569A9"/>
    <w:rsid w:val="7A1525F7"/>
    <w:rsid w:val="7A87741D"/>
    <w:rsid w:val="7B420052"/>
    <w:rsid w:val="7BD06A28"/>
    <w:rsid w:val="7C053D86"/>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3205</Words>
  <Characters>18270</Characters>
  <Lines>152</Lines>
  <Paragraphs>42</Paragraphs>
  <TotalTime>3</TotalTime>
  <ScaleCrop>false</ScaleCrop>
  <LinksUpToDate>false</LinksUpToDate>
  <CharactersWithSpaces>21433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2025-08-29T01:45:00Z</dcterms:created>
  <dc:creator>Administrator</dc:creator>
  <cp:lastModifiedBy>Administrator</cp:lastModifiedBy>
  <dcterms:modified xsi:type="dcterms:W3CDTF">2025-09-18T01:37:51Z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