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垫江县经济和信息化委员会</w:t>
      </w:r>
    </w:p>
    <w:p>
      <w:pPr>
        <w:pStyle w:val="6"/>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一、部门基本情况</w:t>
      </w:r>
    </w:p>
    <w:p>
      <w:pPr>
        <w:pStyle w:val="6"/>
        <w:shd w:val="clear" w:color="auto" w:fill="FFFFFF"/>
        <w:ind w:firstLine="420"/>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pPr>
        <w:widowControl w:val="0"/>
        <w:spacing w:line="594" w:lineRule="exact"/>
        <w:ind w:firstLine="640" w:firstLineChars="200"/>
        <w:rPr>
          <w:rFonts w:hint="default" w:ascii="方正仿宋_GBK" w:hAnsi="方正仿宋_GBK" w:eastAsia="方正仿宋_GBK" w:cs="方正仿宋_GBK"/>
          <w:sz w:val="32"/>
        </w:rPr>
      </w:pPr>
      <w:r>
        <w:rPr>
          <w:rFonts w:ascii="方正仿宋_GBK" w:hAnsi="方正仿宋_GBK" w:eastAsia="方正仿宋_GBK" w:cs="方正仿宋_GBK"/>
          <w:sz w:val="32"/>
        </w:rPr>
        <w:t>1、贯彻执行关于工业和信息化发展的法律、法规、规章和方针政策；</w:t>
      </w:r>
      <w:bookmarkStart w:id="0" w:name="_GoBack"/>
      <w:bookmarkEnd w:id="0"/>
    </w:p>
    <w:p>
      <w:pPr>
        <w:widowControl w:val="0"/>
        <w:spacing w:line="594" w:lineRule="exact"/>
        <w:ind w:firstLine="640" w:firstLineChars="200"/>
        <w:rPr>
          <w:rFonts w:hint="default" w:ascii="方正仿宋_GBK" w:hAnsi="方正仿宋_GBK" w:eastAsia="方正仿宋_GBK" w:cs="方正仿宋_GBK"/>
          <w:sz w:val="32"/>
        </w:rPr>
      </w:pPr>
      <w:r>
        <w:rPr>
          <w:rFonts w:ascii="方正仿宋_GBK" w:hAnsi="方正仿宋_GBK" w:eastAsia="方正仿宋_GBK" w:cs="方正仿宋_GBK"/>
          <w:sz w:val="32"/>
        </w:rPr>
        <w:t>2、根据本县国民经济和社会发展总体规划，拟定工业、信息化和生产性服务业的发展专项规划和年度计划并组织实施；</w:t>
      </w:r>
    </w:p>
    <w:p>
      <w:pPr>
        <w:widowControl w:val="0"/>
        <w:spacing w:line="594" w:lineRule="exact"/>
        <w:ind w:firstLine="640" w:firstLineChars="200"/>
        <w:rPr>
          <w:rFonts w:hint="default" w:ascii="方正仿宋_GBK" w:hAnsi="方正仿宋_GBK" w:eastAsia="方正仿宋_GBK" w:cs="方正仿宋_GBK"/>
          <w:sz w:val="32"/>
        </w:rPr>
      </w:pPr>
      <w:r>
        <w:rPr>
          <w:rFonts w:ascii="方正仿宋_GBK" w:hAnsi="方正仿宋_GBK" w:eastAsia="方正仿宋_GBK" w:cs="方正仿宋_GBK"/>
          <w:sz w:val="32"/>
        </w:rPr>
        <w:t>3、监测分析工业和信息产业经济运行态势，进行预警预测和信息引导；</w:t>
      </w:r>
    </w:p>
    <w:p>
      <w:pPr>
        <w:widowControl w:val="0"/>
        <w:spacing w:line="594" w:lineRule="exact"/>
        <w:ind w:firstLine="640" w:firstLineChars="200"/>
        <w:rPr>
          <w:rFonts w:hint="default" w:ascii="方正仿宋_GBK" w:hAnsi="方正仿宋_GBK" w:eastAsia="方正仿宋_GBK" w:cs="方正仿宋_GBK"/>
          <w:sz w:val="32"/>
        </w:rPr>
      </w:pPr>
      <w:r>
        <w:rPr>
          <w:rFonts w:ascii="方正仿宋_GBK" w:hAnsi="方正仿宋_GBK" w:eastAsia="方正仿宋_GBK" w:cs="方正仿宋_GBK"/>
          <w:sz w:val="32"/>
        </w:rPr>
        <w:t>4、负责拟定年度工业调控目标并贯彻落实；负责电力、天然气、煤炭等重要能源的日常运行调度管理及行政执法，会同县发展改革委编制电力、天然气、煤炭年度平衡计划</w:t>
      </w:r>
    </w:p>
    <w:p>
      <w:pPr>
        <w:widowControl w:val="0"/>
        <w:spacing w:line="594" w:lineRule="exact"/>
        <w:ind w:firstLine="640" w:firstLineChars="200"/>
        <w:rPr>
          <w:rFonts w:hint="default" w:ascii="方正仿宋_GBK" w:hAnsi="方正仿宋_GBK" w:eastAsia="方正仿宋_GBK" w:cs="方正仿宋_GBK"/>
          <w:sz w:val="32"/>
        </w:rPr>
      </w:pPr>
      <w:r>
        <w:rPr>
          <w:rFonts w:ascii="方正仿宋_GBK" w:hAnsi="方正仿宋_GBK" w:eastAsia="方正仿宋_GBK" w:cs="方正仿宋_GBK"/>
          <w:sz w:val="32"/>
        </w:rPr>
        <w:t>5、承担液化天然气、液化石油气和醇基燃料的行业管理和日常安全生产监督管理工作；指导盐行业管理工作；负责全县资源综合利用、节约能源和清洁生产工作行政管理及监督；组织新产品、新技术、新设备、新材料的推广应用和实施重大示范工程；</w:t>
      </w:r>
    </w:p>
    <w:p>
      <w:pPr>
        <w:widowControl w:val="0"/>
        <w:spacing w:line="594" w:lineRule="exact"/>
        <w:ind w:firstLine="640" w:firstLineChars="200"/>
        <w:rPr>
          <w:rFonts w:hint="default" w:ascii="方正仿宋_GBK" w:hAnsi="方正仿宋_GBK" w:eastAsia="方正仿宋_GBK" w:cs="方正仿宋_GBK"/>
          <w:sz w:val="32"/>
        </w:rPr>
      </w:pPr>
      <w:r>
        <w:rPr>
          <w:rFonts w:ascii="方正仿宋_GBK" w:hAnsi="方正仿宋_GBK" w:eastAsia="方正仿宋_GBK" w:cs="方正仿宋_GBK"/>
          <w:sz w:val="32"/>
        </w:rPr>
        <w:t>6、负责全县油气管道保护工作；</w:t>
      </w:r>
    </w:p>
    <w:p>
      <w:pPr>
        <w:widowControl w:val="0"/>
        <w:spacing w:line="594" w:lineRule="exact"/>
        <w:ind w:firstLine="640" w:firstLineChars="200"/>
        <w:rPr>
          <w:rFonts w:hint="default" w:ascii="方正仿宋_GBK" w:hAnsi="方正仿宋_GBK" w:eastAsia="方正仿宋_GBK" w:cs="方正仿宋_GBK"/>
          <w:sz w:val="32"/>
        </w:rPr>
      </w:pPr>
      <w:r>
        <w:rPr>
          <w:rFonts w:ascii="方正仿宋_GBK" w:hAnsi="方正仿宋_GBK" w:eastAsia="方正仿宋_GBK" w:cs="方正仿宋_GBK"/>
          <w:sz w:val="32"/>
        </w:rPr>
        <w:t>7、负责提出我县工业、信息化固定资产投资规模和方向；</w:t>
      </w:r>
    </w:p>
    <w:p>
      <w:pPr>
        <w:widowControl w:val="0"/>
        <w:spacing w:line="594" w:lineRule="exact"/>
        <w:ind w:firstLine="640" w:firstLineChars="200"/>
        <w:rPr>
          <w:rFonts w:hint="default" w:ascii="方正仿宋_GBK" w:hAnsi="方正仿宋_GBK" w:eastAsia="方正仿宋_GBK" w:cs="方正仿宋_GBK"/>
          <w:sz w:val="32"/>
        </w:rPr>
      </w:pPr>
      <w:r>
        <w:rPr>
          <w:rFonts w:ascii="方正仿宋_GBK" w:hAnsi="方正仿宋_GBK" w:eastAsia="方正仿宋_GBK" w:cs="方正仿宋_GBK"/>
          <w:sz w:val="32"/>
        </w:rPr>
        <w:t>8、拟定全县工业技术进步和高新技术产业发展规划；</w:t>
      </w:r>
    </w:p>
    <w:p>
      <w:pPr>
        <w:widowControl w:val="0"/>
        <w:spacing w:line="594" w:lineRule="exact"/>
        <w:ind w:firstLine="640" w:firstLineChars="200"/>
        <w:rPr>
          <w:rFonts w:hint="default" w:ascii="方正仿宋_GBK" w:hAnsi="方正仿宋_GBK" w:eastAsia="方正仿宋_GBK" w:cs="方正仿宋_GBK"/>
          <w:sz w:val="32"/>
        </w:rPr>
      </w:pPr>
      <w:r>
        <w:rPr>
          <w:rFonts w:ascii="方正仿宋_GBK" w:hAnsi="方正仿宋_GBK" w:eastAsia="方正仿宋_GBK" w:cs="方正仿宋_GBK"/>
          <w:sz w:val="32"/>
        </w:rPr>
        <w:t>9、宏观管理和指导各种经济成分的工业企业；</w:t>
      </w:r>
    </w:p>
    <w:p>
      <w:pPr>
        <w:widowControl w:val="0"/>
        <w:spacing w:line="594" w:lineRule="exact"/>
        <w:ind w:firstLine="640" w:firstLineChars="200"/>
        <w:rPr>
          <w:rFonts w:hint="default" w:ascii="方正仿宋_GBK" w:hAnsi="方正仿宋_GBK" w:eastAsia="方正仿宋_GBK" w:cs="方正仿宋_GBK"/>
          <w:sz w:val="32"/>
        </w:rPr>
      </w:pPr>
      <w:r>
        <w:rPr>
          <w:rFonts w:ascii="方正仿宋_GBK" w:hAnsi="方正仿宋_GBK" w:eastAsia="方正仿宋_GBK" w:cs="方正仿宋_GBK"/>
          <w:sz w:val="32"/>
        </w:rPr>
        <w:t>10、负责全县汽车、摩托车、装备、原材料、电子信息、消费品等工业系统行业管理；</w:t>
      </w:r>
    </w:p>
    <w:p>
      <w:pPr>
        <w:widowControl w:val="0"/>
        <w:spacing w:line="594" w:lineRule="exact"/>
        <w:ind w:firstLine="640" w:firstLineChars="200"/>
        <w:rPr>
          <w:rFonts w:hint="default" w:ascii="方正仿宋_GBK" w:hAnsi="方正仿宋_GBK" w:eastAsia="方正仿宋_GBK" w:cs="方正仿宋_GBK"/>
          <w:sz w:val="32"/>
        </w:rPr>
      </w:pPr>
      <w:r>
        <w:rPr>
          <w:rFonts w:ascii="方正仿宋_GBK" w:hAnsi="方正仿宋_GBK" w:eastAsia="方正仿宋_GBK" w:cs="方正仿宋_GBK"/>
          <w:sz w:val="32"/>
        </w:rPr>
        <w:t xml:space="preserve">11、贯彻执行有关中小企业、乡镇企业发展的法律、法规、规章和方针政策； </w:t>
      </w:r>
    </w:p>
    <w:p>
      <w:pPr>
        <w:widowControl w:val="0"/>
        <w:spacing w:line="594" w:lineRule="exact"/>
        <w:ind w:firstLine="640" w:firstLineChars="200"/>
        <w:rPr>
          <w:rFonts w:hint="default" w:ascii="方正仿宋_GBK" w:hAnsi="方正仿宋_GBK" w:eastAsia="方正仿宋_GBK" w:cs="方正仿宋_GBK"/>
          <w:sz w:val="32"/>
        </w:rPr>
      </w:pPr>
      <w:r>
        <w:rPr>
          <w:rFonts w:ascii="方正仿宋_GBK" w:hAnsi="方正仿宋_GBK" w:eastAsia="方正仿宋_GBK" w:cs="方正仿宋_GBK"/>
          <w:sz w:val="32"/>
        </w:rPr>
        <w:t>12、负责信息基础设施建设的规划、协调和管理，协调电信市场涉及社会公共利益的重大事宜；</w:t>
      </w:r>
    </w:p>
    <w:p>
      <w:pPr>
        <w:widowControl w:val="0"/>
        <w:spacing w:line="594" w:lineRule="exact"/>
        <w:ind w:firstLine="640" w:firstLineChars="200"/>
        <w:rPr>
          <w:rFonts w:hint="default" w:ascii="方正仿宋_GBK" w:hAnsi="方正仿宋_GBK" w:eastAsia="方正仿宋_GBK" w:cs="方正仿宋_GBK"/>
          <w:sz w:val="32"/>
        </w:rPr>
      </w:pPr>
      <w:r>
        <w:rPr>
          <w:rFonts w:ascii="方正仿宋_GBK" w:hAnsi="方正仿宋_GBK" w:eastAsia="方正仿宋_GBK" w:cs="方正仿宋_GBK"/>
          <w:sz w:val="32"/>
        </w:rPr>
        <w:t>13、牵头承担军民融合发展方面的职责；负责拟订智能化相关规划，协调智能化发展中的重大问题；负责推进工业领域信息化发展，推进信息化和工业化融合、工业互联网、物联网、工业信息安全；负责全县软件和信息服务业产业发展和行业管理等职责；强化招商统筹、制造业招商职责；统筹协调推进电动汽车充电基础设施建设职责；</w:t>
      </w:r>
    </w:p>
    <w:p>
      <w:pPr>
        <w:widowControl w:val="0"/>
        <w:spacing w:line="594" w:lineRule="exact"/>
        <w:ind w:firstLine="640" w:firstLineChars="200"/>
        <w:rPr>
          <w:rFonts w:hint="default" w:ascii="Times New Roman" w:hAnsi="Times New Roman" w:eastAsia="方正仿宋_GBK"/>
          <w:sz w:val="32"/>
          <w:szCs w:val="32"/>
        </w:rPr>
      </w:pPr>
      <w:r>
        <w:rPr>
          <w:rFonts w:ascii="方正仿宋_GBK" w:hAnsi="方正仿宋_GBK" w:eastAsia="方正仿宋_GBK" w:cs="方正仿宋_GBK"/>
          <w:sz w:val="32"/>
        </w:rPr>
        <w:t>14、</w:t>
      </w:r>
      <w:r>
        <w:rPr>
          <w:rFonts w:hint="default" w:ascii="Times New Roman" w:hAnsi="Times New Roman" w:eastAsia="方正仿宋_GBK"/>
          <w:sz w:val="32"/>
          <w:szCs w:val="32"/>
        </w:rPr>
        <w:t>参与全县工业企业有关政策和中长期发展规划调研</w:t>
      </w:r>
      <w:r>
        <w:rPr>
          <w:rFonts w:ascii="Times New Roman" w:hAnsi="Times New Roman" w:eastAsia="方正仿宋_GBK"/>
          <w:sz w:val="32"/>
          <w:szCs w:val="32"/>
        </w:rPr>
        <w:t>；</w:t>
      </w:r>
    </w:p>
    <w:p>
      <w:pPr>
        <w:widowControl w:val="0"/>
        <w:spacing w:line="594" w:lineRule="exact"/>
        <w:ind w:firstLine="640" w:firstLineChars="200"/>
        <w:rPr>
          <w:rFonts w:hint="default" w:ascii="Times New Roman" w:hAnsi="Times New Roman" w:eastAsia="方正仿宋_GBK"/>
          <w:sz w:val="32"/>
          <w:szCs w:val="32"/>
        </w:rPr>
      </w:pPr>
      <w:r>
        <w:rPr>
          <w:rFonts w:ascii="Times New Roman" w:hAnsi="Times New Roman" w:eastAsia="方正仿宋_GBK"/>
          <w:sz w:val="32"/>
          <w:szCs w:val="32"/>
        </w:rPr>
        <w:t>15、</w:t>
      </w:r>
      <w:r>
        <w:rPr>
          <w:rFonts w:hint="default" w:ascii="Times New Roman" w:hAnsi="Times New Roman" w:eastAsia="方正仿宋_GBK"/>
          <w:sz w:val="32"/>
          <w:szCs w:val="32"/>
        </w:rPr>
        <w:t>负责招商投资环境和产业投资相关宣传推介服务</w:t>
      </w:r>
      <w:r>
        <w:rPr>
          <w:rFonts w:ascii="Times New Roman" w:hAnsi="Times New Roman" w:eastAsia="方正仿宋_GBK"/>
          <w:sz w:val="32"/>
          <w:szCs w:val="32"/>
        </w:rPr>
        <w:t>工作；</w:t>
      </w:r>
    </w:p>
    <w:p>
      <w:pPr>
        <w:widowControl w:val="0"/>
        <w:spacing w:line="594" w:lineRule="exact"/>
        <w:ind w:firstLine="640" w:firstLineChars="200"/>
        <w:rPr>
          <w:rFonts w:hint="default" w:ascii="Times New Roman" w:hAnsi="Times New Roman" w:eastAsia="方正仿宋_GBK"/>
          <w:sz w:val="32"/>
          <w:szCs w:val="32"/>
        </w:rPr>
      </w:pPr>
      <w:r>
        <w:rPr>
          <w:rFonts w:ascii="Times New Roman" w:hAnsi="Times New Roman" w:eastAsia="方正仿宋_GBK"/>
          <w:sz w:val="32"/>
          <w:szCs w:val="32"/>
        </w:rPr>
        <w:t>16、</w:t>
      </w:r>
      <w:r>
        <w:rPr>
          <w:rFonts w:hint="default" w:ascii="Times New Roman" w:hAnsi="Times New Roman" w:eastAsia="方正仿宋_GBK"/>
          <w:sz w:val="32"/>
          <w:szCs w:val="32"/>
        </w:rPr>
        <w:t>负责制造业招商项目有关咨询服务，承担重大签约项目的跟踪服务工作</w:t>
      </w:r>
      <w:r>
        <w:rPr>
          <w:rFonts w:ascii="Times New Roman" w:hAnsi="Times New Roman" w:eastAsia="方正仿宋_GBK"/>
          <w:sz w:val="32"/>
          <w:szCs w:val="32"/>
        </w:rPr>
        <w:t>；</w:t>
      </w:r>
    </w:p>
    <w:p>
      <w:pPr>
        <w:widowControl w:val="0"/>
        <w:spacing w:line="594" w:lineRule="exact"/>
        <w:ind w:firstLine="640" w:firstLineChars="200"/>
        <w:rPr>
          <w:rFonts w:hint="default" w:ascii="Times New Roman" w:hAnsi="Times New Roman" w:eastAsia="方正仿宋_GBK"/>
          <w:sz w:val="32"/>
          <w:szCs w:val="32"/>
        </w:rPr>
      </w:pPr>
      <w:r>
        <w:rPr>
          <w:rFonts w:ascii="Times New Roman" w:hAnsi="Times New Roman" w:eastAsia="方正仿宋_GBK"/>
          <w:sz w:val="32"/>
          <w:szCs w:val="32"/>
        </w:rPr>
        <w:t>17、负责</w:t>
      </w:r>
      <w:r>
        <w:rPr>
          <w:rFonts w:hint="default" w:ascii="Times New Roman" w:hAnsi="Times New Roman" w:eastAsia="方正仿宋_GBK"/>
          <w:sz w:val="32"/>
          <w:szCs w:val="32"/>
        </w:rPr>
        <w:t>重大招商投资促进活动</w:t>
      </w:r>
      <w:r>
        <w:rPr>
          <w:rFonts w:ascii="Times New Roman" w:hAnsi="Times New Roman" w:eastAsia="方正仿宋_GBK"/>
          <w:sz w:val="32"/>
          <w:szCs w:val="32"/>
        </w:rPr>
        <w:t>、</w:t>
      </w:r>
      <w:r>
        <w:rPr>
          <w:rFonts w:hint="default" w:ascii="Times New Roman" w:hAnsi="Times New Roman" w:eastAsia="方正仿宋_GBK"/>
          <w:sz w:val="32"/>
          <w:szCs w:val="32"/>
        </w:rPr>
        <w:t>制造业招商引资</w:t>
      </w:r>
      <w:r>
        <w:rPr>
          <w:rFonts w:ascii="Times New Roman" w:hAnsi="Times New Roman" w:eastAsia="方正仿宋_GBK"/>
          <w:sz w:val="32"/>
          <w:szCs w:val="32"/>
        </w:rPr>
        <w:t>的事务性工作</w:t>
      </w:r>
      <w:r>
        <w:rPr>
          <w:rFonts w:hint="default" w:ascii="Times New Roman" w:hAnsi="Times New Roman" w:eastAsia="方正仿宋_GBK"/>
          <w:sz w:val="32"/>
          <w:szCs w:val="32"/>
        </w:rPr>
        <w:t>，</w:t>
      </w:r>
      <w:r>
        <w:rPr>
          <w:rFonts w:ascii="Times New Roman" w:hAnsi="Times New Roman" w:eastAsia="方正仿宋_GBK"/>
          <w:sz w:val="32"/>
          <w:szCs w:val="32"/>
        </w:rPr>
        <w:t>参与</w:t>
      </w:r>
      <w:r>
        <w:rPr>
          <w:rFonts w:hint="default" w:ascii="Times New Roman" w:hAnsi="Times New Roman" w:eastAsia="方正仿宋_GBK"/>
          <w:sz w:val="32"/>
          <w:szCs w:val="32"/>
        </w:rPr>
        <w:t>推进重大招商项目建设</w:t>
      </w:r>
      <w:r>
        <w:rPr>
          <w:rFonts w:ascii="Times New Roman" w:hAnsi="Times New Roman" w:eastAsia="方正仿宋_GBK"/>
          <w:sz w:val="32"/>
          <w:szCs w:val="32"/>
        </w:rPr>
        <w:t>；</w:t>
      </w:r>
    </w:p>
    <w:p>
      <w:pPr>
        <w:widowControl w:val="0"/>
        <w:spacing w:line="594" w:lineRule="exact"/>
        <w:ind w:firstLine="640" w:firstLineChars="200"/>
        <w:rPr>
          <w:rFonts w:hint="default" w:ascii="Times New Roman" w:hAnsi="Times New Roman" w:eastAsia="方正仿宋_GBK"/>
          <w:sz w:val="32"/>
          <w:szCs w:val="32"/>
        </w:rPr>
      </w:pPr>
      <w:r>
        <w:rPr>
          <w:rFonts w:ascii="Times New Roman" w:hAnsi="Times New Roman" w:eastAsia="方正仿宋_GBK"/>
          <w:sz w:val="32"/>
          <w:szCs w:val="32"/>
        </w:rPr>
        <w:t>18、</w:t>
      </w:r>
      <w:r>
        <w:rPr>
          <w:rFonts w:hint="default" w:ascii="Times New Roman" w:hAnsi="Times New Roman" w:eastAsia="方正仿宋_GBK"/>
          <w:sz w:val="32"/>
          <w:szCs w:val="32"/>
        </w:rPr>
        <w:t>鼓励、引导、支持工业企业开展各种经济技术合作，为创办工业企业提供信息和咨询服务</w:t>
      </w:r>
      <w:r>
        <w:rPr>
          <w:rFonts w:ascii="Times New Roman" w:hAnsi="Times New Roman" w:eastAsia="方正仿宋_GBK"/>
          <w:sz w:val="32"/>
          <w:szCs w:val="32"/>
        </w:rPr>
        <w:t>；</w:t>
      </w:r>
    </w:p>
    <w:p>
      <w:pPr>
        <w:widowControl w:val="0"/>
        <w:spacing w:line="594" w:lineRule="exact"/>
        <w:ind w:firstLine="640" w:firstLineChars="200"/>
        <w:rPr>
          <w:rFonts w:hint="default" w:ascii="Times New Roman" w:hAnsi="Times New Roman" w:eastAsia="方正仿宋_GBK"/>
          <w:sz w:val="32"/>
          <w:szCs w:val="32"/>
        </w:rPr>
      </w:pPr>
      <w:r>
        <w:rPr>
          <w:rFonts w:ascii="Times New Roman" w:hAnsi="Times New Roman" w:eastAsia="方正仿宋_GBK"/>
          <w:sz w:val="32"/>
          <w:szCs w:val="32"/>
        </w:rPr>
        <w:t>19、</w:t>
      </w:r>
      <w:r>
        <w:rPr>
          <w:rFonts w:hint="default" w:ascii="Times New Roman" w:hAnsi="Times New Roman" w:eastAsia="方正仿宋_GBK"/>
          <w:sz w:val="32"/>
          <w:szCs w:val="32"/>
        </w:rPr>
        <w:t>为工业企业提供融资担保</w:t>
      </w:r>
      <w:r>
        <w:rPr>
          <w:rFonts w:ascii="Times New Roman" w:hAnsi="Times New Roman" w:eastAsia="方正仿宋_GBK"/>
          <w:sz w:val="32"/>
          <w:szCs w:val="32"/>
        </w:rPr>
        <w:t>和</w:t>
      </w:r>
      <w:r>
        <w:rPr>
          <w:rFonts w:hint="default" w:ascii="Times New Roman" w:hAnsi="Times New Roman" w:eastAsia="方正仿宋_GBK"/>
          <w:sz w:val="32"/>
          <w:szCs w:val="32"/>
        </w:rPr>
        <w:t>财税政策咨询</w:t>
      </w:r>
      <w:r>
        <w:rPr>
          <w:rFonts w:ascii="Times New Roman" w:hAnsi="Times New Roman" w:eastAsia="方正仿宋_GBK"/>
          <w:sz w:val="32"/>
          <w:szCs w:val="32"/>
        </w:rPr>
        <w:t>及</w:t>
      </w:r>
      <w:r>
        <w:rPr>
          <w:rFonts w:hint="default" w:ascii="Times New Roman" w:hAnsi="Times New Roman" w:eastAsia="方正仿宋_GBK"/>
          <w:sz w:val="32"/>
          <w:szCs w:val="32"/>
        </w:rPr>
        <w:t>大数据、智能化综合信息服务</w:t>
      </w:r>
      <w:r>
        <w:rPr>
          <w:rFonts w:ascii="Times New Roman" w:hAnsi="Times New Roman" w:eastAsia="方正仿宋_GBK"/>
          <w:sz w:val="32"/>
          <w:szCs w:val="32"/>
        </w:rPr>
        <w:t>，</w:t>
      </w:r>
      <w:r>
        <w:rPr>
          <w:rFonts w:hint="default" w:ascii="Times New Roman" w:hAnsi="Times New Roman" w:eastAsia="方正仿宋_GBK"/>
          <w:sz w:val="32"/>
          <w:szCs w:val="32"/>
        </w:rPr>
        <w:t>开展工业设计推广服务</w:t>
      </w:r>
      <w:r>
        <w:rPr>
          <w:rFonts w:ascii="Times New Roman" w:hAnsi="Times New Roman" w:eastAsia="方正仿宋_GBK"/>
          <w:sz w:val="32"/>
          <w:szCs w:val="32"/>
        </w:rPr>
        <w:t>；</w:t>
      </w:r>
    </w:p>
    <w:p>
      <w:pPr>
        <w:widowControl w:val="0"/>
        <w:spacing w:line="594" w:lineRule="exact"/>
        <w:ind w:firstLine="640" w:firstLineChars="200"/>
        <w:rPr>
          <w:rFonts w:hint="default" w:ascii="Times New Roman" w:hAnsi="Times New Roman" w:eastAsia="方正仿宋_GBK"/>
          <w:sz w:val="32"/>
          <w:szCs w:val="32"/>
        </w:rPr>
      </w:pPr>
      <w:r>
        <w:rPr>
          <w:rFonts w:ascii="Times New Roman" w:hAnsi="Times New Roman" w:eastAsia="方正仿宋_GBK"/>
          <w:sz w:val="32"/>
          <w:szCs w:val="32"/>
        </w:rPr>
        <w:t>20、</w:t>
      </w:r>
      <w:r>
        <w:rPr>
          <w:rFonts w:hint="default" w:ascii="Times New Roman" w:hAnsi="Times New Roman" w:eastAsia="方正仿宋_GBK"/>
          <w:sz w:val="32"/>
          <w:szCs w:val="32"/>
        </w:rPr>
        <w:t>帮助工业企业拓展国内外市场</w:t>
      </w:r>
      <w:r>
        <w:rPr>
          <w:rFonts w:ascii="Times New Roman" w:hAnsi="Times New Roman" w:eastAsia="方正仿宋_GBK"/>
          <w:sz w:val="32"/>
          <w:szCs w:val="32"/>
        </w:rPr>
        <w:t>；</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Times New Roman" w:hAnsi="Times New Roman" w:eastAsia="方正仿宋_GBK"/>
          <w:sz w:val="32"/>
          <w:szCs w:val="32"/>
        </w:rPr>
        <w:t>21、</w:t>
      </w:r>
      <w:r>
        <w:rPr>
          <w:rFonts w:hint="default" w:ascii="Times New Roman" w:hAnsi="Times New Roman" w:eastAsia="方正仿宋_GBK"/>
          <w:sz w:val="32"/>
          <w:szCs w:val="32"/>
        </w:rPr>
        <w:t>承担县经济信息委交办的其他任务。</w:t>
      </w:r>
    </w:p>
    <w:p>
      <w:pPr>
        <w:pStyle w:val="6"/>
        <w:shd w:val="clear" w:color="auto" w:fill="FFFFFF"/>
        <w:ind w:firstLine="420"/>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pPr>
        <w:pStyle w:val="6"/>
        <w:shd w:val="clear" w:color="auto" w:fill="FFFFFF"/>
        <w:ind w:firstLine="640" w:firstLineChars="200"/>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w:t>
      </w:r>
      <w:r>
        <w:rPr>
          <w:rFonts w:hint="default" w:ascii="方正仿宋_GBK" w:hAnsi="方正仿宋_GBK" w:eastAsia="方正仿宋_GBK" w:cs="方正仿宋_GBK"/>
          <w:sz w:val="32"/>
          <w:szCs w:val="32"/>
          <w:shd w:val="clear" w:color="auto" w:fill="FFFFFF"/>
        </w:rPr>
        <w:t>部门</w:t>
      </w:r>
      <w:r>
        <w:rPr>
          <w:rFonts w:ascii="方正仿宋_GBK" w:hAnsi="方正仿宋_GBK" w:eastAsia="方正仿宋_GBK" w:cs="方正仿宋_GBK"/>
          <w:sz w:val="32"/>
          <w:szCs w:val="32"/>
          <w:shd w:val="clear" w:color="auto" w:fill="FFFFFF"/>
        </w:rPr>
        <w:t>二级</w:t>
      </w:r>
      <w:r>
        <w:rPr>
          <w:rFonts w:hint="default" w:ascii="方正仿宋_GBK" w:hAnsi="方正仿宋_GBK" w:eastAsia="方正仿宋_GBK" w:cs="方正仿宋_GBK"/>
          <w:sz w:val="32"/>
          <w:szCs w:val="32"/>
          <w:shd w:val="clear" w:color="auto" w:fill="FFFFFF"/>
        </w:rPr>
        <w:t>预算单位包含</w:t>
      </w:r>
      <w:r>
        <w:rPr>
          <w:rFonts w:ascii="方正仿宋_GBK" w:hAnsi="方正仿宋_GBK" w:eastAsia="方正仿宋_GBK" w:cs="方正仿宋_GBK"/>
          <w:sz w:val="32"/>
          <w:szCs w:val="32"/>
          <w:shd w:val="clear" w:color="auto" w:fill="FFFFFF"/>
        </w:rPr>
        <w:t>垫江县经济和信息化委员会（本级）内设机构7个，分别为办公室、政策法规科、工业经济运行科、规划产业科、招商统筹科、中小企业发展科、综合执法科（应急管理科）。</w:t>
      </w:r>
      <w:r>
        <w:rPr>
          <w:rFonts w:ascii="方正仿宋_GBK" w:hAnsi="方正仿宋_GBK" w:eastAsia="方正仿宋_GBK" w:cs="方正仿宋_GBK"/>
          <w:sz w:val="32"/>
          <w:szCs w:val="32"/>
        </w:rPr>
        <w:t>垫江县企业发展服务中心设立内设机构5个，分别为综合科、项目推介科、</w:t>
      </w:r>
      <w:r>
        <w:rPr>
          <w:rFonts w:hint="default" w:ascii="方正仿宋_GBK" w:hAnsi="方正仿宋_GBK" w:eastAsia="方正仿宋_GBK" w:cs="方正仿宋_GBK"/>
          <w:sz w:val="32"/>
          <w:szCs w:val="32"/>
        </w:rPr>
        <w:t>制造业招商科</w:t>
      </w:r>
      <w:r>
        <w:rPr>
          <w:rFonts w:ascii="方正仿宋_GBK" w:hAnsi="方正仿宋_GBK" w:eastAsia="方正仿宋_GBK" w:cs="方正仿宋_GBK"/>
          <w:sz w:val="32"/>
          <w:szCs w:val="32"/>
        </w:rPr>
        <w:t>、融资科、信息服务科。</w:t>
      </w:r>
    </w:p>
    <w:p>
      <w:pPr>
        <w:pStyle w:val="6"/>
        <w:shd w:val="clear" w:color="auto" w:fill="FFFFFF"/>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二、部门决算收支情况说明</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6"/>
        <w:shd w:val="clear" w:color="auto" w:fill="FFFFFF"/>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2024年度收入总计6333.68万元，支出总计</w:t>
      </w:r>
      <w:r>
        <w:rPr>
          <w:rFonts w:ascii="方正仿宋_GBK" w:hAnsi="方正仿宋_GBK" w:eastAsia="方正仿宋_GBK" w:cs="方正仿宋_GBK"/>
          <w:sz w:val="32"/>
          <w:szCs w:val="32"/>
        </w:rPr>
        <w:t>6333.68</w:t>
      </w:r>
      <w:r>
        <w:rPr>
          <w:rFonts w:ascii="方正仿宋_GBK" w:hAnsi="方正仿宋_GBK" w:eastAsia="方正仿宋_GBK" w:cs="方正仿宋_GBK"/>
          <w:sz w:val="32"/>
          <w:szCs w:val="32"/>
          <w:shd w:val="clear" w:color="auto" w:fill="FFFFFF"/>
        </w:rPr>
        <w:t>万元。收、支与2023年度相比，减少18264.35万元，下降74.3%，主要原因是市中小微企业专项发展资金、城市燃气管道等老化更新改造、工业和信息化专项资金、先进制造业和现代服务业发展专项中央基建投资等项目经费减少。</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6212.69万元，与2023年度相比，减少18225.92万元，下降74.6%，主要原因是市中小微企业专项发展资金、城市燃气管道等老化更新改造、工业和信息化专项资金、先进制造业和现代服务业发展专项中央基建投资等项目经费减少。其中：财政拨款收入</w:t>
      </w:r>
      <w:r>
        <w:rPr>
          <w:rFonts w:ascii="方正仿宋_GBK" w:hAnsi="方正仿宋_GBK" w:eastAsia="方正仿宋_GBK" w:cs="方正仿宋_GBK"/>
          <w:sz w:val="32"/>
          <w:szCs w:val="32"/>
        </w:rPr>
        <w:t>6212.69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120.98</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6332.59</w:t>
      </w:r>
      <w:r>
        <w:rPr>
          <w:rFonts w:ascii="方正仿宋_GBK" w:hAnsi="方正仿宋_GBK" w:eastAsia="方正仿宋_GBK" w:cs="方正仿宋_GBK"/>
          <w:sz w:val="32"/>
          <w:szCs w:val="32"/>
          <w:shd w:val="clear" w:color="auto" w:fill="FFFFFF"/>
        </w:rPr>
        <w:t>万元，与2023年度相比，减少18264.96万元，下降74.3%，主要原因是市中小微企业专项发展资金、城市燃气管道等老化更新改造、工业和信息化专项资金、先进制造业和现代服务业发展专项中央基建投资等项目经费减少。其中：基本支出</w:t>
      </w:r>
      <w:r>
        <w:rPr>
          <w:rFonts w:ascii="方正仿宋_GBK" w:hAnsi="方正仿宋_GBK" w:eastAsia="方正仿宋_GBK" w:cs="方正仿宋_GBK"/>
          <w:sz w:val="32"/>
          <w:szCs w:val="32"/>
        </w:rPr>
        <w:t>1350.91</w:t>
      </w:r>
      <w:r>
        <w:rPr>
          <w:rFonts w:ascii="方正仿宋_GBK" w:hAnsi="方正仿宋_GBK" w:eastAsia="方正仿宋_GBK" w:cs="方正仿宋_GBK"/>
          <w:sz w:val="32"/>
          <w:szCs w:val="32"/>
          <w:shd w:val="clear" w:color="auto" w:fill="FFFFFF"/>
        </w:rPr>
        <w:t>万元，占21.3%；项目支出</w:t>
      </w:r>
      <w:r>
        <w:rPr>
          <w:rFonts w:ascii="方正仿宋_GBK" w:hAnsi="方正仿宋_GBK" w:eastAsia="方正仿宋_GBK" w:cs="方正仿宋_GBK"/>
          <w:sz w:val="32"/>
          <w:szCs w:val="32"/>
        </w:rPr>
        <w:t>4981.68</w:t>
      </w:r>
      <w:r>
        <w:rPr>
          <w:rFonts w:ascii="方正仿宋_GBK" w:hAnsi="方正仿宋_GBK" w:eastAsia="方正仿宋_GBK" w:cs="方正仿宋_GBK"/>
          <w:sz w:val="32"/>
          <w:szCs w:val="32"/>
          <w:shd w:val="clear" w:color="auto" w:fill="FFFFFF"/>
        </w:rPr>
        <w:t>万元，占78.7%；经营支出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1.09</w:t>
      </w:r>
      <w:r>
        <w:rPr>
          <w:rFonts w:ascii="方正仿宋_GBK" w:hAnsi="方正仿宋_GBK" w:eastAsia="方正仿宋_GBK" w:cs="方正仿宋_GBK"/>
          <w:sz w:val="32"/>
          <w:szCs w:val="32"/>
          <w:shd w:val="clear" w:color="auto" w:fill="FFFFFF"/>
        </w:rPr>
        <w:t>万元，与2023年度相比，增加0.61万元，增长127.1%，主要原因是基本养老保险有结余。</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6333.28万元。与2023年相比，财政拨款收、支总计各减少18251.46万元，下降74.2%。主要原因是市中小微企业专项发展资金、城市燃气管道等老化更新改造、工业和信息化专项资金、先进制造业和现代服务业发展专项中央基建投资等项目经费减少。</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3611.20</w:t>
      </w:r>
      <w:r>
        <w:rPr>
          <w:rFonts w:ascii="方正仿宋_GBK" w:hAnsi="方正仿宋_GBK" w:eastAsia="方正仿宋_GBK" w:cs="方正仿宋_GBK"/>
          <w:sz w:val="32"/>
          <w:szCs w:val="32"/>
          <w:shd w:val="clear" w:color="auto" w:fill="FFFFFF"/>
        </w:rPr>
        <w:t>万元，与2023年度相比，减少20827.41万元，下降85.2%。主要原因是市中小微企业专项发展资金、城市燃气管道等老化更新改造、工业和信息化专项资金、先进制造业和现代服务业发展专项中央基建投资等项目经费减少。较年初预算数减少273.43万元，下降7.0%。主要原因是市中小微企业专项发展资金、城市燃气管道等老化更新改造、工业和信息化专项资金、先进制造业和现代服务业发展专项中央基建投资项目经费在执行过程中，根据实际情况预算项目调减等项目经费减少。此外，年初财政拨款结转和结余</w:t>
      </w:r>
      <w:r>
        <w:rPr>
          <w:rFonts w:ascii="方正仿宋_GBK" w:hAnsi="方正仿宋_GBK" w:eastAsia="方正仿宋_GBK" w:cs="方正仿宋_GBK"/>
          <w:sz w:val="32"/>
          <w:szCs w:val="32"/>
        </w:rPr>
        <w:t>120.58</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3730.69</w:t>
      </w:r>
      <w:r>
        <w:rPr>
          <w:rFonts w:ascii="方正仿宋_GBK" w:hAnsi="方正仿宋_GBK" w:eastAsia="方正仿宋_GBK" w:cs="方正仿宋_GBK"/>
          <w:sz w:val="32"/>
          <w:szCs w:val="32"/>
          <w:shd w:val="clear" w:color="auto" w:fill="FFFFFF"/>
        </w:rPr>
        <w:t>万元，与2023年度相比，减少20853.96万元，下降84.8%。主要原因是市中小微企业专项发展资金、城市燃气管道等老化更新改造、工业和信息化专项资金、先进制造业和现代服务业发展专项中央基建投资等项目经费减少。较年初预算数减少153.94万元，下降4.0%。主要原因是市中小微企业专项发展资金、先进制造业和现代服务业发展专项中央基建投资项目经费在执行过程中，根据实际情况预算项目调减。</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1.09</w:t>
      </w:r>
      <w:r>
        <w:rPr>
          <w:rFonts w:ascii="方正仿宋_GBK" w:hAnsi="方正仿宋_GBK" w:eastAsia="方正仿宋_GBK" w:cs="方正仿宋_GBK"/>
          <w:sz w:val="32"/>
          <w:szCs w:val="32"/>
          <w:shd w:val="clear" w:color="auto" w:fill="FFFFFF"/>
        </w:rPr>
        <w:t>万元，与2023年度相比，增加1.01万元，增长1262.5%，主要原因是基本养老保险有结余。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本部门2024年度一般公共预算财政拨款支出主要用于以下几个方面：</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1075.75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28.8%</w:t>
      </w:r>
      <w:r>
        <w:rPr>
          <w:rFonts w:ascii="方正仿宋_GBK" w:hAnsi="方正仿宋_GBK" w:eastAsia="方正仿宋_GBK" w:cs="方正仿宋_GBK"/>
          <w:sz w:val="32"/>
          <w:szCs w:val="32"/>
          <w:shd w:val="clear" w:color="auto" w:fill="FFFFFF"/>
        </w:rPr>
        <w:t>，较年初预算数增加454.20万元，增长73.1%，主要原因是本年度机构改革，原垫江县招商投资促进局合并至我单位，人员经费及公用经费增加。</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2</w:t>
      </w:r>
      <w:r>
        <w:rPr>
          <w:rFonts w:ascii="方正仿宋_GBK" w:hAnsi="方正仿宋_GBK" w:eastAsia="方正仿宋_GBK" w:cs="方正仿宋_GBK"/>
          <w:sz w:val="32"/>
          <w:szCs w:val="32"/>
          <w:shd w:val="clear" w:color="auto" w:fill="FFFFFF"/>
        </w:rPr>
        <w:t>）教育支出</w:t>
      </w:r>
      <w:r>
        <w:rPr>
          <w:rFonts w:ascii="方正仿宋_GBK" w:hAnsi="方正仿宋_GBK" w:eastAsia="方正仿宋_GBK" w:cs="方正仿宋_GBK"/>
          <w:sz w:val="32"/>
          <w:szCs w:val="32"/>
        </w:rPr>
        <w:t>1.03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w:t>
      </w:r>
      <w:r>
        <w:rPr>
          <w:rFonts w:ascii="方正仿宋_GBK" w:hAnsi="方正仿宋_GBK" w:eastAsia="方正仿宋_GBK" w:cs="方正仿宋_GBK"/>
          <w:sz w:val="32"/>
          <w:szCs w:val="32"/>
          <w:shd w:val="clear" w:color="auto" w:fill="FFFFFF"/>
        </w:rPr>
        <w:t>，较年初预算数减少1.04万元，下降50.2%，主要原因是本年度</w:t>
      </w:r>
      <w:r>
        <w:rPr>
          <w:rFonts w:ascii="仿宋_GB2312" w:hAnsi="仿宋" w:eastAsia="仿宋_GB2312"/>
          <w:kern w:val="2"/>
          <w:sz w:val="32"/>
          <w:szCs w:val="32"/>
        </w:rPr>
        <w:t>职工培训减少。</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3</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428.50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11.5%</w:t>
      </w:r>
      <w:r>
        <w:rPr>
          <w:rFonts w:ascii="方正仿宋_GBK" w:hAnsi="方正仿宋_GBK" w:eastAsia="方正仿宋_GBK" w:cs="方正仿宋_GBK"/>
          <w:sz w:val="32"/>
          <w:szCs w:val="32"/>
          <w:shd w:val="clear" w:color="auto" w:fill="FFFFFF"/>
        </w:rPr>
        <w:t>，较年初预算数增加145.08万元，增长51.2%，主要原因是</w:t>
      </w:r>
      <w:r>
        <w:rPr>
          <w:rFonts w:ascii="方正仿宋_GBK" w:eastAsia="方正仿宋_GBK"/>
          <w:sz w:val="32"/>
          <w:szCs w:val="32"/>
        </w:rPr>
        <w:t>一是本年度根据政策补缴2021年-2022年养老保险和职业年金，二是机构改革，原垫江县招商投资促进局和招商投促中心合并至我单位，养老保险和职业年金缴费增加。</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41.30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1.1%</w:t>
      </w:r>
      <w:r>
        <w:rPr>
          <w:rFonts w:ascii="方正仿宋_GBK" w:hAnsi="方正仿宋_GBK" w:eastAsia="方正仿宋_GBK" w:cs="方正仿宋_GBK"/>
          <w:sz w:val="32"/>
          <w:szCs w:val="32"/>
          <w:shd w:val="clear" w:color="auto" w:fill="FFFFFF"/>
        </w:rPr>
        <w:t>，较年初预算数增加9.45万元，增长29.7%，主要原因是</w:t>
      </w:r>
      <w:r>
        <w:rPr>
          <w:rFonts w:ascii="方正仿宋_GBK" w:eastAsia="方正仿宋_GBK"/>
          <w:sz w:val="32"/>
          <w:szCs w:val="32"/>
        </w:rPr>
        <w:t>机构改革，原垫江县招商投资促进局和招商投促中心合并至我单位，职工医疗保险缴费增加。</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5</w:t>
      </w:r>
      <w:r>
        <w:rPr>
          <w:rFonts w:ascii="方正仿宋_GBK" w:hAnsi="方正仿宋_GBK" w:eastAsia="方正仿宋_GBK" w:cs="方正仿宋_GBK"/>
          <w:sz w:val="32"/>
          <w:szCs w:val="32"/>
          <w:shd w:val="clear" w:color="auto" w:fill="FFFFFF"/>
        </w:rPr>
        <w:t>）节能环保支出</w:t>
      </w:r>
      <w:r>
        <w:rPr>
          <w:rFonts w:ascii="方正仿宋_GBK" w:hAnsi="方正仿宋_GBK" w:eastAsia="方正仿宋_GBK" w:cs="方正仿宋_GBK"/>
          <w:sz w:val="32"/>
          <w:szCs w:val="32"/>
        </w:rPr>
        <w:t>1550.00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41.6%</w:t>
      </w:r>
      <w:r>
        <w:rPr>
          <w:rFonts w:ascii="方正仿宋_GBK" w:hAnsi="方正仿宋_GBK" w:eastAsia="方正仿宋_GBK" w:cs="方正仿宋_GBK"/>
          <w:sz w:val="32"/>
          <w:szCs w:val="32"/>
          <w:shd w:val="clear" w:color="auto" w:fill="FFFFFF"/>
        </w:rPr>
        <w:t>，较年初预算数减少150.00万元，下降8.8%，主要原因是</w:t>
      </w:r>
      <w:r>
        <w:rPr>
          <w:rFonts w:ascii="方正仿宋_GBK" w:eastAsia="方正仿宋_GBK"/>
          <w:sz w:val="32"/>
          <w:szCs w:val="32"/>
        </w:rPr>
        <w:t>本年度污染治理和节能减碳专项（节能减碳方向）中央基建投资项目调减150万元。</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6</w:t>
      </w:r>
      <w:r>
        <w:rPr>
          <w:rFonts w:ascii="方正仿宋_GBK" w:hAnsi="方正仿宋_GBK" w:eastAsia="方正仿宋_GBK" w:cs="方正仿宋_GBK"/>
          <w:sz w:val="32"/>
          <w:szCs w:val="32"/>
          <w:shd w:val="clear" w:color="auto" w:fill="FFFFFF"/>
        </w:rPr>
        <w:t>）资源勘探信息等支出</w:t>
      </w:r>
      <w:r>
        <w:rPr>
          <w:rFonts w:ascii="方正仿宋_GBK" w:hAnsi="方正仿宋_GBK" w:eastAsia="方正仿宋_GBK" w:cs="方正仿宋_GBK"/>
          <w:sz w:val="32"/>
          <w:szCs w:val="32"/>
        </w:rPr>
        <w:t>157.97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4.2%</w:t>
      </w:r>
      <w:r>
        <w:rPr>
          <w:rFonts w:ascii="方正仿宋_GBK" w:hAnsi="方正仿宋_GBK" w:eastAsia="方正仿宋_GBK" w:cs="方正仿宋_GBK"/>
          <w:sz w:val="32"/>
          <w:szCs w:val="32"/>
          <w:shd w:val="clear" w:color="auto" w:fill="FFFFFF"/>
        </w:rPr>
        <w:t>，较年初预算数减少1047.03万元，下降86.9%，主要原因是</w:t>
      </w:r>
      <w:r>
        <w:rPr>
          <w:rFonts w:ascii="方正仿宋_GBK" w:eastAsia="方正仿宋_GBK"/>
          <w:sz w:val="32"/>
          <w:szCs w:val="32"/>
        </w:rPr>
        <w:t>市级中小微企业发展资金、工业和信息化项目资金在执行过程中，根据实际情况预算项目调减。</w:t>
      </w:r>
    </w:p>
    <w:p>
      <w:pPr>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7</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住房保障支出476.14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12.8%</w:t>
      </w:r>
      <w:r>
        <w:rPr>
          <w:rFonts w:ascii="方正仿宋_GBK" w:hAnsi="方正仿宋_GBK" w:eastAsia="方正仿宋_GBK" w:cs="方正仿宋_GBK"/>
          <w:sz w:val="32"/>
          <w:szCs w:val="32"/>
          <w:shd w:val="clear" w:color="auto" w:fill="FFFFFF"/>
        </w:rPr>
        <w:t>，较年初预算数增加435.40万元，增长1068.7%，主要原因是老旧小区改造项目经费增加。</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2024年度一般公共财政拨款基本支出</w:t>
      </w:r>
      <w:r>
        <w:rPr>
          <w:rFonts w:ascii="方正仿宋_GBK" w:hAnsi="方正仿宋_GBK" w:eastAsia="方正仿宋_GBK" w:cs="方正仿宋_GBK"/>
          <w:sz w:val="32"/>
          <w:szCs w:val="32"/>
        </w:rPr>
        <w:t>1350.51</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1159.61</w:t>
      </w:r>
      <w:r>
        <w:rPr>
          <w:rFonts w:ascii="方正仿宋_GBK" w:hAnsi="方正仿宋_GBK" w:eastAsia="方正仿宋_GBK" w:cs="方正仿宋_GBK"/>
          <w:sz w:val="32"/>
          <w:szCs w:val="32"/>
          <w:shd w:val="clear" w:color="auto" w:fill="FFFFFF"/>
        </w:rPr>
        <w:t>万元，与2023年度相比，增加252.63万元，增长27.9%，主要原因是原招商局、招商投促中心合并至经信委，人员增加，人员经费增加。人员经费用途主要包括基本工资、津贴补贴、奖金、社会保障缴费、住房公积金、其他工资福利支出等。公用经费</w:t>
      </w:r>
      <w:r>
        <w:rPr>
          <w:rFonts w:ascii="方正仿宋_GBK" w:hAnsi="方正仿宋_GBK" w:eastAsia="方正仿宋_GBK" w:cs="方正仿宋_GBK"/>
          <w:sz w:val="32"/>
          <w:szCs w:val="32"/>
        </w:rPr>
        <w:t>190.90</w:t>
      </w:r>
      <w:r>
        <w:rPr>
          <w:rFonts w:ascii="方正仿宋_GBK" w:hAnsi="方正仿宋_GBK" w:eastAsia="方正仿宋_GBK" w:cs="方正仿宋_GBK"/>
          <w:sz w:val="32"/>
          <w:szCs w:val="32"/>
          <w:shd w:val="clear" w:color="auto" w:fill="FFFFFF"/>
        </w:rPr>
        <w:t>万元，与2023年度相比，增加79.80万元，增长71.8%，主要原因是原招商局、招商投促中心合并至经信委，人员增加，人员经费增加。公用经费用途主要包括办公费、印刷费、咨询费、水电费、邮电费、手续费、差旅费、劳务费等。</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2601.50</w:t>
      </w:r>
      <w:r>
        <w:rPr>
          <w:rFonts w:ascii="方正仿宋_GBK" w:hAnsi="方正仿宋_GBK" w:eastAsia="方正仿宋_GBK" w:cs="方正仿宋_GBK"/>
          <w:sz w:val="32"/>
          <w:szCs w:val="32"/>
          <w:shd w:val="clear" w:color="auto" w:fill="FFFFFF"/>
        </w:rPr>
        <w:t>万元，与2023年度相比，增加2601.50万元，增长100.0%，主要原因是垫江县燃气智慧平台及物联感知设备更新改造工程项目增加。本年支出</w:t>
      </w:r>
      <w:r>
        <w:rPr>
          <w:rFonts w:ascii="方正仿宋_GBK" w:hAnsi="方正仿宋_GBK" w:eastAsia="方正仿宋_GBK" w:cs="方正仿宋_GBK"/>
          <w:sz w:val="32"/>
          <w:szCs w:val="32"/>
        </w:rPr>
        <w:t>2601.50</w:t>
      </w:r>
      <w:r>
        <w:rPr>
          <w:rFonts w:ascii="方正仿宋_GBK" w:hAnsi="方正仿宋_GBK" w:eastAsia="方正仿宋_GBK" w:cs="方正仿宋_GBK"/>
          <w:sz w:val="32"/>
          <w:szCs w:val="32"/>
          <w:shd w:val="clear" w:color="auto" w:fill="FFFFFF"/>
        </w:rPr>
        <w:t>万元，与2023年度相比，增加2601.50万元，增长100.0%，主要原因是垫江县燃气智慧平台及物联感知设备更新改造工程项目增加。</w:t>
      </w:r>
    </w:p>
    <w:p>
      <w:pPr>
        <w:pStyle w:val="6"/>
        <w:snapToGrid w:val="0"/>
        <w:spacing w:before="0" w:beforeAutospacing="0" w:after="0" w:afterAutospacing="0" w:line="600" w:lineRule="exact"/>
        <w:ind w:firstLine="643" w:firstLineChars="200"/>
        <w:jc w:val="both"/>
        <w:rPr>
          <w:rFonts w:ascii="楷体" w:hAnsi="楷体" w:eastAsia="楷体" w:cs="楷体"/>
          <w:b/>
          <w:bCs/>
          <w:sz w:val="32"/>
          <w:szCs w:val="32"/>
          <w:shd w:val="clear" w:color="auto" w:fill="FFFFFF"/>
        </w:rPr>
      </w:pPr>
      <w:r>
        <w:rPr>
          <w:rFonts w:ascii="楷体" w:hAnsi="楷体" w:eastAsia="楷体" w:cs="楷体"/>
          <w:b/>
          <w:bCs/>
          <w:sz w:val="32"/>
          <w:szCs w:val="32"/>
          <w:shd w:val="clear" w:color="auto" w:fill="FFFFFF"/>
        </w:rPr>
        <w:t>（六）国有资本经营预算财政拨款支出决算情况说明</w:t>
      </w:r>
    </w:p>
    <w:p>
      <w:pPr>
        <w:pStyle w:val="6"/>
        <w:shd w:val="clear" w:color="auto" w:fill="FFFFFF"/>
        <w:spacing w:before="0" w:beforeAutospacing="0" w:after="0" w:afterAutospacing="0" w:line="596"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万元，主要是本部门2024年度无国有资本经营预算财政拨款支出。</w:t>
      </w:r>
    </w:p>
    <w:p>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三、财政拨款“三公”经费情况说明</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57.24</w:t>
      </w:r>
      <w:r>
        <w:rPr>
          <w:rFonts w:ascii="方正仿宋_GBK" w:hAnsi="方正仿宋_GBK" w:eastAsia="方正仿宋_GBK" w:cs="方正仿宋_GBK"/>
          <w:sz w:val="32"/>
          <w:szCs w:val="32"/>
          <w:shd w:val="clear" w:color="auto" w:fill="FFFFFF"/>
        </w:rPr>
        <w:t>万元，较年初预算数增加47.75万元，增长503.2%，主要原因是本年度因机构改革，招商局、招商投促中心合并至我单位，招商引资增加，公务用车增加。较上年支出数增加44.75万元，增长358.3%，主要原因是本年度因机构改革，招商局、招商投促中心合并至我单位，招商引资增加，公务用车增加。</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部门因公出国（境）费用0.00万元。费用支出较年初预算数无增减，主要原因是年初预算未安排因公出国（境）费用，也未发生因公出国（境）费用。较上年支出数无增减，主要原因是上年和本年均未发生因公出国（境）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公务车购置费0.00万元。费用支出较年初预算数无增减，主要原因是年初预算未安排且本年未发生公务车购置费用。较上年支出数无增减，主要原因是上年和本年均未发生公务车购置费用。 </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公务车运行维护费</w:t>
      </w:r>
      <w:r>
        <w:rPr>
          <w:rFonts w:ascii="方正仿宋_GBK" w:hAnsi="方正仿宋_GBK" w:eastAsia="方正仿宋_GBK" w:cs="方正仿宋_GBK"/>
          <w:sz w:val="32"/>
          <w:szCs w:val="32"/>
        </w:rPr>
        <w:t>8.00</w:t>
      </w:r>
      <w:r>
        <w:rPr>
          <w:rFonts w:ascii="方正仿宋_GBK" w:hAnsi="方正仿宋_GBK" w:eastAsia="方正仿宋_GBK" w:cs="方正仿宋_GBK"/>
          <w:sz w:val="32"/>
          <w:szCs w:val="32"/>
          <w:shd w:val="clear" w:color="auto" w:fill="FFFFFF"/>
        </w:rPr>
        <w:t>万元，主要用于机要文件交换、市内因公出行、安全检查等工作所需车辆的燃料费、维修费、过桥过路费、保险费等。费用支出较年初预算数增加4.00万元，增长100.0%，主要原因是</w:t>
      </w:r>
      <w:r>
        <w:rPr>
          <w:rFonts w:ascii="仿宋_GB2312" w:hAnsi="仿宋" w:eastAsia="仿宋_GB2312"/>
          <w:kern w:val="2"/>
          <w:sz w:val="32"/>
          <w:szCs w:val="32"/>
        </w:rPr>
        <w:t>本年度因机构改革，招商局、招商投促中心合并至我单位</w:t>
      </w:r>
      <w:r>
        <w:rPr>
          <w:rFonts w:ascii="方正仿宋_GBK" w:hAnsi="方正仿宋_GBK" w:eastAsia="方正仿宋_GBK" w:cs="方正仿宋_GBK"/>
          <w:sz w:val="32"/>
          <w:szCs w:val="32"/>
          <w:shd w:val="clear" w:color="auto" w:fill="FFFFFF"/>
        </w:rPr>
        <w:t>。较上年支出数增加3.00万元，增长60.0%，主要原因是</w:t>
      </w:r>
      <w:r>
        <w:rPr>
          <w:rFonts w:ascii="仿宋_GB2312" w:hAnsi="仿宋" w:eastAsia="仿宋_GB2312"/>
          <w:kern w:val="2"/>
          <w:sz w:val="32"/>
          <w:szCs w:val="32"/>
        </w:rPr>
        <w:t>本年度因机构改革，招商局、招商投促中心合并至我单位，公务用车增加一辆，公车运行维护费增加。</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公务接待费</w:t>
      </w:r>
      <w:r>
        <w:rPr>
          <w:rFonts w:ascii="方正仿宋_GBK" w:hAnsi="方正仿宋_GBK" w:eastAsia="方正仿宋_GBK" w:cs="方正仿宋_GBK"/>
          <w:sz w:val="32"/>
          <w:szCs w:val="32"/>
        </w:rPr>
        <w:t>49.24</w:t>
      </w:r>
      <w:r>
        <w:rPr>
          <w:rFonts w:ascii="方正仿宋_GBK" w:hAnsi="方正仿宋_GBK" w:eastAsia="方正仿宋_GBK" w:cs="方正仿宋_GBK"/>
          <w:sz w:val="32"/>
          <w:szCs w:val="32"/>
          <w:shd w:val="clear" w:color="auto" w:fill="FFFFFF"/>
        </w:rPr>
        <w:t>万元，主要用于接待接待招商引资、接待市内其他区县相关单位到我单位学习调研工作，接受相关部门检查指导工作发生的接待支出。费用支出较年初预算数增加43.75万元，增长796.9%，主要原因是</w:t>
      </w:r>
      <w:r>
        <w:rPr>
          <w:rFonts w:ascii="仿宋_GB2312" w:hAnsi="仿宋" w:eastAsia="仿宋_GB2312"/>
          <w:kern w:val="2"/>
          <w:sz w:val="32"/>
          <w:szCs w:val="32"/>
        </w:rPr>
        <w:t>本年度因机构改革，招商局、招商投促中心合并至我单位</w:t>
      </w:r>
      <w:r>
        <w:rPr>
          <w:rFonts w:ascii="方正仿宋_GBK" w:hAnsi="方正仿宋_GBK" w:eastAsia="方正仿宋_GBK" w:cs="方正仿宋_GBK"/>
          <w:sz w:val="32"/>
          <w:szCs w:val="32"/>
          <w:shd w:val="clear" w:color="auto" w:fill="FFFFFF"/>
        </w:rPr>
        <w:t>。较上年支出数增加41.75万元，增长557.4%，主要原因是</w:t>
      </w:r>
      <w:r>
        <w:rPr>
          <w:rFonts w:ascii="仿宋_GB2312" w:hAnsi="仿宋" w:eastAsia="仿宋_GB2312"/>
          <w:kern w:val="2"/>
          <w:sz w:val="32"/>
          <w:szCs w:val="32"/>
        </w:rPr>
        <w:t>本年度因机构改革，招商局、招商投促中心合并至我单位，招商引资职能职责增加，外出招商引资公务接待费增加。</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2024年度本部门因公出国（境）共计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230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2920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人。2024年本部门人均接待费</w:t>
      </w:r>
      <w:r>
        <w:rPr>
          <w:rFonts w:ascii="方正仿宋_GBK" w:hAnsi="方正仿宋_GBK" w:eastAsia="方正仿宋_GBK" w:cs="方正仿宋_GBK"/>
          <w:sz w:val="32"/>
          <w:szCs w:val="32"/>
        </w:rPr>
        <w:t>168.64</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4.00</w:t>
      </w:r>
      <w:r>
        <w:rPr>
          <w:rFonts w:ascii="方正仿宋_GBK" w:hAnsi="方正仿宋_GBK" w:eastAsia="方正仿宋_GBK" w:cs="方正仿宋_GBK"/>
          <w:sz w:val="32"/>
          <w:szCs w:val="32"/>
          <w:shd w:val="clear" w:color="auto" w:fill="FFFFFF"/>
        </w:rPr>
        <w:t>万元。</w:t>
      </w:r>
    </w:p>
    <w:p>
      <w:pPr>
        <w:pStyle w:val="6"/>
        <w:shd w:val="clear" w:color="auto" w:fill="FFFFFF"/>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（一）财政拨款会议费和培训费情况说明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2.14</w:t>
      </w:r>
      <w:r>
        <w:rPr>
          <w:rFonts w:ascii="方正仿宋_GBK" w:hAnsi="方正仿宋_GBK" w:eastAsia="方正仿宋_GBK" w:cs="方正仿宋_GBK"/>
          <w:sz w:val="32"/>
          <w:szCs w:val="32"/>
          <w:shd w:val="clear" w:color="auto" w:fill="FFFFFF"/>
        </w:rPr>
        <w:t>万元，与2023年度相比，增加0.85万元，增长65.9%，主要原因是机构改革，</w:t>
      </w:r>
      <w:r>
        <w:rPr>
          <w:rFonts w:ascii="仿宋_GB2312" w:hAnsi="仿宋" w:eastAsia="仿宋_GB2312"/>
          <w:sz w:val="32"/>
          <w:szCs w:val="32"/>
        </w:rPr>
        <w:t>本年度招商局、招商投促中心合并至我单位，会议费支出增加</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1.03</w:t>
      </w:r>
      <w:r>
        <w:rPr>
          <w:rFonts w:ascii="方正仿宋_GBK" w:hAnsi="方正仿宋_GBK" w:eastAsia="方正仿宋_GBK" w:cs="方正仿宋_GBK"/>
          <w:sz w:val="32"/>
          <w:szCs w:val="32"/>
          <w:shd w:val="clear" w:color="auto" w:fill="FFFFFF"/>
        </w:rPr>
        <w:t>万元，与2023年度相比，减少0.63万元，下降38.0%，主要原因是本年度培训减少。</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2024年度本部门机关运行经费支出</w:t>
      </w:r>
      <w:r>
        <w:rPr>
          <w:rFonts w:ascii="方正仿宋_GBK" w:hAnsi="方正仿宋_GBK" w:eastAsia="方正仿宋_GBK" w:cs="方正仿宋_GBK"/>
          <w:sz w:val="32"/>
          <w:szCs w:val="32"/>
        </w:rPr>
        <w:t>127.38</w:t>
      </w:r>
      <w:r>
        <w:rPr>
          <w:rFonts w:ascii="方正仿宋_GBK" w:hAnsi="方正仿宋_GBK" w:eastAsia="方正仿宋_GBK" w:cs="方正仿宋_GBK"/>
          <w:sz w:val="32"/>
          <w:szCs w:val="32"/>
          <w:shd w:val="clear" w:color="auto" w:fill="FFFFFF"/>
        </w:rPr>
        <w:t>万元，机关运行经费主要用于</w:t>
      </w:r>
      <w:r>
        <w:rPr>
          <w:rFonts w:ascii="方正仿宋_GBK" w:hAnsi="方正仿宋_GBK" w:eastAsia="方正仿宋_GBK" w:cs="方正仿宋_GBK"/>
          <w:kern w:val="2"/>
          <w:sz w:val="32"/>
          <w:szCs w:val="32"/>
          <w:shd w:val="clear" w:color="auto" w:fill="FFFFFF"/>
        </w:rPr>
        <w:t>开支办公费、公务车运行维护费、信息网络购置更新费等</w:t>
      </w:r>
      <w:r>
        <w:rPr>
          <w:rFonts w:ascii="方正仿宋_GBK" w:hAnsi="方正仿宋_GBK" w:eastAsia="方正仿宋_GBK" w:cs="方正仿宋_GBK"/>
          <w:sz w:val="32"/>
          <w:szCs w:val="32"/>
          <w:shd w:val="clear" w:color="auto" w:fill="FFFFFF"/>
        </w:rPr>
        <w:t>。机关运行经费较上年支出数增加65.02万元，增长104.3%，主要原因是</w:t>
      </w:r>
      <w:r>
        <w:rPr>
          <w:rFonts w:ascii="仿宋_GB2312" w:hAnsi="仿宋" w:eastAsia="仿宋_GB2312"/>
          <w:sz w:val="32"/>
          <w:szCs w:val="32"/>
        </w:rPr>
        <w:t>本年度招商局、招商投促中心合并至我单位，人员增加，机关运行经费增加</w:t>
      </w:r>
      <w:r>
        <w:rPr>
          <w:rFonts w:ascii="方正仿宋_GBK" w:hAnsi="方正仿宋_GBK" w:eastAsia="方正仿宋_GBK" w:cs="方正仿宋_GBK"/>
          <w:sz w:val="32"/>
          <w:szCs w:val="32"/>
          <w:shd w:val="clear" w:color="auto" w:fill="FFFFFF"/>
        </w:rPr>
        <w:t>。</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截至2024年12月31日，本部门共有车辆</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2024年度本部门政府采购支出总额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%。2024年度我单位未发生政府采购事项，无相关经费支出。</w:t>
      </w:r>
    </w:p>
    <w:p>
      <w:pPr>
        <w:pStyle w:val="12"/>
        <w:spacing w:before="0" w:beforeAutospacing="0" w:after="0" w:afterAutospacing="0" w:line="596" w:lineRule="exact"/>
        <w:ind w:firstLine="643" w:firstLineChars="200"/>
        <w:rPr>
          <w:rStyle w:val="10"/>
          <w:rFonts w:ascii="黑体" w:hAnsi="黑体" w:eastAsia="黑体" w:cs="黑体"/>
          <w:sz w:val="32"/>
          <w:szCs w:val="32"/>
          <w:shd w:val="clear" w:color="auto" w:fill="FFFFFF"/>
        </w:rPr>
      </w:pPr>
      <w:r>
        <w:rPr>
          <w:rStyle w:val="10"/>
          <w:rFonts w:hint="eastAsia" w:ascii="黑体" w:hAnsi="黑体" w:eastAsia="黑体" w:cs="黑体"/>
          <w:sz w:val="32"/>
          <w:szCs w:val="32"/>
          <w:shd w:val="clear" w:color="auto" w:fill="FFFFFF"/>
        </w:rPr>
        <w:t>五、2024年度预算绩效管理情况说明</w:t>
      </w:r>
    </w:p>
    <w:p>
      <w:pPr>
        <w:pStyle w:val="12"/>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（一）部门自评情况</w:t>
      </w:r>
    </w:p>
    <w:p>
      <w:pPr>
        <w:pStyle w:val="12"/>
        <w:autoSpaceDE w:val="0"/>
        <w:spacing w:before="0" w:beforeAutospacing="0" w:after="0" w:afterAutospacing="0" w:line="596"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根据预算绩效管理要求，我部门对部门整体和19个二级项目开展了绩效自评，涉及财政拨款项目支出资2380.18万元</w:t>
      </w:r>
    </w:p>
    <w:p>
      <w:pPr>
        <w:pStyle w:val="12"/>
        <w:spacing w:before="0" w:beforeAutospacing="0" w:after="0" w:afterAutospacing="0" w:line="596" w:lineRule="exact"/>
        <w:ind w:firstLine="643" w:firstLineChars="200"/>
        <w:rPr>
          <w:rFonts w:ascii="方正仿宋_GBK" w:hAnsi="方正仿宋_GBK" w:eastAsia="方正仿宋_GBK" w:cs="方正仿宋_GBK"/>
          <w:b/>
          <w:bCs/>
          <w:sz w:val="32"/>
          <w:szCs w:val="32"/>
          <w:shd w:val="clear" w:color="auto" w:fill="FFFFFF"/>
        </w:rPr>
      </w:pPr>
      <w:r>
        <w:rPr>
          <w:rFonts w:hint="eastAsia" w:ascii="方正仿宋_GBK" w:hAnsi="方正仿宋_GBK" w:eastAsia="方正仿宋_GBK" w:cs="方正仿宋_GBK"/>
          <w:b/>
          <w:bCs/>
          <w:sz w:val="32"/>
          <w:szCs w:val="32"/>
          <w:shd w:val="clear" w:color="auto" w:fill="FFFFFF"/>
        </w:rPr>
        <w:t>部门整体绩效自评表</w:t>
      </w:r>
    </w:p>
    <w:tbl>
      <w:tblPr>
        <w:tblStyle w:val="7"/>
        <w:tblW w:w="0" w:type="auto"/>
        <w:tblInd w:w="0" w:type="dxa"/>
        <w:tblLayout w:type="fixed"/>
        <w:tblCellMar>
          <w:top w:w="0" w:type="dxa"/>
          <w:left w:w="0" w:type="dxa"/>
          <w:bottom w:w="0" w:type="dxa"/>
          <w:right w:w="0" w:type="dxa"/>
        </w:tblCellMar>
      </w:tblPr>
      <w:tblGrid>
        <w:gridCol w:w="2274"/>
        <w:gridCol w:w="852"/>
        <w:gridCol w:w="852"/>
        <w:gridCol w:w="718"/>
        <w:gridCol w:w="521"/>
        <w:gridCol w:w="666"/>
        <w:gridCol w:w="669"/>
        <w:gridCol w:w="666"/>
        <w:gridCol w:w="423"/>
        <w:gridCol w:w="573"/>
        <w:gridCol w:w="702"/>
      </w:tblGrid>
      <w:tr>
        <w:tblPrEx>
          <w:tblCellMar>
            <w:top w:w="0" w:type="dxa"/>
            <w:left w:w="0" w:type="dxa"/>
            <w:bottom w:w="0" w:type="dxa"/>
            <w:right w:w="0" w:type="dxa"/>
          </w:tblCellMar>
        </w:tblPrEx>
        <w:trPr>
          <w:trHeight w:val="800" w:hRule="atLeast"/>
        </w:trPr>
        <w:tc>
          <w:tcPr>
            <w:tcW w:w="8336"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sz w:val="40"/>
                <w:szCs w:val="40"/>
              </w:rPr>
            </w:pPr>
            <w:r>
              <w:rPr>
                <w:rFonts w:ascii="微软雅黑" w:hAnsi="微软雅黑" w:eastAsia="微软雅黑" w:cs="微软雅黑"/>
                <w:b/>
                <w:sz w:val="40"/>
                <w:szCs w:val="40"/>
                <w:lang w:bidi="ar"/>
              </w:rPr>
              <w:t>2024年度部门整体绩效自评表</w:t>
            </w:r>
          </w:p>
        </w:tc>
      </w:tr>
      <w:tr>
        <w:tblPrEx>
          <w:tblCellMar>
            <w:top w:w="0" w:type="dxa"/>
            <w:left w:w="0" w:type="dxa"/>
            <w:bottom w:w="0" w:type="dxa"/>
            <w:right w:w="0" w:type="dxa"/>
          </w:tblCellMar>
        </w:tblPrEx>
        <w:trPr>
          <w:trHeight w:val="500" w:hRule="atLeast"/>
        </w:trPr>
        <w:tc>
          <w:tcPr>
            <w:tcW w:w="8336"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1" w:firstLineChars="100"/>
              <w:jc w:val="right"/>
              <w:textAlignment w:val="center"/>
              <w:rPr>
                <w:rFonts w:hint="default" w:cs="宋体"/>
                <w:b/>
                <w:sz w:val="22"/>
                <w:szCs w:val="22"/>
              </w:rPr>
            </w:pPr>
            <w:r>
              <w:rPr>
                <w:rFonts w:cs="宋体"/>
                <w:b/>
                <w:sz w:val="22"/>
                <w:szCs w:val="22"/>
                <w:lang w:bidi="ar"/>
              </w:rPr>
              <w:t>状态：绩效审核已审</w:t>
            </w:r>
          </w:p>
        </w:tc>
      </w:tr>
      <w:tr>
        <w:tblPrEx>
          <w:tblCellMar>
            <w:top w:w="0" w:type="dxa"/>
            <w:left w:w="0" w:type="dxa"/>
            <w:bottom w:w="0" w:type="dxa"/>
            <w:right w:w="0" w:type="dxa"/>
          </w:tblCellMar>
        </w:tblPrEx>
        <w:trPr>
          <w:trHeight w:val="500" w:hRule="atLeast"/>
        </w:trPr>
        <w:tc>
          <w:tcPr>
            <w:tcW w:w="22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sz w:val="22"/>
                <w:szCs w:val="22"/>
              </w:rPr>
            </w:pPr>
            <w:r>
              <w:rPr>
                <w:rFonts w:cs="宋体"/>
                <w:b/>
                <w:sz w:val="22"/>
                <w:szCs w:val="22"/>
                <w:lang w:bidi="ar"/>
              </w:rPr>
              <w:t>项目名称：</w:t>
            </w:r>
          </w:p>
        </w:tc>
        <w:tc>
          <w:tcPr>
            <w:tcW w:w="17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垫江县经济和信息化委员会整体自评</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sz w:val="22"/>
                <w:szCs w:val="22"/>
              </w:rPr>
            </w:pPr>
            <w:r>
              <w:rPr>
                <w:rFonts w:cs="宋体"/>
                <w:b/>
                <w:sz w:val="22"/>
                <w:szCs w:val="22"/>
                <w:lang w:bidi="ar"/>
              </w:rPr>
              <w:t>项目编码：</w:t>
            </w: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50023100024P000124</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sz w:val="22"/>
                <w:szCs w:val="22"/>
              </w:rPr>
            </w:pPr>
            <w:r>
              <w:rPr>
                <w:rFonts w:cs="宋体"/>
                <w:b/>
                <w:sz w:val="22"/>
                <w:szCs w:val="22"/>
                <w:lang w:bidi="ar"/>
              </w:rPr>
              <w:t>自评总分：</w:t>
            </w:r>
          </w:p>
        </w:tc>
        <w:tc>
          <w:tcPr>
            <w:tcW w:w="10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100.00</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b/>
                <w:sz w:val="22"/>
                <w:szCs w:val="22"/>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cs="宋体"/>
                <w:sz w:val="22"/>
                <w:szCs w:val="22"/>
              </w:rPr>
            </w:pPr>
          </w:p>
        </w:tc>
      </w:tr>
      <w:tr>
        <w:tblPrEx>
          <w:tblCellMar>
            <w:top w:w="0" w:type="dxa"/>
            <w:left w:w="0" w:type="dxa"/>
            <w:bottom w:w="0" w:type="dxa"/>
            <w:right w:w="0" w:type="dxa"/>
          </w:tblCellMar>
        </w:tblPrEx>
        <w:trPr>
          <w:trHeight w:val="500" w:hRule="atLeast"/>
        </w:trPr>
        <w:tc>
          <w:tcPr>
            <w:tcW w:w="22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sz w:val="22"/>
                <w:szCs w:val="22"/>
              </w:rPr>
            </w:pPr>
            <w:r>
              <w:rPr>
                <w:rFonts w:cs="宋体"/>
                <w:b/>
                <w:sz w:val="22"/>
                <w:szCs w:val="22"/>
                <w:lang w:bidi="ar"/>
              </w:rPr>
              <w:t>项目主管部门：</w:t>
            </w:r>
          </w:p>
        </w:tc>
        <w:tc>
          <w:tcPr>
            <w:tcW w:w="17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503-垫江县经济和信息化委员会</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sz w:val="22"/>
                <w:szCs w:val="22"/>
              </w:rPr>
            </w:pPr>
            <w:r>
              <w:rPr>
                <w:rFonts w:cs="宋体"/>
                <w:b/>
                <w:sz w:val="22"/>
                <w:szCs w:val="22"/>
                <w:lang w:bidi="ar"/>
              </w:rPr>
              <w:t>财政归口处室：</w:t>
            </w: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008-企业科</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sz w:val="22"/>
                <w:szCs w:val="22"/>
              </w:rPr>
            </w:pPr>
            <w:r>
              <w:rPr>
                <w:rFonts w:cs="宋体"/>
                <w:b/>
                <w:sz w:val="22"/>
                <w:szCs w:val="22"/>
                <w:lang w:bidi="ar"/>
              </w:rPr>
              <w:t>部门联系人：</w:t>
            </w:r>
          </w:p>
        </w:tc>
        <w:tc>
          <w:tcPr>
            <w:tcW w:w="10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高老师</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sz w:val="22"/>
                <w:szCs w:val="22"/>
              </w:rPr>
            </w:pPr>
            <w:r>
              <w:rPr>
                <w:rFonts w:cs="宋体"/>
                <w:b/>
                <w:sz w:val="22"/>
                <w:szCs w:val="22"/>
                <w:lang w:bidi="ar"/>
              </w:rPr>
              <w:t>联系电话：</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sz w:val="22"/>
                <w:szCs w:val="22"/>
                <w:lang w:bidi="ar"/>
              </w:rPr>
              <w:t>023-74512518</w:t>
            </w:r>
          </w:p>
        </w:tc>
      </w:tr>
      <w:tr>
        <w:tblPrEx>
          <w:tblCellMar>
            <w:top w:w="0" w:type="dxa"/>
            <w:left w:w="0" w:type="dxa"/>
            <w:bottom w:w="0" w:type="dxa"/>
            <w:right w:w="0" w:type="dxa"/>
          </w:tblCellMar>
        </w:tblPrEx>
        <w:trPr>
          <w:trHeight w:val="600" w:hRule="atLeast"/>
        </w:trPr>
        <w:tc>
          <w:tcPr>
            <w:tcW w:w="8336"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sz w:val="28"/>
                <w:szCs w:val="28"/>
              </w:rPr>
            </w:pPr>
            <w:r>
              <w:rPr>
                <w:rFonts w:ascii="微软雅黑" w:hAnsi="微软雅黑" w:eastAsia="微软雅黑" w:cs="微软雅黑"/>
                <w:b/>
                <w:sz w:val="28"/>
                <w:szCs w:val="28"/>
                <w:lang w:bidi="ar"/>
              </w:rPr>
              <w:t>资金情况</w:t>
            </w:r>
          </w:p>
        </w:tc>
      </w:tr>
      <w:tr>
        <w:tblPrEx>
          <w:tblCellMar>
            <w:top w:w="0" w:type="dxa"/>
            <w:left w:w="0" w:type="dxa"/>
            <w:bottom w:w="0" w:type="dxa"/>
            <w:right w:w="0" w:type="dxa"/>
          </w:tblCellMar>
        </w:tblPrEx>
        <w:trPr>
          <w:trHeight w:val="500" w:hRule="atLeast"/>
        </w:trPr>
        <w:tc>
          <w:tcPr>
            <w:tcW w:w="312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sz w:val="22"/>
                <w:szCs w:val="22"/>
              </w:rPr>
            </w:pPr>
          </w:p>
        </w:tc>
        <w:tc>
          <w:tcPr>
            <w:tcW w:w="15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年初预算数</w:t>
            </w: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全年（调整）预算数</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全年执行数</w:t>
            </w: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执行率</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b/>
                <w:sz w:val="22"/>
                <w:szCs w:val="22"/>
              </w:rPr>
            </w:pPr>
            <w:r>
              <w:rPr>
                <w:rFonts w:cs="宋体"/>
                <w:b/>
                <w:sz w:val="22"/>
                <w:szCs w:val="22"/>
                <w:lang w:bidi="ar"/>
              </w:rPr>
              <w:t>执行率权重</w:t>
            </w: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执行率得分</w:t>
            </w:r>
          </w:p>
        </w:tc>
      </w:tr>
      <w:tr>
        <w:tblPrEx>
          <w:tblCellMar>
            <w:top w:w="0" w:type="dxa"/>
            <w:left w:w="0" w:type="dxa"/>
            <w:bottom w:w="0" w:type="dxa"/>
            <w:right w:w="0" w:type="dxa"/>
          </w:tblCellMar>
        </w:tblPrEx>
        <w:trPr>
          <w:trHeight w:val="500" w:hRule="atLeast"/>
        </w:trPr>
        <w:tc>
          <w:tcPr>
            <w:tcW w:w="227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textAlignment w:val="center"/>
              <w:rPr>
                <w:rFonts w:hint="default" w:cs="宋体"/>
                <w:sz w:val="22"/>
                <w:szCs w:val="22"/>
              </w:rPr>
            </w:pPr>
            <w:r>
              <w:rPr>
                <w:rFonts w:cs="宋体"/>
                <w:sz w:val="22"/>
                <w:szCs w:val="22"/>
                <w:lang w:bidi="ar"/>
              </w:rPr>
              <w:t>年度总金额</w:t>
            </w:r>
          </w:p>
        </w:tc>
        <w:tc>
          <w:tcPr>
            <w:tcW w:w="85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sz w:val="22"/>
                <w:szCs w:val="22"/>
              </w:rPr>
            </w:pPr>
          </w:p>
        </w:tc>
        <w:tc>
          <w:tcPr>
            <w:tcW w:w="852"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sz w:val="22"/>
                <w:szCs w:val="22"/>
              </w:rPr>
            </w:pPr>
          </w:p>
        </w:tc>
        <w:tc>
          <w:tcPr>
            <w:tcW w:w="71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sz w:val="22"/>
                <w:szCs w:val="22"/>
              </w:rPr>
            </w:pPr>
            <w:r>
              <w:rPr>
                <w:rFonts w:cs="宋体"/>
                <w:sz w:val="22"/>
                <w:szCs w:val="22"/>
                <w:lang w:bidi="ar"/>
              </w:rPr>
              <w:t xml:space="preserve">38,846,343.06 </w:t>
            </w:r>
          </w:p>
        </w:tc>
        <w:tc>
          <w:tcPr>
            <w:tcW w:w="52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sz w:val="22"/>
                <w:szCs w:val="22"/>
              </w:rPr>
            </w:pPr>
          </w:p>
        </w:tc>
        <w:tc>
          <w:tcPr>
            <w:tcW w:w="66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cs="宋体"/>
                <w:sz w:val="22"/>
                <w:szCs w:val="22"/>
              </w:rPr>
            </w:pPr>
            <w:r>
              <w:rPr>
                <w:rFonts w:cs="宋体"/>
                <w:sz w:val="22"/>
                <w:szCs w:val="22"/>
                <w:lang w:bidi="ar"/>
              </w:rPr>
              <w:t xml:space="preserve">60,747,881.99 </w:t>
            </w:r>
          </w:p>
        </w:tc>
        <w:tc>
          <w:tcPr>
            <w:tcW w:w="669"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sz w:val="22"/>
                <w:szCs w:val="22"/>
              </w:rPr>
            </w:pPr>
          </w:p>
        </w:tc>
        <w:tc>
          <w:tcPr>
            <w:tcW w:w="666"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sz w:val="22"/>
                <w:szCs w:val="22"/>
              </w:rPr>
            </w:pPr>
            <w:r>
              <w:rPr>
                <w:rFonts w:cs="宋体"/>
                <w:sz w:val="22"/>
                <w:szCs w:val="22"/>
                <w:lang w:bidi="ar"/>
              </w:rPr>
              <w:t xml:space="preserve">60,747,881.99 </w:t>
            </w: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sz w:val="22"/>
                <w:szCs w:val="22"/>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sz w:val="22"/>
                <w:szCs w:val="22"/>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r>
      <w:tr>
        <w:tblPrEx>
          <w:tblCellMar>
            <w:top w:w="0" w:type="dxa"/>
            <w:left w:w="0" w:type="dxa"/>
            <w:bottom w:w="0" w:type="dxa"/>
            <w:right w:w="0" w:type="dxa"/>
          </w:tblCellMar>
        </w:tblPrEx>
        <w:trPr>
          <w:trHeight w:val="500" w:hRule="atLeast"/>
        </w:trPr>
        <w:tc>
          <w:tcPr>
            <w:tcW w:w="227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textAlignment w:val="center"/>
              <w:rPr>
                <w:rFonts w:hint="default" w:cs="宋体"/>
                <w:sz w:val="22"/>
                <w:szCs w:val="22"/>
              </w:rPr>
            </w:pPr>
            <w:r>
              <w:rPr>
                <w:rFonts w:cs="宋体"/>
                <w:sz w:val="22"/>
                <w:szCs w:val="22"/>
                <w:lang w:bidi="ar"/>
              </w:rPr>
              <w:t>其中：财政拨款</w:t>
            </w:r>
          </w:p>
        </w:tc>
        <w:tc>
          <w:tcPr>
            <w:tcW w:w="85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sz w:val="22"/>
                <w:szCs w:val="22"/>
              </w:rPr>
            </w:pPr>
          </w:p>
        </w:tc>
        <w:tc>
          <w:tcPr>
            <w:tcW w:w="852"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sz w:val="22"/>
                <w:szCs w:val="22"/>
              </w:rPr>
            </w:pPr>
          </w:p>
        </w:tc>
        <w:tc>
          <w:tcPr>
            <w:tcW w:w="71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sz w:val="22"/>
                <w:szCs w:val="22"/>
              </w:rPr>
            </w:pPr>
            <w:r>
              <w:rPr>
                <w:rFonts w:cs="宋体"/>
                <w:sz w:val="22"/>
                <w:szCs w:val="22"/>
                <w:lang w:bidi="ar"/>
              </w:rPr>
              <w:t xml:space="preserve">38,846,343.06 </w:t>
            </w:r>
          </w:p>
        </w:tc>
        <w:tc>
          <w:tcPr>
            <w:tcW w:w="52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sz w:val="22"/>
                <w:szCs w:val="22"/>
              </w:rPr>
            </w:pPr>
          </w:p>
        </w:tc>
        <w:tc>
          <w:tcPr>
            <w:tcW w:w="66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cs="宋体"/>
                <w:sz w:val="22"/>
                <w:szCs w:val="22"/>
              </w:rPr>
            </w:pPr>
            <w:r>
              <w:rPr>
                <w:rFonts w:cs="宋体"/>
                <w:sz w:val="22"/>
                <w:szCs w:val="22"/>
                <w:lang w:bidi="ar"/>
              </w:rPr>
              <w:t xml:space="preserve">60,747,881.99 </w:t>
            </w:r>
          </w:p>
        </w:tc>
        <w:tc>
          <w:tcPr>
            <w:tcW w:w="669"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sz w:val="22"/>
                <w:szCs w:val="22"/>
              </w:rPr>
            </w:pPr>
          </w:p>
        </w:tc>
        <w:tc>
          <w:tcPr>
            <w:tcW w:w="666"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sz w:val="22"/>
                <w:szCs w:val="22"/>
              </w:rPr>
            </w:pPr>
            <w:r>
              <w:rPr>
                <w:rFonts w:cs="宋体"/>
                <w:sz w:val="22"/>
                <w:szCs w:val="22"/>
                <w:lang w:bidi="ar"/>
              </w:rPr>
              <w:t xml:space="preserve">60,747,881.99 </w:t>
            </w: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sz w:val="22"/>
                <w:szCs w:val="22"/>
              </w:rPr>
            </w:pPr>
            <w:r>
              <w:rPr>
                <w:rFonts w:cs="宋体"/>
                <w:sz w:val="22"/>
                <w:szCs w:val="22"/>
                <w:lang w:bidi="ar"/>
              </w:rPr>
              <w:t>100</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10.00</w:t>
            </w: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 xml:space="preserve">10.00 </w:t>
            </w:r>
          </w:p>
        </w:tc>
      </w:tr>
      <w:tr>
        <w:tblPrEx>
          <w:tblCellMar>
            <w:top w:w="0" w:type="dxa"/>
            <w:left w:w="0" w:type="dxa"/>
            <w:bottom w:w="0" w:type="dxa"/>
            <w:right w:w="0" w:type="dxa"/>
          </w:tblCellMar>
        </w:tblPrEx>
        <w:trPr>
          <w:trHeight w:val="500" w:hRule="atLeast"/>
        </w:trPr>
        <w:tc>
          <w:tcPr>
            <w:tcW w:w="227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textAlignment w:val="center"/>
              <w:rPr>
                <w:rFonts w:hint="default" w:cs="宋体"/>
                <w:sz w:val="22"/>
                <w:szCs w:val="22"/>
              </w:rPr>
            </w:pPr>
            <w:r>
              <w:rPr>
                <w:rFonts w:cs="宋体"/>
                <w:sz w:val="22"/>
                <w:szCs w:val="22"/>
                <w:lang w:bidi="ar"/>
              </w:rPr>
              <w:t>一般公共预算</w:t>
            </w:r>
          </w:p>
        </w:tc>
        <w:tc>
          <w:tcPr>
            <w:tcW w:w="85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sz w:val="22"/>
                <w:szCs w:val="22"/>
              </w:rPr>
            </w:pPr>
          </w:p>
        </w:tc>
        <w:tc>
          <w:tcPr>
            <w:tcW w:w="852"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sz w:val="22"/>
                <w:szCs w:val="22"/>
              </w:rPr>
            </w:pPr>
          </w:p>
        </w:tc>
        <w:tc>
          <w:tcPr>
            <w:tcW w:w="71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sz w:val="22"/>
                <w:szCs w:val="22"/>
              </w:rPr>
            </w:pPr>
            <w:r>
              <w:rPr>
                <w:rFonts w:cs="宋体"/>
                <w:sz w:val="22"/>
                <w:szCs w:val="22"/>
                <w:lang w:bidi="ar"/>
              </w:rPr>
              <w:t xml:space="preserve">38,846,343.06 </w:t>
            </w:r>
          </w:p>
        </w:tc>
        <w:tc>
          <w:tcPr>
            <w:tcW w:w="52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sz w:val="22"/>
                <w:szCs w:val="22"/>
              </w:rPr>
            </w:pPr>
          </w:p>
        </w:tc>
        <w:tc>
          <w:tcPr>
            <w:tcW w:w="66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cs="宋体"/>
                <w:sz w:val="22"/>
                <w:szCs w:val="22"/>
              </w:rPr>
            </w:pPr>
            <w:r>
              <w:rPr>
                <w:rFonts w:cs="宋体"/>
                <w:sz w:val="22"/>
                <w:szCs w:val="22"/>
                <w:lang w:bidi="ar"/>
              </w:rPr>
              <w:t xml:space="preserve">34,732,931.99 </w:t>
            </w:r>
          </w:p>
        </w:tc>
        <w:tc>
          <w:tcPr>
            <w:tcW w:w="669"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sz w:val="22"/>
                <w:szCs w:val="22"/>
              </w:rPr>
            </w:pPr>
          </w:p>
        </w:tc>
        <w:tc>
          <w:tcPr>
            <w:tcW w:w="666"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sz w:val="22"/>
                <w:szCs w:val="22"/>
              </w:rPr>
            </w:pPr>
            <w:r>
              <w:rPr>
                <w:rFonts w:cs="宋体"/>
                <w:sz w:val="22"/>
                <w:szCs w:val="22"/>
                <w:lang w:bidi="ar"/>
              </w:rPr>
              <w:t xml:space="preserve">34,732,931.99 </w:t>
            </w: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sz w:val="22"/>
                <w:szCs w:val="22"/>
              </w:rPr>
            </w:pPr>
            <w:r>
              <w:rPr>
                <w:rFonts w:cs="宋体"/>
                <w:sz w:val="22"/>
                <w:szCs w:val="22"/>
                <w:lang w:bidi="ar"/>
              </w:rPr>
              <w:t>100</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sz w:val="22"/>
                <w:szCs w:val="22"/>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r>
      <w:tr>
        <w:tblPrEx>
          <w:tblCellMar>
            <w:top w:w="0" w:type="dxa"/>
            <w:left w:w="0" w:type="dxa"/>
            <w:bottom w:w="0" w:type="dxa"/>
            <w:right w:w="0" w:type="dxa"/>
          </w:tblCellMar>
        </w:tblPrEx>
        <w:trPr>
          <w:trHeight w:val="600" w:hRule="atLeast"/>
        </w:trPr>
        <w:tc>
          <w:tcPr>
            <w:tcW w:w="8336"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sz w:val="28"/>
                <w:szCs w:val="28"/>
              </w:rPr>
            </w:pPr>
            <w:r>
              <w:rPr>
                <w:rFonts w:ascii="微软雅黑" w:hAnsi="微软雅黑" w:eastAsia="微软雅黑" w:cs="微软雅黑"/>
                <w:b/>
                <w:sz w:val="28"/>
                <w:szCs w:val="28"/>
                <w:lang w:bidi="ar"/>
              </w:rPr>
              <w:t>绩效目标</w:t>
            </w:r>
          </w:p>
        </w:tc>
      </w:tr>
      <w:tr>
        <w:tblPrEx>
          <w:tblCellMar>
            <w:top w:w="0" w:type="dxa"/>
            <w:left w:w="0" w:type="dxa"/>
            <w:bottom w:w="0" w:type="dxa"/>
            <w:right w:w="0" w:type="dxa"/>
          </w:tblCellMar>
        </w:tblPrEx>
        <w:trPr>
          <w:trHeight w:val="500" w:hRule="atLeast"/>
        </w:trPr>
        <w:tc>
          <w:tcPr>
            <w:tcW w:w="469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年初绩效目标</w:t>
            </w:r>
          </w:p>
        </w:tc>
        <w:tc>
          <w:tcPr>
            <w:tcW w:w="252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全年（调整）绩效目标</w:t>
            </w:r>
          </w:p>
        </w:tc>
        <w:tc>
          <w:tcPr>
            <w:tcW w:w="111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全年目标实际完成情况</w:t>
            </w:r>
          </w:p>
        </w:tc>
      </w:tr>
      <w:tr>
        <w:tblPrEx>
          <w:tblCellMar>
            <w:top w:w="0" w:type="dxa"/>
            <w:left w:w="0" w:type="dxa"/>
            <w:bottom w:w="0" w:type="dxa"/>
            <w:right w:w="0" w:type="dxa"/>
          </w:tblCellMar>
        </w:tblPrEx>
        <w:trPr>
          <w:trHeight w:val="1600" w:hRule="atLeast"/>
        </w:trPr>
        <w:tc>
          <w:tcPr>
            <w:tcW w:w="469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textAlignment w:val="top"/>
              <w:rPr>
                <w:rFonts w:hint="default" w:cs="宋体"/>
                <w:sz w:val="22"/>
                <w:szCs w:val="22"/>
              </w:rPr>
            </w:pPr>
            <w:r>
              <w:rPr>
                <w:rFonts w:cs="宋体"/>
                <w:sz w:val="22"/>
                <w:szCs w:val="22"/>
                <w:lang w:bidi="ar"/>
              </w:rPr>
              <w:t>通过年度预算支出，完成如下工作目标：1.工业增加值增长4%；2.工业固定资产投资完成100亿元；3.战略性新兴制造业增加值增长5%。</w:t>
            </w:r>
          </w:p>
        </w:tc>
        <w:tc>
          <w:tcPr>
            <w:tcW w:w="252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hint="default" w:cs="宋体"/>
                <w:sz w:val="22"/>
                <w:szCs w:val="22"/>
              </w:rPr>
            </w:pPr>
          </w:p>
        </w:tc>
        <w:tc>
          <w:tcPr>
            <w:tcW w:w="111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textAlignment w:val="top"/>
              <w:rPr>
                <w:rFonts w:hint="default" w:cs="宋体"/>
                <w:sz w:val="22"/>
                <w:szCs w:val="22"/>
              </w:rPr>
            </w:pPr>
            <w:r>
              <w:rPr>
                <w:rFonts w:cs="宋体"/>
                <w:sz w:val="22"/>
                <w:szCs w:val="22"/>
                <w:lang w:bidi="ar"/>
              </w:rPr>
              <w:t>通过年度预算支出，完成如下工作目标：1.工业增加值增长4%；2.工业固定资产投资完成100亿元；3.战略性新兴制造业增加值增长5%。</w:t>
            </w:r>
          </w:p>
        </w:tc>
      </w:tr>
      <w:tr>
        <w:tblPrEx>
          <w:tblCellMar>
            <w:top w:w="0" w:type="dxa"/>
            <w:left w:w="0" w:type="dxa"/>
            <w:bottom w:w="0" w:type="dxa"/>
            <w:right w:w="0" w:type="dxa"/>
          </w:tblCellMar>
        </w:tblPrEx>
        <w:trPr>
          <w:trHeight w:val="600" w:hRule="atLeast"/>
        </w:trPr>
        <w:tc>
          <w:tcPr>
            <w:tcW w:w="8336"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sz w:val="28"/>
                <w:szCs w:val="28"/>
              </w:rPr>
            </w:pPr>
            <w:r>
              <w:rPr>
                <w:rFonts w:ascii="微软雅黑" w:hAnsi="微软雅黑" w:eastAsia="微软雅黑" w:cs="微软雅黑"/>
                <w:b/>
                <w:sz w:val="28"/>
                <w:szCs w:val="28"/>
                <w:lang w:bidi="ar"/>
              </w:rPr>
              <w:t>绩效指标</w:t>
            </w:r>
          </w:p>
        </w:tc>
      </w:tr>
      <w:tr>
        <w:tblPrEx>
          <w:tblCellMar>
            <w:top w:w="0" w:type="dxa"/>
            <w:left w:w="0" w:type="dxa"/>
            <w:bottom w:w="0" w:type="dxa"/>
            <w:right w:w="0" w:type="dxa"/>
          </w:tblCellMar>
        </w:tblPrEx>
        <w:trPr>
          <w:trHeight w:val="500" w:hRule="atLeast"/>
        </w:trPr>
        <w:tc>
          <w:tcPr>
            <w:tcW w:w="22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指标名称</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计量单位</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指标性质</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全年完成值</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偏离度（%）</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得分系数（%）</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指标权重</w:t>
            </w: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指标得分</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是否核心指标</w:t>
            </w: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说明</w:t>
            </w:r>
          </w:p>
        </w:tc>
      </w:tr>
      <w:tr>
        <w:tblPrEx>
          <w:tblCellMar>
            <w:top w:w="0" w:type="dxa"/>
            <w:left w:w="0" w:type="dxa"/>
            <w:bottom w:w="0" w:type="dxa"/>
            <w:right w:w="0" w:type="dxa"/>
          </w:tblCellMar>
        </w:tblPrEx>
        <w:trPr>
          <w:trHeight w:val="500" w:hRule="atLeast"/>
        </w:trPr>
        <w:tc>
          <w:tcPr>
            <w:tcW w:w="22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部门预决算按时公开率</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100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0</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100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10</w:t>
            </w: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10</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是</w:t>
            </w: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sz w:val="22"/>
                <w:szCs w:val="22"/>
              </w:rPr>
            </w:pPr>
          </w:p>
        </w:tc>
      </w:tr>
      <w:tr>
        <w:tblPrEx>
          <w:tblCellMar>
            <w:top w:w="0" w:type="dxa"/>
            <w:left w:w="0" w:type="dxa"/>
            <w:bottom w:w="0" w:type="dxa"/>
            <w:right w:w="0" w:type="dxa"/>
          </w:tblCellMar>
        </w:tblPrEx>
        <w:trPr>
          <w:trHeight w:val="500" w:hRule="atLeast"/>
        </w:trPr>
        <w:tc>
          <w:tcPr>
            <w:tcW w:w="22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工业投资同比增长</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10</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0</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100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2</w:t>
            </w: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2</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否</w:t>
            </w: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sz w:val="22"/>
                <w:szCs w:val="22"/>
              </w:rPr>
            </w:pPr>
          </w:p>
        </w:tc>
      </w:tr>
      <w:tr>
        <w:tblPrEx>
          <w:tblCellMar>
            <w:top w:w="0" w:type="dxa"/>
            <w:left w:w="0" w:type="dxa"/>
            <w:bottom w:w="0" w:type="dxa"/>
            <w:right w:w="0" w:type="dxa"/>
          </w:tblCellMar>
        </w:tblPrEx>
        <w:trPr>
          <w:trHeight w:val="500" w:hRule="atLeast"/>
        </w:trPr>
        <w:tc>
          <w:tcPr>
            <w:tcW w:w="22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规模工业增加值同比增长</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4</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5.1</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27.5</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100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10</w:t>
            </w: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10</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是</w:t>
            </w: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实际值</w:t>
            </w:r>
          </w:p>
        </w:tc>
      </w:tr>
      <w:tr>
        <w:tblPrEx>
          <w:tblCellMar>
            <w:top w:w="0" w:type="dxa"/>
            <w:left w:w="0" w:type="dxa"/>
            <w:bottom w:w="0" w:type="dxa"/>
            <w:right w:w="0" w:type="dxa"/>
          </w:tblCellMar>
        </w:tblPrEx>
        <w:trPr>
          <w:trHeight w:val="500" w:hRule="atLeast"/>
        </w:trPr>
        <w:tc>
          <w:tcPr>
            <w:tcW w:w="22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建设绿色工厂</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1</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1</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0</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100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2</w:t>
            </w: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2</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否</w:t>
            </w: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sz w:val="22"/>
                <w:szCs w:val="22"/>
              </w:rPr>
            </w:pPr>
          </w:p>
        </w:tc>
      </w:tr>
      <w:tr>
        <w:tblPrEx>
          <w:tblCellMar>
            <w:top w:w="0" w:type="dxa"/>
            <w:left w:w="0" w:type="dxa"/>
            <w:bottom w:w="0" w:type="dxa"/>
            <w:right w:w="0" w:type="dxa"/>
          </w:tblCellMar>
        </w:tblPrEx>
        <w:trPr>
          <w:trHeight w:val="500" w:hRule="atLeast"/>
        </w:trPr>
        <w:tc>
          <w:tcPr>
            <w:tcW w:w="22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建设数字化车间</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1</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4</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300</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100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2</w:t>
            </w: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2</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否</w:t>
            </w: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实际值</w:t>
            </w:r>
          </w:p>
        </w:tc>
      </w:tr>
      <w:tr>
        <w:tblPrEx>
          <w:tblCellMar>
            <w:top w:w="0" w:type="dxa"/>
            <w:left w:w="0" w:type="dxa"/>
            <w:bottom w:w="0" w:type="dxa"/>
            <w:right w:w="0" w:type="dxa"/>
          </w:tblCellMar>
        </w:tblPrEx>
        <w:trPr>
          <w:trHeight w:val="500" w:hRule="atLeast"/>
        </w:trPr>
        <w:tc>
          <w:tcPr>
            <w:tcW w:w="22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建设研发机构</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1</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2</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100</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100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2</w:t>
            </w: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2</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否</w:t>
            </w: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实际值</w:t>
            </w:r>
          </w:p>
        </w:tc>
      </w:tr>
      <w:tr>
        <w:tblPrEx>
          <w:tblCellMar>
            <w:top w:w="0" w:type="dxa"/>
            <w:left w:w="0" w:type="dxa"/>
            <w:bottom w:w="0" w:type="dxa"/>
            <w:right w:w="0" w:type="dxa"/>
          </w:tblCellMar>
        </w:tblPrEx>
        <w:trPr>
          <w:trHeight w:val="500" w:hRule="atLeast"/>
        </w:trPr>
        <w:tc>
          <w:tcPr>
            <w:tcW w:w="22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全年预算支出执行率</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98</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98</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0</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100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10</w:t>
            </w: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10</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是</w:t>
            </w: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sz w:val="22"/>
                <w:szCs w:val="22"/>
              </w:rPr>
            </w:pPr>
          </w:p>
        </w:tc>
      </w:tr>
      <w:tr>
        <w:tblPrEx>
          <w:tblCellMar>
            <w:top w:w="0" w:type="dxa"/>
            <w:left w:w="0" w:type="dxa"/>
            <w:bottom w:w="0" w:type="dxa"/>
            <w:right w:w="0" w:type="dxa"/>
          </w:tblCellMar>
        </w:tblPrEx>
        <w:trPr>
          <w:trHeight w:val="500" w:hRule="atLeast"/>
        </w:trPr>
        <w:tc>
          <w:tcPr>
            <w:tcW w:w="22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软件产业产值同比增长</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3</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49.6</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1553.33</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100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5</w:t>
            </w: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5</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否</w:t>
            </w: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实际值</w:t>
            </w:r>
          </w:p>
        </w:tc>
      </w:tr>
      <w:tr>
        <w:tblPrEx>
          <w:tblCellMar>
            <w:top w:w="0" w:type="dxa"/>
            <w:left w:w="0" w:type="dxa"/>
            <w:bottom w:w="0" w:type="dxa"/>
            <w:right w:w="0" w:type="dxa"/>
          </w:tblCellMar>
        </w:tblPrEx>
        <w:trPr>
          <w:trHeight w:val="500" w:hRule="atLeast"/>
        </w:trPr>
        <w:tc>
          <w:tcPr>
            <w:tcW w:w="22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三季度预算执行进度</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75</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75</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0</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100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10</w:t>
            </w: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10</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是</w:t>
            </w: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sz w:val="22"/>
                <w:szCs w:val="22"/>
              </w:rPr>
            </w:pPr>
          </w:p>
        </w:tc>
      </w:tr>
      <w:tr>
        <w:tblPrEx>
          <w:tblCellMar>
            <w:top w:w="0" w:type="dxa"/>
            <w:left w:w="0" w:type="dxa"/>
            <w:bottom w:w="0" w:type="dxa"/>
            <w:right w:w="0" w:type="dxa"/>
          </w:tblCellMar>
        </w:tblPrEx>
        <w:trPr>
          <w:trHeight w:val="500" w:hRule="atLeast"/>
        </w:trPr>
        <w:tc>
          <w:tcPr>
            <w:tcW w:w="22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市级工业设计中心</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1</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1</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0</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100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2</w:t>
            </w: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2</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否</w:t>
            </w: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sz w:val="22"/>
                <w:szCs w:val="22"/>
              </w:rPr>
            </w:pPr>
          </w:p>
        </w:tc>
      </w:tr>
      <w:tr>
        <w:tblPrEx>
          <w:tblCellMar>
            <w:top w:w="0" w:type="dxa"/>
            <w:left w:w="0" w:type="dxa"/>
            <w:bottom w:w="0" w:type="dxa"/>
            <w:right w:w="0" w:type="dxa"/>
          </w:tblCellMar>
        </w:tblPrEx>
        <w:trPr>
          <w:trHeight w:val="500" w:hRule="atLeast"/>
        </w:trPr>
        <w:tc>
          <w:tcPr>
            <w:tcW w:w="22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小微工业企业培育升规个数</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5</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13</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160</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100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2</w:t>
            </w: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2</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否</w:t>
            </w: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实际升规13个</w:t>
            </w:r>
          </w:p>
        </w:tc>
      </w:tr>
      <w:tr>
        <w:tblPrEx>
          <w:tblCellMar>
            <w:top w:w="0" w:type="dxa"/>
            <w:left w:w="0" w:type="dxa"/>
            <w:bottom w:w="0" w:type="dxa"/>
            <w:right w:w="0" w:type="dxa"/>
          </w:tblCellMar>
        </w:tblPrEx>
        <w:trPr>
          <w:trHeight w:val="500" w:hRule="atLeast"/>
        </w:trPr>
        <w:tc>
          <w:tcPr>
            <w:tcW w:w="22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支持重点国家级</w:t>
            </w:r>
            <w:r>
              <w:rPr>
                <w:rFonts w:hint="eastAsia" w:cs="宋体"/>
                <w:sz w:val="22"/>
                <w:szCs w:val="22"/>
                <w:lang w:eastAsia="zh-CN" w:bidi="ar"/>
              </w:rPr>
              <w:t>专精特新“小巨人”</w:t>
            </w:r>
            <w:r>
              <w:rPr>
                <w:rFonts w:cs="宋体"/>
                <w:sz w:val="22"/>
                <w:szCs w:val="22"/>
                <w:lang w:bidi="ar"/>
              </w:rPr>
              <w:t>绩效考核奖励</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1</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1</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0</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100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2</w:t>
            </w: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2</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否</w:t>
            </w: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sz w:val="22"/>
                <w:szCs w:val="22"/>
              </w:rPr>
            </w:pPr>
          </w:p>
        </w:tc>
      </w:tr>
      <w:tr>
        <w:tblPrEx>
          <w:tblCellMar>
            <w:top w:w="0" w:type="dxa"/>
            <w:left w:w="0" w:type="dxa"/>
            <w:bottom w:w="0" w:type="dxa"/>
            <w:right w:w="0" w:type="dxa"/>
          </w:tblCellMar>
        </w:tblPrEx>
        <w:trPr>
          <w:trHeight w:val="500" w:hRule="atLeast"/>
        </w:trPr>
        <w:tc>
          <w:tcPr>
            <w:tcW w:w="22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技术改造投资占比</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5</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21.96</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339.2</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100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4</w:t>
            </w: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4</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否</w:t>
            </w: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实际值</w:t>
            </w:r>
          </w:p>
        </w:tc>
      </w:tr>
      <w:tr>
        <w:tblPrEx>
          <w:tblCellMar>
            <w:top w:w="0" w:type="dxa"/>
            <w:left w:w="0" w:type="dxa"/>
            <w:bottom w:w="0" w:type="dxa"/>
            <w:right w:w="0" w:type="dxa"/>
          </w:tblCellMar>
        </w:tblPrEx>
        <w:trPr>
          <w:trHeight w:val="500" w:hRule="atLeast"/>
        </w:trPr>
        <w:tc>
          <w:tcPr>
            <w:tcW w:w="22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按时完成工作量</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90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0</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100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2</w:t>
            </w: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2</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否</w:t>
            </w: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sz w:val="22"/>
                <w:szCs w:val="22"/>
              </w:rPr>
            </w:pPr>
          </w:p>
        </w:tc>
      </w:tr>
      <w:tr>
        <w:tblPrEx>
          <w:tblCellMar>
            <w:top w:w="0" w:type="dxa"/>
            <w:left w:w="0" w:type="dxa"/>
            <w:bottom w:w="0" w:type="dxa"/>
            <w:right w:w="0" w:type="dxa"/>
          </w:tblCellMar>
        </w:tblPrEx>
        <w:trPr>
          <w:trHeight w:val="500" w:hRule="atLeast"/>
        </w:trPr>
        <w:tc>
          <w:tcPr>
            <w:tcW w:w="22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工业战略性新兴产业主营业务收入</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亿元</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5</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21.8</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336</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100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10</w:t>
            </w: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10</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是</w:t>
            </w: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实际值</w:t>
            </w:r>
          </w:p>
        </w:tc>
      </w:tr>
      <w:tr>
        <w:tblPrEx>
          <w:tblCellMar>
            <w:top w:w="0" w:type="dxa"/>
            <w:left w:w="0" w:type="dxa"/>
            <w:bottom w:w="0" w:type="dxa"/>
            <w:right w:w="0" w:type="dxa"/>
          </w:tblCellMar>
        </w:tblPrEx>
        <w:trPr>
          <w:trHeight w:val="500" w:hRule="atLeast"/>
        </w:trPr>
        <w:tc>
          <w:tcPr>
            <w:tcW w:w="22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年节约用能量</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吨</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1000</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1000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0</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100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10</w:t>
            </w: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10</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否</w:t>
            </w: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sz w:val="22"/>
                <w:szCs w:val="22"/>
              </w:rPr>
            </w:pPr>
          </w:p>
        </w:tc>
      </w:tr>
      <w:tr>
        <w:tblPrEx>
          <w:tblCellMar>
            <w:top w:w="0" w:type="dxa"/>
            <w:left w:w="0" w:type="dxa"/>
            <w:bottom w:w="0" w:type="dxa"/>
            <w:right w:w="0" w:type="dxa"/>
          </w:tblCellMar>
        </w:tblPrEx>
        <w:trPr>
          <w:trHeight w:val="500" w:hRule="atLeast"/>
        </w:trPr>
        <w:tc>
          <w:tcPr>
            <w:tcW w:w="22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服务对象满意度</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80</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80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0</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100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5</w:t>
            </w: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5</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否</w:t>
            </w: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sz w:val="22"/>
                <w:szCs w:val="22"/>
              </w:rPr>
            </w:pPr>
          </w:p>
        </w:tc>
      </w:tr>
      <w:tr>
        <w:tblPrEx>
          <w:tblCellMar>
            <w:top w:w="0" w:type="dxa"/>
            <w:left w:w="0" w:type="dxa"/>
            <w:bottom w:w="0" w:type="dxa"/>
            <w:right w:w="0" w:type="dxa"/>
          </w:tblCellMar>
        </w:tblPrEx>
        <w:trPr>
          <w:trHeight w:val="500" w:hRule="atLeast"/>
        </w:trPr>
        <w:tc>
          <w:tcPr>
            <w:tcW w:w="22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预计资金投入额</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万元</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2100</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2100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0</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100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10</w:t>
            </w: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10</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否</w:t>
            </w: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sz w:val="22"/>
                <w:szCs w:val="22"/>
              </w:rPr>
            </w:pPr>
          </w:p>
        </w:tc>
      </w:tr>
    </w:tbl>
    <w:p>
      <w:pPr>
        <w:pStyle w:val="12"/>
        <w:spacing w:before="0" w:beforeAutospacing="0" w:after="0" w:afterAutospacing="0" w:line="596" w:lineRule="exact"/>
        <w:ind w:firstLine="643" w:firstLineChars="200"/>
        <w:rPr>
          <w:rFonts w:ascii="方正仿宋_GBK" w:hAnsi="方正仿宋_GBK" w:eastAsia="方正仿宋_GBK" w:cs="方正仿宋_GBK"/>
          <w:b/>
          <w:bCs/>
          <w:sz w:val="32"/>
          <w:szCs w:val="32"/>
          <w:shd w:val="clear" w:color="auto" w:fill="FFFFFF"/>
        </w:rPr>
      </w:pPr>
      <w:r>
        <w:rPr>
          <w:rFonts w:hint="eastAsia" w:ascii="方正仿宋_GBK" w:hAnsi="方正仿宋_GBK" w:eastAsia="方正仿宋_GBK" w:cs="方正仿宋_GBK"/>
          <w:b/>
          <w:bCs/>
          <w:sz w:val="32"/>
          <w:szCs w:val="32"/>
          <w:shd w:val="clear" w:color="auto" w:fill="FFFFFF"/>
        </w:rPr>
        <w:t>项目支出绩效自评表</w:t>
      </w:r>
    </w:p>
    <w:p>
      <w:pPr>
        <w:pStyle w:val="12"/>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p>
    <w:tbl>
      <w:tblPr>
        <w:tblStyle w:val="7"/>
        <w:tblpPr w:leftFromText="180" w:rightFromText="180" w:vertAnchor="text" w:horzAnchor="page" w:tblpX="995" w:tblpY="622"/>
        <w:tblOverlap w:val="never"/>
        <w:tblW w:w="5000" w:type="pct"/>
        <w:tblInd w:w="0" w:type="dxa"/>
        <w:tblLayout w:type="autofit"/>
        <w:tblCellMar>
          <w:top w:w="0" w:type="dxa"/>
          <w:left w:w="0" w:type="dxa"/>
          <w:bottom w:w="0" w:type="dxa"/>
          <w:right w:w="0" w:type="dxa"/>
        </w:tblCellMar>
      </w:tblPr>
      <w:tblGrid>
        <w:gridCol w:w="1408"/>
        <w:gridCol w:w="1026"/>
        <w:gridCol w:w="819"/>
        <w:gridCol w:w="771"/>
        <w:gridCol w:w="604"/>
        <w:gridCol w:w="662"/>
        <w:gridCol w:w="718"/>
        <w:gridCol w:w="557"/>
        <w:gridCol w:w="453"/>
        <w:gridCol w:w="665"/>
        <w:gridCol w:w="662"/>
      </w:tblGrid>
      <w:tr>
        <w:tblPrEx>
          <w:tblCellMar>
            <w:top w:w="0" w:type="dxa"/>
            <w:left w:w="0" w:type="dxa"/>
            <w:bottom w:w="0" w:type="dxa"/>
            <w:right w:w="0"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sz w:val="40"/>
                <w:szCs w:val="40"/>
              </w:rPr>
            </w:pPr>
            <w:r>
              <w:rPr>
                <w:rFonts w:ascii="微软雅黑" w:hAnsi="微软雅黑" w:eastAsia="微软雅黑" w:cs="微软雅黑"/>
                <w:b/>
                <w:sz w:val="40"/>
                <w:szCs w:val="40"/>
                <w:lang w:bidi="ar"/>
              </w:rPr>
              <w:t>2024年度二级项目绩效自评表</w:t>
            </w:r>
          </w:p>
        </w:tc>
      </w:tr>
      <w:tr>
        <w:tblPrEx>
          <w:tblCellMar>
            <w:top w:w="0" w:type="dxa"/>
            <w:left w:w="0" w:type="dxa"/>
            <w:bottom w:w="0" w:type="dxa"/>
            <w:right w:w="0"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1" w:firstLineChars="100"/>
              <w:jc w:val="right"/>
              <w:textAlignment w:val="center"/>
              <w:rPr>
                <w:rFonts w:hint="default" w:cs="宋体"/>
                <w:b/>
                <w:sz w:val="22"/>
                <w:szCs w:val="22"/>
              </w:rPr>
            </w:pPr>
            <w:r>
              <w:rPr>
                <w:rFonts w:cs="宋体"/>
                <w:b/>
                <w:sz w:val="22"/>
                <w:szCs w:val="22"/>
                <w:lang w:bidi="ar"/>
              </w:rPr>
              <w:t>状态：绩效审核已审</w:t>
            </w:r>
          </w:p>
        </w:tc>
      </w:tr>
      <w:tr>
        <w:tblPrEx>
          <w:tblCellMar>
            <w:top w:w="0" w:type="dxa"/>
            <w:left w:w="0" w:type="dxa"/>
            <w:bottom w:w="0" w:type="dxa"/>
            <w:right w:w="0" w:type="dxa"/>
          </w:tblCellMar>
        </w:tblPrEx>
        <w:trPr>
          <w:trHeight w:val="500" w:hRule="atLeast"/>
        </w:trPr>
        <w:tc>
          <w:tcPr>
            <w:tcW w:w="8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sz w:val="22"/>
                <w:szCs w:val="22"/>
              </w:rPr>
            </w:pPr>
            <w:r>
              <w:rPr>
                <w:rFonts w:cs="宋体"/>
                <w:b/>
                <w:sz w:val="22"/>
                <w:szCs w:val="22"/>
                <w:lang w:bidi="ar"/>
              </w:rPr>
              <w:t>项目名称：</w:t>
            </w:r>
          </w:p>
        </w:tc>
        <w:tc>
          <w:tcPr>
            <w:tcW w:w="110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企业“三类人员”生活医疗困难补助</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sz w:val="22"/>
                <w:szCs w:val="22"/>
              </w:rPr>
            </w:pPr>
            <w:r>
              <w:rPr>
                <w:rFonts w:cs="宋体"/>
                <w:b/>
                <w:sz w:val="22"/>
                <w:szCs w:val="22"/>
                <w:lang w:bidi="ar"/>
              </w:rPr>
              <w:t>项目编码：</w:t>
            </w:r>
          </w:p>
        </w:tc>
        <w:tc>
          <w:tcPr>
            <w:tcW w:w="75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50023122T000000139920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sz w:val="22"/>
                <w:szCs w:val="22"/>
              </w:rPr>
            </w:pPr>
            <w:r>
              <w:rPr>
                <w:rFonts w:cs="宋体"/>
                <w:b/>
                <w:sz w:val="22"/>
                <w:szCs w:val="22"/>
                <w:lang w:bidi="ar"/>
              </w:rPr>
              <w:t>自评总分：</w:t>
            </w:r>
          </w:p>
        </w:tc>
        <w:tc>
          <w:tcPr>
            <w:tcW w:w="59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100.00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b/>
                <w:sz w:val="22"/>
                <w:szCs w:val="22"/>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cs="宋体"/>
                <w:sz w:val="22"/>
                <w:szCs w:val="22"/>
              </w:rPr>
            </w:pPr>
          </w:p>
        </w:tc>
      </w:tr>
      <w:tr>
        <w:tblPrEx>
          <w:tblCellMar>
            <w:top w:w="0" w:type="dxa"/>
            <w:left w:w="0" w:type="dxa"/>
            <w:bottom w:w="0" w:type="dxa"/>
            <w:right w:w="0" w:type="dxa"/>
          </w:tblCellMar>
        </w:tblPrEx>
        <w:trPr>
          <w:trHeight w:val="500" w:hRule="atLeast"/>
        </w:trPr>
        <w:tc>
          <w:tcPr>
            <w:tcW w:w="8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sz w:val="22"/>
                <w:szCs w:val="22"/>
              </w:rPr>
            </w:pPr>
            <w:r>
              <w:rPr>
                <w:rFonts w:cs="宋体"/>
                <w:b/>
                <w:sz w:val="22"/>
                <w:szCs w:val="22"/>
                <w:lang w:bidi="ar"/>
              </w:rPr>
              <w:t>项目主管部门：</w:t>
            </w:r>
          </w:p>
        </w:tc>
        <w:tc>
          <w:tcPr>
            <w:tcW w:w="110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503-垫江县经济和信息化委员会</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sz w:val="22"/>
                <w:szCs w:val="22"/>
              </w:rPr>
            </w:pPr>
            <w:r>
              <w:rPr>
                <w:rFonts w:cs="宋体"/>
                <w:b/>
                <w:sz w:val="22"/>
                <w:szCs w:val="22"/>
                <w:lang w:bidi="ar"/>
              </w:rPr>
              <w:t>财政归口处室：</w:t>
            </w:r>
          </w:p>
        </w:tc>
        <w:tc>
          <w:tcPr>
            <w:tcW w:w="75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008-企业科</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sz w:val="22"/>
                <w:szCs w:val="22"/>
              </w:rPr>
            </w:pPr>
            <w:r>
              <w:rPr>
                <w:rFonts w:cs="宋体"/>
                <w:b/>
                <w:sz w:val="22"/>
                <w:szCs w:val="22"/>
                <w:lang w:bidi="ar"/>
              </w:rPr>
              <w:t>部门联系人：</w:t>
            </w:r>
          </w:p>
        </w:tc>
        <w:tc>
          <w:tcPr>
            <w:tcW w:w="59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汪老师</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sz w:val="22"/>
                <w:szCs w:val="22"/>
              </w:rPr>
            </w:pPr>
            <w:r>
              <w:rPr>
                <w:rFonts w:cs="宋体"/>
                <w:b/>
                <w:sz w:val="22"/>
                <w:szCs w:val="22"/>
                <w:lang w:bidi="ar"/>
              </w:rPr>
              <w:t>联系电话：</w:t>
            </w:r>
          </w:p>
        </w:tc>
        <w:tc>
          <w:tcPr>
            <w:tcW w:w="39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sz w:val="22"/>
                <w:szCs w:val="22"/>
                <w:lang w:bidi="ar"/>
              </w:rPr>
              <w:t>023-74512518</w:t>
            </w:r>
          </w:p>
        </w:tc>
      </w:tr>
      <w:tr>
        <w:tblPrEx>
          <w:tblCellMar>
            <w:top w:w="0" w:type="dxa"/>
            <w:left w:w="0" w:type="dxa"/>
            <w:bottom w:w="0" w:type="dxa"/>
            <w:right w:w="0"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sz w:val="28"/>
                <w:szCs w:val="28"/>
              </w:rPr>
            </w:pPr>
            <w:r>
              <w:rPr>
                <w:rFonts w:ascii="微软雅黑" w:hAnsi="微软雅黑" w:eastAsia="微软雅黑" w:cs="微软雅黑"/>
                <w:b/>
                <w:sz w:val="28"/>
                <w:szCs w:val="28"/>
                <w:lang w:bidi="ar"/>
              </w:rPr>
              <w:t>资金情况</w:t>
            </w:r>
          </w:p>
        </w:tc>
      </w:tr>
      <w:tr>
        <w:tblPrEx>
          <w:tblCellMar>
            <w:top w:w="0" w:type="dxa"/>
            <w:left w:w="0" w:type="dxa"/>
            <w:bottom w:w="0" w:type="dxa"/>
            <w:right w:w="0" w:type="dxa"/>
          </w:tblCellMar>
        </w:tblPrEx>
        <w:trPr>
          <w:trHeight w:val="500" w:hRule="atLeast"/>
        </w:trPr>
        <w:tc>
          <w:tcPr>
            <w:tcW w:w="146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sz w:val="22"/>
                <w:szCs w:val="22"/>
              </w:rPr>
            </w:pPr>
          </w:p>
        </w:tc>
        <w:tc>
          <w:tcPr>
            <w:tcW w:w="94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年初预算数</w:t>
            </w:r>
          </w:p>
        </w:tc>
        <w:tc>
          <w:tcPr>
            <w:tcW w:w="75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全年（调整）预算数</w:t>
            </w:r>
          </w:p>
        </w:tc>
        <w:tc>
          <w:tcPr>
            <w:tcW w:w="75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全年执行数</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执行率</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b/>
                <w:sz w:val="22"/>
                <w:szCs w:val="22"/>
              </w:rPr>
            </w:pPr>
            <w:r>
              <w:rPr>
                <w:rFonts w:cs="宋体"/>
                <w:b/>
                <w:sz w:val="22"/>
                <w:szCs w:val="22"/>
                <w:lang w:bidi="ar"/>
              </w:rPr>
              <w:t>执行率权重</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执行率得分</w:t>
            </w:r>
          </w:p>
        </w:tc>
      </w:tr>
      <w:tr>
        <w:tblPrEx>
          <w:tblCellMar>
            <w:top w:w="0" w:type="dxa"/>
            <w:left w:w="0" w:type="dxa"/>
            <w:bottom w:w="0" w:type="dxa"/>
            <w:right w:w="0" w:type="dxa"/>
          </w:tblCellMar>
        </w:tblPrEx>
        <w:trPr>
          <w:trHeight w:val="500" w:hRule="atLeast"/>
        </w:trPr>
        <w:tc>
          <w:tcPr>
            <w:tcW w:w="846"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textAlignment w:val="center"/>
              <w:rPr>
                <w:rFonts w:hint="default" w:cs="宋体"/>
                <w:sz w:val="22"/>
                <w:szCs w:val="22"/>
              </w:rPr>
            </w:pPr>
            <w:r>
              <w:rPr>
                <w:rFonts w:cs="宋体"/>
                <w:sz w:val="22"/>
                <w:szCs w:val="22"/>
                <w:lang w:bidi="ar"/>
              </w:rPr>
              <w:t>年度总金额</w:t>
            </w:r>
          </w:p>
        </w:tc>
        <w:tc>
          <w:tcPr>
            <w:tcW w:w="614"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sz w:val="22"/>
                <w:szCs w:val="22"/>
              </w:rPr>
            </w:pPr>
          </w:p>
        </w:tc>
        <w:tc>
          <w:tcPr>
            <w:tcW w:w="489"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sz w:val="22"/>
                <w:szCs w:val="22"/>
              </w:rPr>
            </w:pPr>
          </w:p>
        </w:tc>
        <w:tc>
          <w:tcPr>
            <w:tcW w:w="459"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sz w:val="22"/>
                <w:szCs w:val="22"/>
              </w:rPr>
            </w:pPr>
            <w:r>
              <w:rPr>
                <w:rFonts w:cs="宋体"/>
                <w:sz w:val="22"/>
                <w:szCs w:val="22"/>
                <w:lang w:bidi="ar"/>
              </w:rPr>
              <w:t xml:space="preserve">0.00 </w:t>
            </w:r>
          </w:p>
        </w:tc>
        <w:tc>
          <w:tcPr>
            <w:tcW w:w="358"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sz w:val="22"/>
                <w:szCs w:val="22"/>
              </w:rPr>
            </w:pPr>
          </w:p>
        </w:tc>
        <w:tc>
          <w:tcPr>
            <w:tcW w:w="392"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cs="宋体"/>
                <w:sz w:val="22"/>
                <w:szCs w:val="22"/>
              </w:rPr>
            </w:pPr>
            <w:r>
              <w:rPr>
                <w:rFonts w:cs="宋体"/>
                <w:sz w:val="22"/>
                <w:szCs w:val="22"/>
                <w:lang w:bidi="ar"/>
              </w:rPr>
              <w:t xml:space="preserve">113,683.00 </w:t>
            </w:r>
          </w:p>
        </w:tc>
        <w:tc>
          <w:tcPr>
            <w:tcW w:w="427"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sz w:val="22"/>
                <w:szCs w:val="22"/>
              </w:rPr>
            </w:pPr>
          </w:p>
        </w:tc>
        <w:tc>
          <w:tcPr>
            <w:tcW w:w="329"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sz w:val="22"/>
                <w:szCs w:val="22"/>
              </w:rPr>
            </w:pPr>
            <w:r>
              <w:rPr>
                <w:rFonts w:cs="宋体"/>
                <w:sz w:val="22"/>
                <w:szCs w:val="22"/>
                <w:lang w:bidi="ar"/>
              </w:rPr>
              <w:t xml:space="preserve">113,683.00 </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sz w:val="22"/>
                <w:szCs w:val="22"/>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sz w:val="22"/>
                <w:szCs w:val="22"/>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r>
      <w:tr>
        <w:tblPrEx>
          <w:tblCellMar>
            <w:top w:w="0" w:type="dxa"/>
            <w:left w:w="0" w:type="dxa"/>
            <w:bottom w:w="0" w:type="dxa"/>
            <w:right w:w="0" w:type="dxa"/>
          </w:tblCellMar>
        </w:tblPrEx>
        <w:trPr>
          <w:trHeight w:val="500" w:hRule="atLeast"/>
        </w:trPr>
        <w:tc>
          <w:tcPr>
            <w:tcW w:w="846"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textAlignment w:val="center"/>
              <w:rPr>
                <w:rFonts w:hint="default" w:cs="宋体"/>
                <w:sz w:val="22"/>
                <w:szCs w:val="22"/>
              </w:rPr>
            </w:pPr>
            <w:r>
              <w:rPr>
                <w:rFonts w:cs="宋体"/>
                <w:sz w:val="22"/>
                <w:szCs w:val="22"/>
                <w:lang w:bidi="ar"/>
              </w:rPr>
              <w:t>其中：财政拨款</w:t>
            </w:r>
          </w:p>
        </w:tc>
        <w:tc>
          <w:tcPr>
            <w:tcW w:w="614"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sz w:val="22"/>
                <w:szCs w:val="22"/>
              </w:rPr>
            </w:pPr>
          </w:p>
        </w:tc>
        <w:tc>
          <w:tcPr>
            <w:tcW w:w="489"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sz w:val="22"/>
                <w:szCs w:val="22"/>
              </w:rPr>
            </w:pPr>
          </w:p>
        </w:tc>
        <w:tc>
          <w:tcPr>
            <w:tcW w:w="459"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sz w:val="22"/>
                <w:szCs w:val="22"/>
              </w:rPr>
            </w:pPr>
            <w:r>
              <w:rPr>
                <w:rFonts w:cs="宋体"/>
                <w:sz w:val="22"/>
                <w:szCs w:val="22"/>
                <w:lang w:bidi="ar"/>
              </w:rPr>
              <w:t xml:space="preserve">0.00 </w:t>
            </w:r>
          </w:p>
        </w:tc>
        <w:tc>
          <w:tcPr>
            <w:tcW w:w="358"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sz w:val="22"/>
                <w:szCs w:val="22"/>
              </w:rPr>
            </w:pPr>
          </w:p>
        </w:tc>
        <w:tc>
          <w:tcPr>
            <w:tcW w:w="392"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cs="宋体"/>
                <w:sz w:val="22"/>
                <w:szCs w:val="22"/>
              </w:rPr>
            </w:pPr>
            <w:r>
              <w:rPr>
                <w:rFonts w:cs="宋体"/>
                <w:sz w:val="22"/>
                <w:szCs w:val="22"/>
                <w:lang w:bidi="ar"/>
              </w:rPr>
              <w:t xml:space="preserve">113,683.00 </w:t>
            </w:r>
          </w:p>
        </w:tc>
        <w:tc>
          <w:tcPr>
            <w:tcW w:w="427"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sz w:val="22"/>
                <w:szCs w:val="22"/>
              </w:rPr>
            </w:pPr>
          </w:p>
        </w:tc>
        <w:tc>
          <w:tcPr>
            <w:tcW w:w="329"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sz w:val="22"/>
                <w:szCs w:val="22"/>
              </w:rPr>
            </w:pPr>
            <w:r>
              <w:rPr>
                <w:rFonts w:cs="宋体"/>
                <w:sz w:val="22"/>
                <w:szCs w:val="22"/>
                <w:lang w:bidi="ar"/>
              </w:rPr>
              <w:t xml:space="preserve">113,683.00 </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sz w:val="22"/>
                <w:szCs w:val="22"/>
              </w:rPr>
            </w:pPr>
            <w:r>
              <w:rPr>
                <w:rFonts w:cs="宋体"/>
                <w:sz w:val="22"/>
                <w:szCs w:val="22"/>
                <w:lang w:bidi="ar"/>
              </w:rPr>
              <w:t>100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10.00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 xml:space="preserve">10.00 </w:t>
            </w:r>
          </w:p>
        </w:tc>
      </w:tr>
      <w:tr>
        <w:tblPrEx>
          <w:tblCellMar>
            <w:top w:w="0" w:type="dxa"/>
            <w:left w:w="0" w:type="dxa"/>
            <w:bottom w:w="0" w:type="dxa"/>
            <w:right w:w="0" w:type="dxa"/>
          </w:tblCellMar>
        </w:tblPrEx>
        <w:trPr>
          <w:trHeight w:val="500" w:hRule="atLeast"/>
        </w:trPr>
        <w:tc>
          <w:tcPr>
            <w:tcW w:w="846"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textAlignment w:val="center"/>
              <w:rPr>
                <w:rFonts w:hint="default" w:cs="宋体"/>
                <w:sz w:val="22"/>
                <w:szCs w:val="22"/>
              </w:rPr>
            </w:pPr>
            <w:r>
              <w:rPr>
                <w:rFonts w:cs="宋体"/>
                <w:sz w:val="22"/>
                <w:szCs w:val="22"/>
                <w:lang w:bidi="ar"/>
              </w:rPr>
              <w:t>一般公共预算</w:t>
            </w:r>
          </w:p>
        </w:tc>
        <w:tc>
          <w:tcPr>
            <w:tcW w:w="614"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sz w:val="22"/>
                <w:szCs w:val="22"/>
              </w:rPr>
            </w:pPr>
          </w:p>
        </w:tc>
        <w:tc>
          <w:tcPr>
            <w:tcW w:w="489"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sz w:val="22"/>
                <w:szCs w:val="22"/>
              </w:rPr>
            </w:pPr>
          </w:p>
        </w:tc>
        <w:tc>
          <w:tcPr>
            <w:tcW w:w="459"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sz w:val="22"/>
                <w:szCs w:val="22"/>
              </w:rPr>
            </w:pPr>
            <w:r>
              <w:rPr>
                <w:rFonts w:cs="宋体"/>
                <w:sz w:val="22"/>
                <w:szCs w:val="22"/>
                <w:lang w:bidi="ar"/>
              </w:rPr>
              <w:t xml:space="preserve">0.00 </w:t>
            </w:r>
          </w:p>
        </w:tc>
        <w:tc>
          <w:tcPr>
            <w:tcW w:w="358"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sz w:val="22"/>
                <w:szCs w:val="22"/>
              </w:rPr>
            </w:pPr>
          </w:p>
        </w:tc>
        <w:tc>
          <w:tcPr>
            <w:tcW w:w="392"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cs="宋体"/>
                <w:sz w:val="22"/>
                <w:szCs w:val="22"/>
              </w:rPr>
            </w:pPr>
            <w:r>
              <w:rPr>
                <w:rFonts w:cs="宋体"/>
                <w:sz w:val="22"/>
                <w:szCs w:val="22"/>
                <w:lang w:bidi="ar"/>
              </w:rPr>
              <w:t xml:space="preserve">113,683.00 </w:t>
            </w:r>
          </w:p>
        </w:tc>
        <w:tc>
          <w:tcPr>
            <w:tcW w:w="427"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sz w:val="22"/>
                <w:szCs w:val="22"/>
              </w:rPr>
            </w:pPr>
          </w:p>
        </w:tc>
        <w:tc>
          <w:tcPr>
            <w:tcW w:w="329"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sz w:val="22"/>
                <w:szCs w:val="22"/>
              </w:rPr>
            </w:pPr>
            <w:r>
              <w:rPr>
                <w:rFonts w:cs="宋体"/>
                <w:sz w:val="22"/>
                <w:szCs w:val="22"/>
                <w:lang w:bidi="ar"/>
              </w:rPr>
              <w:t xml:space="preserve">113,683.00 </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sz w:val="22"/>
                <w:szCs w:val="22"/>
              </w:rPr>
            </w:pPr>
            <w:r>
              <w:rPr>
                <w:rFonts w:cs="宋体"/>
                <w:sz w:val="22"/>
                <w:szCs w:val="22"/>
                <w:lang w:bidi="ar"/>
              </w:rPr>
              <w:t>100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sz w:val="22"/>
                <w:szCs w:val="22"/>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r>
      <w:tr>
        <w:tblPrEx>
          <w:tblCellMar>
            <w:top w:w="0" w:type="dxa"/>
            <w:left w:w="0" w:type="dxa"/>
            <w:bottom w:w="0" w:type="dxa"/>
            <w:right w:w="0"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sz w:val="28"/>
                <w:szCs w:val="28"/>
              </w:rPr>
            </w:pPr>
            <w:r>
              <w:rPr>
                <w:rFonts w:ascii="微软雅黑" w:hAnsi="微软雅黑" w:eastAsia="微软雅黑" w:cs="微软雅黑"/>
                <w:b/>
                <w:sz w:val="28"/>
                <w:szCs w:val="28"/>
                <w:lang w:bidi="ar"/>
              </w:rPr>
              <w:t>绩效目标</w:t>
            </w:r>
          </w:p>
        </w:tc>
      </w:tr>
      <w:tr>
        <w:tblPrEx>
          <w:tblCellMar>
            <w:top w:w="0" w:type="dxa"/>
            <w:left w:w="0" w:type="dxa"/>
            <w:bottom w:w="0" w:type="dxa"/>
            <w:right w:w="0" w:type="dxa"/>
          </w:tblCellMar>
        </w:tblPrEx>
        <w:trPr>
          <w:trHeight w:val="500" w:hRule="atLeast"/>
        </w:trPr>
        <w:tc>
          <w:tcPr>
            <w:tcW w:w="2410"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年初绩效目标</w:t>
            </w:r>
          </w:p>
        </w:tc>
        <w:tc>
          <w:tcPr>
            <w:tcW w:w="1509"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全年（调整）绩效目标</w:t>
            </w:r>
          </w:p>
        </w:tc>
        <w:tc>
          <w:tcPr>
            <w:tcW w:w="1079"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全年目标实际完成情况</w:t>
            </w:r>
          </w:p>
        </w:tc>
      </w:tr>
      <w:tr>
        <w:tblPrEx>
          <w:tblCellMar>
            <w:top w:w="0" w:type="dxa"/>
            <w:left w:w="0" w:type="dxa"/>
            <w:bottom w:w="0" w:type="dxa"/>
            <w:right w:w="0" w:type="dxa"/>
          </w:tblCellMar>
        </w:tblPrEx>
        <w:trPr>
          <w:trHeight w:val="1600" w:hRule="atLeast"/>
        </w:trPr>
        <w:tc>
          <w:tcPr>
            <w:tcW w:w="2410"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textAlignment w:val="top"/>
              <w:rPr>
                <w:rFonts w:hint="default" w:cs="宋体"/>
                <w:sz w:val="22"/>
                <w:szCs w:val="22"/>
              </w:rPr>
            </w:pPr>
            <w:r>
              <w:rPr>
                <w:rFonts w:cs="宋体"/>
                <w:sz w:val="22"/>
                <w:szCs w:val="22"/>
                <w:lang w:bidi="ar"/>
              </w:rPr>
              <w:t>根据《关于调整企业“三类人员”生活医疗困难补助标准的通知》（渝退役军人局【2020】30号），按标准对企业老复员军人、企业参战退役人员、企业参核退役人员进行补助。</w:t>
            </w:r>
          </w:p>
        </w:tc>
        <w:tc>
          <w:tcPr>
            <w:tcW w:w="1509"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textAlignment w:val="top"/>
              <w:rPr>
                <w:rFonts w:hint="default" w:cs="宋体"/>
                <w:sz w:val="22"/>
                <w:szCs w:val="22"/>
              </w:rPr>
            </w:pPr>
            <w:r>
              <w:rPr>
                <w:rFonts w:cs="宋体"/>
                <w:sz w:val="22"/>
                <w:szCs w:val="22"/>
                <w:lang w:bidi="ar"/>
              </w:rPr>
              <w:t>根据《关于调整企业“三类人员”生活医疗困难补助标准的通知》（渝退役军人局【2020】30号），按标准对企业老复员军人、企业参战退役人员、企业参核退役人员进行补助。</w:t>
            </w:r>
          </w:p>
        </w:tc>
        <w:tc>
          <w:tcPr>
            <w:tcW w:w="1079"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textAlignment w:val="top"/>
              <w:rPr>
                <w:rFonts w:hint="default" w:cs="宋体"/>
                <w:sz w:val="22"/>
                <w:szCs w:val="22"/>
              </w:rPr>
            </w:pPr>
            <w:r>
              <w:rPr>
                <w:rFonts w:cs="宋体"/>
                <w:sz w:val="22"/>
                <w:szCs w:val="22"/>
                <w:lang w:bidi="ar"/>
              </w:rPr>
              <w:t>根据《关于调整企业“三类人员”生活医疗困难补助标准的通知》（渝退役军人局【2020】30号），已按标准对企业老复员军人、企业参战退役人员、企业参核退役人员进行补助。</w:t>
            </w:r>
          </w:p>
        </w:tc>
      </w:tr>
      <w:tr>
        <w:tblPrEx>
          <w:tblCellMar>
            <w:top w:w="0" w:type="dxa"/>
            <w:left w:w="0" w:type="dxa"/>
            <w:bottom w:w="0" w:type="dxa"/>
            <w:right w:w="0"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sz w:val="28"/>
                <w:szCs w:val="28"/>
              </w:rPr>
            </w:pPr>
            <w:r>
              <w:rPr>
                <w:rFonts w:ascii="微软雅黑" w:hAnsi="微软雅黑" w:eastAsia="微软雅黑" w:cs="微软雅黑"/>
                <w:b/>
                <w:sz w:val="28"/>
                <w:szCs w:val="28"/>
                <w:lang w:bidi="ar"/>
              </w:rPr>
              <w:t>绩效指标</w:t>
            </w:r>
          </w:p>
        </w:tc>
      </w:tr>
      <w:tr>
        <w:tblPrEx>
          <w:tblCellMar>
            <w:top w:w="0" w:type="dxa"/>
            <w:left w:w="0" w:type="dxa"/>
            <w:bottom w:w="0" w:type="dxa"/>
            <w:right w:w="0" w:type="dxa"/>
          </w:tblCellMar>
        </w:tblPrEx>
        <w:trPr>
          <w:trHeight w:val="500" w:hRule="atLeast"/>
        </w:trPr>
        <w:tc>
          <w:tcPr>
            <w:tcW w:w="8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指标名称</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计量单位</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指标性质</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指标值</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全年完成值</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偏离度（%）</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得分系数（%）</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指标权重</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指标得分</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是否核心指标</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说明</w:t>
            </w:r>
          </w:p>
        </w:tc>
      </w:tr>
      <w:tr>
        <w:tblPrEx>
          <w:tblCellMar>
            <w:top w:w="0" w:type="dxa"/>
            <w:left w:w="0" w:type="dxa"/>
            <w:bottom w:w="0" w:type="dxa"/>
            <w:right w:w="0" w:type="dxa"/>
          </w:tblCellMar>
        </w:tblPrEx>
        <w:trPr>
          <w:trHeight w:val="500" w:hRule="atLeast"/>
        </w:trPr>
        <w:tc>
          <w:tcPr>
            <w:tcW w:w="8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补助人数</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人</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14</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14</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100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10</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10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否</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sz w:val="22"/>
                <w:szCs w:val="22"/>
              </w:rPr>
            </w:pPr>
          </w:p>
        </w:tc>
      </w:tr>
      <w:tr>
        <w:tblPrEx>
          <w:tblCellMar>
            <w:top w:w="0" w:type="dxa"/>
            <w:left w:w="0" w:type="dxa"/>
            <w:bottom w:w="0" w:type="dxa"/>
            <w:right w:w="0" w:type="dxa"/>
          </w:tblCellMar>
        </w:tblPrEx>
        <w:trPr>
          <w:trHeight w:val="500" w:hRule="atLeast"/>
        </w:trPr>
        <w:tc>
          <w:tcPr>
            <w:tcW w:w="8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补助发放覆盖率</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100</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100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100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10</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10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否</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sz w:val="22"/>
                <w:szCs w:val="22"/>
              </w:rPr>
            </w:pPr>
          </w:p>
        </w:tc>
      </w:tr>
      <w:tr>
        <w:tblPrEx>
          <w:tblCellMar>
            <w:top w:w="0" w:type="dxa"/>
            <w:left w:w="0" w:type="dxa"/>
            <w:bottom w:w="0" w:type="dxa"/>
            <w:right w:w="0" w:type="dxa"/>
          </w:tblCellMar>
        </w:tblPrEx>
        <w:trPr>
          <w:trHeight w:val="500" w:hRule="atLeast"/>
        </w:trPr>
        <w:tc>
          <w:tcPr>
            <w:tcW w:w="8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补助按时到位率</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100</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100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100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10</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10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否</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sz w:val="22"/>
                <w:szCs w:val="22"/>
              </w:rPr>
            </w:pPr>
          </w:p>
        </w:tc>
      </w:tr>
      <w:tr>
        <w:tblPrEx>
          <w:tblCellMar>
            <w:top w:w="0" w:type="dxa"/>
            <w:left w:w="0" w:type="dxa"/>
            <w:bottom w:w="0" w:type="dxa"/>
            <w:right w:w="0" w:type="dxa"/>
          </w:tblCellMar>
        </w:tblPrEx>
        <w:trPr>
          <w:trHeight w:val="500" w:hRule="atLeast"/>
        </w:trPr>
        <w:tc>
          <w:tcPr>
            <w:tcW w:w="8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老复员军人补助标准</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元/人*月</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1089</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1089</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100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10</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10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否</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sz w:val="22"/>
                <w:szCs w:val="22"/>
              </w:rPr>
            </w:pPr>
          </w:p>
        </w:tc>
      </w:tr>
      <w:tr>
        <w:tblPrEx>
          <w:tblCellMar>
            <w:top w:w="0" w:type="dxa"/>
            <w:left w:w="0" w:type="dxa"/>
            <w:bottom w:w="0" w:type="dxa"/>
            <w:right w:w="0" w:type="dxa"/>
          </w:tblCellMar>
        </w:tblPrEx>
        <w:trPr>
          <w:trHeight w:val="500" w:hRule="atLeast"/>
        </w:trPr>
        <w:tc>
          <w:tcPr>
            <w:tcW w:w="8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企业参战人员人均补助标准</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元/人*月</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535</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535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100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10</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10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否</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sz w:val="22"/>
                <w:szCs w:val="22"/>
              </w:rPr>
            </w:pPr>
          </w:p>
        </w:tc>
      </w:tr>
      <w:tr>
        <w:tblPrEx>
          <w:tblCellMar>
            <w:top w:w="0" w:type="dxa"/>
            <w:left w:w="0" w:type="dxa"/>
            <w:bottom w:w="0" w:type="dxa"/>
            <w:right w:w="0" w:type="dxa"/>
          </w:tblCellMar>
        </w:tblPrEx>
        <w:trPr>
          <w:trHeight w:val="500" w:hRule="atLeast"/>
        </w:trPr>
        <w:tc>
          <w:tcPr>
            <w:tcW w:w="8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补助政策知晓率</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100</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100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100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30</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30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是</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sz w:val="22"/>
                <w:szCs w:val="22"/>
              </w:rPr>
            </w:pPr>
          </w:p>
        </w:tc>
      </w:tr>
      <w:tr>
        <w:tblPrEx>
          <w:tblCellMar>
            <w:top w:w="0" w:type="dxa"/>
            <w:left w:w="0" w:type="dxa"/>
            <w:bottom w:w="0" w:type="dxa"/>
            <w:right w:w="0" w:type="dxa"/>
          </w:tblCellMar>
        </w:tblPrEx>
        <w:trPr>
          <w:trHeight w:val="500" w:hRule="atLeast"/>
        </w:trPr>
        <w:tc>
          <w:tcPr>
            <w:tcW w:w="8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服务对象满意度</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90</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90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100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10</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10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否</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sz w:val="22"/>
                <w:szCs w:val="22"/>
              </w:rPr>
            </w:pPr>
          </w:p>
        </w:tc>
      </w:tr>
    </w:tbl>
    <w:p>
      <w:pPr>
        <w:pStyle w:val="12"/>
        <w:autoSpaceDE w:val="0"/>
        <w:spacing w:before="0" w:beforeAutospacing="0" w:after="0" w:afterAutospacing="0" w:line="596" w:lineRule="exact"/>
        <w:rPr>
          <w:rFonts w:ascii="楷体" w:hAnsi="楷体" w:eastAsia="楷体" w:cs="楷体"/>
          <w:b/>
          <w:bCs/>
          <w:sz w:val="32"/>
          <w:szCs w:val="32"/>
          <w:shd w:val="clear" w:color="auto" w:fill="FFFFFF"/>
        </w:rPr>
      </w:pPr>
    </w:p>
    <w:p>
      <w:pPr>
        <w:pStyle w:val="12"/>
        <w:autoSpaceDE w:val="0"/>
        <w:spacing w:before="0" w:beforeAutospacing="0" w:after="0" w:afterAutospacing="0" w:line="596" w:lineRule="exact"/>
        <w:rPr>
          <w:rFonts w:ascii="楷体" w:hAnsi="楷体" w:eastAsia="楷体" w:cs="楷体"/>
          <w:b/>
          <w:bCs/>
          <w:sz w:val="32"/>
          <w:szCs w:val="32"/>
          <w:shd w:val="clear" w:color="auto" w:fill="FFFFFF"/>
        </w:rPr>
      </w:pPr>
    </w:p>
    <w:p>
      <w:pPr>
        <w:pStyle w:val="12"/>
        <w:autoSpaceDE w:val="0"/>
        <w:spacing w:before="0" w:beforeAutospacing="0" w:after="0" w:afterAutospacing="0" w:line="596" w:lineRule="exact"/>
        <w:rPr>
          <w:rFonts w:ascii="楷体" w:hAnsi="楷体" w:eastAsia="楷体" w:cs="楷体"/>
          <w:b/>
          <w:bCs/>
          <w:sz w:val="32"/>
          <w:szCs w:val="32"/>
          <w:shd w:val="clear" w:color="auto" w:fill="FFFFFF"/>
        </w:rPr>
      </w:pPr>
    </w:p>
    <w:p>
      <w:pPr>
        <w:pStyle w:val="12"/>
        <w:autoSpaceDE w:val="0"/>
        <w:spacing w:before="0" w:beforeAutospacing="0" w:after="0" w:afterAutospacing="0" w:line="596" w:lineRule="exact"/>
        <w:rPr>
          <w:rFonts w:ascii="楷体" w:hAnsi="楷体" w:eastAsia="楷体" w:cs="楷体"/>
          <w:b/>
          <w:bCs/>
          <w:sz w:val="32"/>
          <w:szCs w:val="32"/>
          <w:shd w:val="clear" w:color="auto" w:fill="FFFFFF"/>
        </w:rPr>
      </w:pPr>
    </w:p>
    <w:p>
      <w:pPr>
        <w:pStyle w:val="12"/>
        <w:autoSpaceDE w:val="0"/>
        <w:spacing w:before="0" w:beforeAutospacing="0" w:after="0" w:afterAutospacing="0" w:line="596" w:lineRule="exact"/>
        <w:rPr>
          <w:rFonts w:ascii="楷体" w:hAnsi="楷体" w:eastAsia="楷体" w:cs="楷体"/>
          <w:b/>
          <w:bCs/>
          <w:sz w:val="32"/>
          <w:szCs w:val="32"/>
          <w:shd w:val="clear" w:color="auto" w:fill="FFFFFF"/>
        </w:rPr>
      </w:pPr>
    </w:p>
    <w:p>
      <w:pPr>
        <w:pStyle w:val="12"/>
        <w:autoSpaceDE w:val="0"/>
        <w:spacing w:before="0" w:beforeAutospacing="0" w:after="0" w:afterAutospacing="0" w:line="596" w:lineRule="exact"/>
        <w:rPr>
          <w:rFonts w:ascii="楷体" w:hAnsi="楷体" w:eastAsia="楷体" w:cs="楷体"/>
          <w:b/>
          <w:bCs/>
          <w:sz w:val="32"/>
          <w:szCs w:val="32"/>
          <w:shd w:val="clear" w:color="auto" w:fill="FFFFFF"/>
        </w:rPr>
      </w:pPr>
    </w:p>
    <w:p>
      <w:pPr>
        <w:pStyle w:val="12"/>
        <w:autoSpaceDE w:val="0"/>
        <w:spacing w:before="0" w:beforeAutospacing="0" w:after="0" w:afterAutospacing="0" w:line="596" w:lineRule="exact"/>
        <w:rPr>
          <w:rFonts w:ascii="楷体" w:hAnsi="楷体" w:eastAsia="楷体" w:cs="楷体"/>
          <w:b/>
          <w:bCs/>
          <w:sz w:val="32"/>
          <w:szCs w:val="32"/>
          <w:shd w:val="clear" w:color="auto" w:fill="FFFFFF"/>
        </w:rPr>
      </w:pPr>
    </w:p>
    <w:p>
      <w:pPr>
        <w:pStyle w:val="12"/>
        <w:autoSpaceDE w:val="0"/>
        <w:spacing w:before="0" w:beforeAutospacing="0" w:after="0" w:afterAutospacing="0" w:line="596" w:lineRule="exact"/>
        <w:rPr>
          <w:rFonts w:ascii="楷体" w:hAnsi="楷体" w:eastAsia="楷体" w:cs="楷体"/>
          <w:b/>
          <w:bCs/>
          <w:sz w:val="32"/>
          <w:szCs w:val="32"/>
          <w:shd w:val="clear" w:color="auto" w:fill="FFFFFF"/>
        </w:rPr>
      </w:pPr>
    </w:p>
    <w:p>
      <w:pPr>
        <w:pStyle w:val="12"/>
        <w:autoSpaceDE w:val="0"/>
        <w:spacing w:before="0" w:beforeAutospacing="0" w:after="0" w:afterAutospacing="0" w:line="596" w:lineRule="exact"/>
        <w:rPr>
          <w:rFonts w:ascii="楷体" w:hAnsi="楷体" w:eastAsia="楷体" w:cs="楷体"/>
          <w:b/>
          <w:bCs/>
          <w:sz w:val="32"/>
          <w:szCs w:val="32"/>
          <w:shd w:val="clear" w:color="auto" w:fill="FFFFFF"/>
        </w:rPr>
      </w:pPr>
    </w:p>
    <w:p>
      <w:pPr>
        <w:pStyle w:val="12"/>
        <w:autoSpaceDE w:val="0"/>
        <w:spacing w:before="0" w:beforeAutospacing="0" w:after="0" w:afterAutospacing="0" w:line="596" w:lineRule="exact"/>
        <w:rPr>
          <w:rFonts w:ascii="楷体" w:hAnsi="楷体" w:eastAsia="楷体" w:cs="楷体"/>
          <w:b/>
          <w:bCs/>
          <w:sz w:val="32"/>
          <w:szCs w:val="32"/>
          <w:shd w:val="clear" w:color="auto" w:fill="FFFFFF"/>
        </w:rPr>
      </w:pPr>
    </w:p>
    <w:p>
      <w:pPr>
        <w:pStyle w:val="12"/>
        <w:autoSpaceDE w:val="0"/>
        <w:spacing w:before="0" w:beforeAutospacing="0" w:after="0" w:afterAutospacing="0" w:line="596" w:lineRule="exact"/>
        <w:rPr>
          <w:rFonts w:ascii="楷体" w:hAnsi="楷体" w:eastAsia="楷体" w:cs="楷体"/>
          <w:b/>
          <w:bCs/>
          <w:sz w:val="32"/>
          <w:szCs w:val="32"/>
          <w:shd w:val="clear" w:color="auto" w:fill="FFFFFF"/>
        </w:rPr>
      </w:pPr>
    </w:p>
    <w:p>
      <w:pPr>
        <w:pStyle w:val="12"/>
        <w:autoSpaceDE w:val="0"/>
        <w:spacing w:before="0" w:beforeAutospacing="0" w:after="0" w:afterAutospacing="0" w:line="596" w:lineRule="exact"/>
        <w:rPr>
          <w:rFonts w:ascii="楷体" w:hAnsi="楷体" w:eastAsia="楷体" w:cs="楷体"/>
          <w:b/>
          <w:bCs/>
          <w:sz w:val="32"/>
          <w:szCs w:val="32"/>
          <w:shd w:val="clear" w:color="auto" w:fill="FFFFFF"/>
        </w:rPr>
      </w:pPr>
    </w:p>
    <w:p>
      <w:pPr>
        <w:pStyle w:val="12"/>
        <w:autoSpaceDE w:val="0"/>
        <w:spacing w:before="0" w:beforeAutospacing="0" w:after="0" w:afterAutospacing="0" w:line="596" w:lineRule="exact"/>
        <w:rPr>
          <w:rFonts w:ascii="楷体" w:hAnsi="楷体" w:eastAsia="楷体" w:cs="楷体"/>
          <w:b/>
          <w:bCs/>
          <w:sz w:val="32"/>
          <w:szCs w:val="32"/>
          <w:shd w:val="clear" w:color="auto" w:fill="FFFFFF"/>
        </w:rPr>
      </w:pPr>
    </w:p>
    <w:p>
      <w:pPr>
        <w:pStyle w:val="12"/>
        <w:autoSpaceDE w:val="0"/>
        <w:spacing w:before="0" w:beforeAutospacing="0" w:after="0" w:afterAutospacing="0" w:line="596" w:lineRule="exact"/>
        <w:rPr>
          <w:rFonts w:ascii="楷体" w:hAnsi="楷体" w:eastAsia="楷体" w:cs="楷体"/>
          <w:b/>
          <w:bCs/>
          <w:sz w:val="32"/>
          <w:szCs w:val="32"/>
          <w:shd w:val="clear" w:color="auto" w:fill="FFFFFF"/>
        </w:rPr>
      </w:pPr>
    </w:p>
    <w:p>
      <w:pPr>
        <w:pStyle w:val="12"/>
        <w:autoSpaceDE w:val="0"/>
        <w:spacing w:before="0" w:beforeAutospacing="0" w:after="0" w:afterAutospacing="0" w:line="596" w:lineRule="exact"/>
        <w:rPr>
          <w:rFonts w:ascii="楷体" w:hAnsi="楷体" w:eastAsia="楷体" w:cs="楷体"/>
          <w:b/>
          <w:bCs/>
          <w:sz w:val="32"/>
          <w:szCs w:val="32"/>
          <w:shd w:val="clear" w:color="auto" w:fill="FFFFFF"/>
        </w:rPr>
      </w:pPr>
    </w:p>
    <w:p>
      <w:pPr>
        <w:pStyle w:val="12"/>
        <w:autoSpaceDE w:val="0"/>
        <w:spacing w:before="0" w:beforeAutospacing="0" w:after="0" w:afterAutospacing="0" w:line="596" w:lineRule="exact"/>
        <w:rPr>
          <w:rFonts w:ascii="楷体" w:hAnsi="楷体" w:eastAsia="楷体" w:cs="楷体"/>
          <w:b/>
          <w:bCs/>
          <w:sz w:val="32"/>
          <w:szCs w:val="32"/>
          <w:shd w:val="clear" w:color="auto" w:fill="FFFFFF"/>
        </w:rPr>
      </w:pPr>
    </w:p>
    <w:p>
      <w:pPr>
        <w:pStyle w:val="12"/>
        <w:autoSpaceDE w:val="0"/>
        <w:spacing w:before="0" w:beforeAutospacing="0" w:after="0" w:afterAutospacing="0" w:line="596" w:lineRule="exact"/>
        <w:rPr>
          <w:rFonts w:ascii="楷体" w:hAnsi="楷体" w:eastAsia="楷体" w:cs="楷体"/>
          <w:b/>
          <w:bCs/>
          <w:sz w:val="32"/>
          <w:szCs w:val="32"/>
          <w:shd w:val="clear" w:color="auto" w:fill="FFFFFF"/>
        </w:rPr>
      </w:pPr>
    </w:p>
    <w:p>
      <w:pPr>
        <w:pStyle w:val="12"/>
        <w:autoSpaceDE w:val="0"/>
        <w:spacing w:before="0" w:beforeAutospacing="0" w:after="0" w:afterAutospacing="0" w:line="596" w:lineRule="exact"/>
        <w:rPr>
          <w:rFonts w:ascii="楷体" w:hAnsi="楷体" w:eastAsia="楷体" w:cs="楷体"/>
          <w:b/>
          <w:bCs/>
          <w:sz w:val="32"/>
          <w:szCs w:val="32"/>
          <w:shd w:val="clear" w:color="auto" w:fill="FFFFFF"/>
        </w:rPr>
      </w:pPr>
    </w:p>
    <w:p>
      <w:pPr>
        <w:pStyle w:val="12"/>
        <w:autoSpaceDE w:val="0"/>
        <w:spacing w:before="0" w:beforeAutospacing="0" w:after="0" w:afterAutospacing="0" w:line="596" w:lineRule="exact"/>
        <w:rPr>
          <w:rFonts w:ascii="楷体" w:hAnsi="楷体" w:eastAsia="楷体" w:cs="楷体"/>
          <w:b/>
          <w:bCs/>
          <w:sz w:val="32"/>
          <w:szCs w:val="32"/>
          <w:shd w:val="clear" w:color="auto" w:fill="FFFFFF"/>
        </w:rPr>
      </w:pPr>
    </w:p>
    <w:p>
      <w:pPr>
        <w:pStyle w:val="12"/>
        <w:autoSpaceDE w:val="0"/>
        <w:spacing w:before="0" w:beforeAutospacing="0" w:after="0" w:afterAutospacing="0" w:line="596" w:lineRule="exact"/>
        <w:rPr>
          <w:rFonts w:ascii="楷体" w:hAnsi="楷体" w:eastAsia="楷体" w:cs="楷体"/>
          <w:b/>
          <w:bCs/>
          <w:sz w:val="32"/>
          <w:szCs w:val="32"/>
          <w:shd w:val="clear" w:color="auto" w:fill="FFFFFF"/>
        </w:rPr>
      </w:pPr>
    </w:p>
    <w:p>
      <w:pPr>
        <w:pStyle w:val="12"/>
        <w:autoSpaceDE w:val="0"/>
        <w:spacing w:before="0" w:beforeAutospacing="0" w:after="0" w:afterAutospacing="0" w:line="596" w:lineRule="exact"/>
        <w:rPr>
          <w:rFonts w:hint="eastAsia" w:ascii="楷体" w:hAnsi="楷体" w:eastAsia="楷体" w:cs="楷体"/>
          <w:b/>
          <w:bCs/>
          <w:sz w:val="32"/>
          <w:szCs w:val="32"/>
          <w:shd w:val="clear" w:color="auto" w:fill="FFFFFF"/>
        </w:rPr>
      </w:pPr>
    </w:p>
    <w:tbl>
      <w:tblPr>
        <w:tblStyle w:val="7"/>
        <w:tblpPr w:leftFromText="180" w:rightFromText="180" w:vertAnchor="text" w:horzAnchor="page" w:tblpX="995" w:tblpY="622"/>
        <w:tblOverlap w:val="never"/>
        <w:tblW w:w="0" w:type="auto"/>
        <w:tblInd w:w="0" w:type="dxa"/>
        <w:tblLayout w:type="autofit"/>
        <w:tblCellMar>
          <w:top w:w="0" w:type="dxa"/>
          <w:left w:w="0" w:type="dxa"/>
          <w:bottom w:w="0" w:type="dxa"/>
          <w:right w:w="0" w:type="dxa"/>
        </w:tblCellMar>
      </w:tblPr>
      <w:tblGrid>
        <w:gridCol w:w="1279"/>
        <w:gridCol w:w="873"/>
        <w:gridCol w:w="873"/>
        <w:gridCol w:w="822"/>
        <w:gridCol w:w="645"/>
        <w:gridCol w:w="706"/>
        <w:gridCol w:w="766"/>
        <w:gridCol w:w="483"/>
        <w:gridCol w:w="483"/>
        <w:gridCol w:w="709"/>
        <w:gridCol w:w="706"/>
      </w:tblGrid>
      <w:tr>
        <w:tblPrEx>
          <w:tblCellMar>
            <w:top w:w="0" w:type="dxa"/>
            <w:left w:w="0" w:type="dxa"/>
            <w:bottom w:w="0" w:type="dxa"/>
            <w:right w:w="0" w:type="dxa"/>
          </w:tblCellMar>
        </w:tblPrEx>
        <w:trPr>
          <w:trHeight w:val="8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sz w:val="40"/>
                <w:szCs w:val="40"/>
              </w:rPr>
            </w:pPr>
            <w:r>
              <w:rPr>
                <w:rFonts w:ascii="微软雅黑" w:hAnsi="微软雅黑" w:eastAsia="微软雅黑" w:cs="微软雅黑"/>
                <w:b/>
                <w:sz w:val="40"/>
                <w:szCs w:val="40"/>
                <w:lang w:bidi="ar"/>
              </w:rPr>
              <w:t>2024年度二级项目绩效自评表</w:t>
            </w:r>
          </w:p>
        </w:tc>
      </w:tr>
      <w:tr>
        <w:tblPrEx>
          <w:tblCellMar>
            <w:top w:w="0" w:type="dxa"/>
            <w:left w:w="0" w:type="dxa"/>
            <w:bottom w:w="0" w:type="dxa"/>
            <w:right w:w="0" w:type="dxa"/>
          </w:tblCellMar>
        </w:tblPrEx>
        <w:trPr>
          <w:trHeight w:val="5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1" w:firstLineChars="100"/>
              <w:jc w:val="right"/>
              <w:textAlignment w:val="center"/>
              <w:rPr>
                <w:rFonts w:hint="default" w:cs="宋体"/>
                <w:b/>
                <w:sz w:val="22"/>
                <w:szCs w:val="22"/>
              </w:rPr>
            </w:pPr>
            <w:r>
              <w:rPr>
                <w:rFonts w:cs="宋体"/>
                <w:b/>
                <w:sz w:val="22"/>
                <w:szCs w:val="22"/>
                <w:lang w:bidi="ar"/>
              </w:rPr>
              <w:t>状态：绩效审核已审</w:t>
            </w: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sz w:val="22"/>
                <w:szCs w:val="22"/>
              </w:rPr>
            </w:pPr>
            <w:r>
              <w:rPr>
                <w:rFonts w:cs="宋体"/>
                <w:b/>
                <w:sz w:val="22"/>
                <w:szCs w:val="22"/>
                <w:lang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元旦春节慰问金经费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sz w:val="22"/>
                <w:szCs w:val="22"/>
              </w:rPr>
            </w:pPr>
            <w:r>
              <w:rPr>
                <w:rFonts w:cs="宋体"/>
                <w:b/>
                <w:sz w:val="22"/>
                <w:szCs w:val="22"/>
                <w:lang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50023122T000000118262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sz w:val="22"/>
                <w:szCs w:val="22"/>
              </w:rPr>
            </w:pPr>
            <w:r>
              <w:rPr>
                <w:rFonts w:cs="宋体"/>
                <w:b/>
                <w:sz w:val="22"/>
                <w:szCs w:val="22"/>
                <w:lang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b/>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cs="宋体"/>
                <w:sz w:val="22"/>
                <w:szCs w:val="22"/>
              </w:rPr>
            </w:pP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sz w:val="22"/>
                <w:szCs w:val="22"/>
              </w:rPr>
            </w:pPr>
            <w:r>
              <w:rPr>
                <w:rFonts w:cs="宋体"/>
                <w:b/>
                <w:sz w:val="22"/>
                <w:szCs w:val="22"/>
                <w:lang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503-垫江县经济和信息化委员会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sz w:val="22"/>
                <w:szCs w:val="22"/>
              </w:rPr>
            </w:pPr>
            <w:r>
              <w:rPr>
                <w:rFonts w:cs="宋体"/>
                <w:b/>
                <w:sz w:val="22"/>
                <w:szCs w:val="22"/>
                <w:lang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008-企业科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sz w:val="22"/>
                <w:szCs w:val="22"/>
              </w:rPr>
            </w:pPr>
            <w:r>
              <w:rPr>
                <w:rFonts w:cs="宋体"/>
                <w:b/>
                <w:sz w:val="22"/>
                <w:szCs w:val="22"/>
                <w:lang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汪老师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sz w:val="22"/>
                <w:szCs w:val="22"/>
              </w:rPr>
            </w:pPr>
            <w:r>
              <w:rPr>
                <w:rFonts w:cs="宋体"/>
                <w:b/>
                <w:sz w:val="22"/>
                <w:szCs w:val="22"/>
                <w:lang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sz w:val="22"/>
                <w:szCs w:val="22"/>
                <w:lang w:bidi="ar"/>
              </w:rPr>
              <w:t>023-74512518</w:t>
            </w:r>
          </w:p>
        </w:tc>
      </w:tr>
      <w:tr>
        <w:tblPrEx>
          <w:tblCellMar>
            <w:top w:w="0" w:type="dxa"/>
            <w:left w:w="0" w:type="dxa"/>
            <w:bottom w:w="0" w:type="dxa"/>
            <w:right w:w="0"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sz w:val="28"/>
                <w:szCs w:val="28"/>
              </w:rPr>
            </w:pPr>
            <w:r>
              <w:rPr>
                <w:rFonts w:ascii="微软雅黑" w:hAnsi="微软雅黑" w:eastAsia="微软雅黑" w:cs="微软雅黑"/>
                <w:b/>
                <w:sz w:val="28"/>
                <w:szCs w:val="28"/>
                <w:lang w:bidi="ar"/>
              </w:rPr>
              <w:t>资金情况</w:t>
            </w:r>
          </w:p>
        </w:tc>
      </w:tr>
      <w:tr>
        <w:tblPrEx>
          <w:tblCellMar>
            <w:top w:w="0" w:type="dxa"/>
            <w:left w:w="0" w:type="dxa"/>
            <w:bottom w:w="0" w:type="dxa"/>
            <w:right w:w="0"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sz w:val="22"/>
                <w:szCs w:val="22"/>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b/>
                <w:sz w:val="22"/>
                <w:szCs w:val="22"/>
              </w:rPr>
            </w:pPr>
            <w:r>
              <w:rPr>
                <w:rFonts w:cs="宋体"/>
                <w:b/>
                <w:sz w:val="22"/>
                <w:szCs w:val="22"/>
                <w:lang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执行率得分</w:t>
            </w: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textAlignment w:val="center"/>
              <w:rPr>
                <w:rFonts w:hint="default" w:cs="宋体"/>
                <w:sz w:val="22"/>
                <w:szCs w:val="22"/>
              </w:rPr>
            </w:pPr>
            <w:r>
              <w:rPr>
                <w:rFonts w:cs="宋体"/>
                <w:sz w:val="22"/>
                <w:szCs w:val="22"/>
                <w:lang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sz w:val="22"/>
                <w:szCs w:val="22"/>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sz w:val="22"/>
                <w:szCs w:val="22"/>
              </w:rPr>
            </w:pPr>
            <w:r>
              <w:rPr>
                <w:rFonts w:cs="宋体"/>
                <w:sz w:val="22"/>
                <w:szCs w:val="22"/>
                <w:lang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sz w:val="22"/>
                <w:szCs w:val="22"/>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cs="宋体"/>
                <w:sz w:val="22"/>
                <w:szCs w:val="22"/>
              </w:rPr>
            </w:pPr>
            <w:r>
              <w:rPr>
                <w:rFonts w:cs="宋体"/>
                <w:sz w:val="22"/>
                <w:szCs w:val="22"/>
                <w:lang w:bidi="ar"/>
              </w:rPr>
              <w:t xml:space="preserve">3,500.00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sz w:val="22"/>
                <w:szCs w:val="22"/>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sz w:val="22"/>
                <w:szCs w:val="22"/>
              </w:rPr>
            </w:pPr>
            <w:r>
              <w:rPr>
                <w:rFonts w:cs="宋体"/>
                <w:sz w:val="22"/>
                <w:szCs w:val="22"/>
                <w:lang w:bidi="ar"/>
              </w:rPr>
              <w:t xml:space="preserve">3,500.00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textAlignment w:val="center"/>
              <w:rPr>
                <w:rFonts w:hint="default" w:cs="宋体"/>
                <w:sz w:val="22"/>
                <w:szCs w:val="22"/>
              </w:rPr>
            </w:pPr>
            <w:r>
              <w:rPr>
                <w:rFonts w:cs="宋体"/>
                <w:sz w:val="22"/>
                <w:szCs w:val="22"/>
                <w:lang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sz w:val="22"/>
                <w:szCs w:val="22"/>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sz w:val="22"/>
                <w:szCs w:val="22"/>
              </w:rPr>
            </w:pPr>
            <w:r>
              <w:rPr>
                <w:rFonts w:cs="宋体"/>
                <w:sz w:val="22"/>
                <w:szCs w:val="22"/>
                <w:lang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sz w:val="22"/>
                <w:szCs w:val="22"/>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cs="宋体"/>
                <w:sz w:val="22"/>
                <w:szCs w:val="22"/>
              </w:rPr>
            </w:pPr>
            <w:r>
              <w:rPr>
                <w:rFonts w:cs="宋体"/>
                <w:sz w:val="22"/>
                <w:szCs w:val="22"/>
                <w:lang w:bidi="ar"/>
              </w:rPr>
              <w:t xml:space="preserve">3,500.00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sz w:val="22"/>
                <w:szCs w:val="22"/>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sz w:val="22"/>
                <w:szCs w:val="22"/>
              </w:rPr>
            </w:pPr>
            <w:r>
              <w:rPr>
                <w:rFonts w:cs="宋体"/>
                <w:sz w:val="22"/>
                <w:szCs w:val="22"/>
                <w:lang w:bidi="ar"/>
              </w:rPr>
              <w:t xml:space="preserve">3,500.00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 xml:space="preserve">10.00 </w:t>
            </w: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textAlignment w:val="center"/>
              <w:rPr>
                <w:rFonts w:hint="default" w:cs="宋体"/>
                <w:sz w:val="22"/>
                <w:szCs w:val="22"/>
              </w:rPr>
            </w:pPr>
            <w:r>
              <w:rPr>
                <w:rFonts w:cs="宋体"/>
                <w:sz w:val="22"/>
                <w:szCs w:val="22"/>
                <w:lang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sz w:val="22"/>
                <w:szCs w:val="22"/>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sz w:val="22"/>
                <w:szCs w:val="22"/>
              </w:rPr>
            </w:pPr>
            <w:r>
              <w:rPr>
                <w:rFonts w:cs="宋体"/>
                <w:sz w:val="22"/>
                <w:szCs w:val="22"/>
                <w:lang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sz w:val="22"/>
                <w:szCs w:val="22"/>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cs="宋体"/>
                <w:sz w:val="22"/>
                <w:szCs w:val="22"/>
              </w:rPr>
            </w:pPr>
            <w:r>
              <w:rPr>
                <w:rFonts w:cs="宋体"/>
                <w:sz w:val="22"/>
                <w:szCs w:val="22"/>
                <w:lang w:bidi="ar"/>
              </w:rPr>
              <w:t xml:space="preserve">3,500.00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sz w:val="22"/>
                <w:szCs w:val="22"/>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sz w:val="22"/>
                <w:szCs w:val="22"/>
              </w:rPr>
            </w:pPr>
            <w:r>
              <w:rPr>
                <w:rFonts w:cs="宋体"/>
                <w:sz w:val="22"/>
                <w:szCs w:val="22"/>
                <w:lang w:bidi="ar"/>
              </w:rPr>
              <w:t xml:space="preserve">3,500.00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r>
      <w:tr>
        <w:tblPrEx>
          <w:tblCellMar>
            <w:top w:w="0" w:type="dxa"/>
            <w:left w:w="0" w:type="dxa"/>
            <w:bottom w:w="0" w:type="dxa"/>
            <w:right w:w="0"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sz w:val="28"/>
                <w:szCs w:val="28"/>
              </w:rPr>
            </w:pPr>
            <w:r>
              <w:rPr>
                <w:rFonts w:ascii="微软雅黑" w:hAnsi="微软雅黑" w:eastAsia="微软雅黑" w:cs="微软雅黑"/>
                <w:b/>
                <w:sz w:val="28"/>
                <w:szCs w:val="28"/>
                <w:lang w:bidi="ar"/>
              </w:rPr>
              <w:t>绩效目标</w:t>
            </w:r>
          </w:p>
        </w:tc>
      </w:tr>
      <w:tr>
        <w:tblPrEx>
          <w:tblCellMar>
            <w:top w:w="0" w:type="dxa"/>
            <w:left w:w="0" w:type="dxa"/>
            <w:bottom w:w="0" w:type="dxa"/>
            <w:right w:w="0" w:type="dxa"/>
          </w:tblCellMar>
        </w:tblPrEx>
        <w:trPr>
          <w:trHeight w:val="5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全年目标实际完成情况</w:t>
            </w:r>
          </w:p>
        </w:tc>
      </w:tr>
      <w:tr>
        <w:tblPrEx>
          <w:tblCellMar>
            <w:top w:w="0" w:type="dxa"/>
            <w:left w:w="0" w:type="dxa"/>
            <w:bottom w:w="0" w:type="dxa"/>
            <w:right w:w="0" w:type="dxa"/>
          </w:tblCellMar>
        </w:tblPrEx>
        <w:trPr>
          <w:trHeight w:val="16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textAlignment w:val="top"/>
              <w:rPr>
                <w:rFonts w:hint="default" w:cs="宋体"/>
                <w:sz w:val="22"/>
                <w:szCs w:val="22"/>
              </w:rPr>
            </w:pPr>
            <w:r>
              <w:rPr>
                <w:rFonts w:cs="宋体"/>
                <w:sz w:val="22"/>
                <w:szCs w:val="22"/>
                <w:lang w:bidi="ar"/>
              </w:rPr>
              <w:t>老党员、困难党员春节慰问</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textAlignment w:val="top"/>
              <w:rPr>
                <w:rFonts w:hint="default" w:cs="宋体"/>
                <w:sz w:val="22"/>
                <w:szCs w:val="22"/>
              </w:rPr>
            </w:pPr>
            <w:r>
              <w:rPr>
                <w:rFonts w:cs="宋体"/>
                <w:sz w:val="22"/>
                <w:szCs w:val="22"/>
                <w:lang w:bidi="ar"/>
              </w:rPr>
              <w:t>老党员、困难党员春节慰问</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textAlignment w:val="top"/>
              <w:rPr>
                <w:rFonts w:hint="default" w:cs="宋体"/>
                <w:sz w:val="22"/>
                <w:szCs w:val="22"/>
              </w:rPr>
            </w:pPr>
            <w:r>
              <w:rPr>
                <w:rFonts w:cs="宋体"/>
                <w:sz w:val="22"/>
                <w:szCs w:val="22"/>
                <w:lang w:bidi="ar"/>
              </w:rPr>
              <w:t>已完成老党员、困难党员春节慰问</w:t>
            </w:r>
          </w:p>
        </w:tc>
      </w:tr>
      <w:tr>
        <w:tblPrEx>
          <w:tblCellMar>
            <w:top w:w="0" w:type="dxa"/>
            <w:left w:w="0" w:type="dxa"/>
            <w:bottom w:w="0" w:type="dxa"/>
            <w:right w:w="0"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sz w:val="28"/>
                <w:szCs w:val="28"/>
              </w:rPr>
            </w:pPr>
            <w:r>
              <w:rPr>
                <w:rFonts w:ascii="微软雅黑" w:hAnsi="微软雅黑" w:eastAsia="微软雅黑" w:cs="微软雅黑"/>
                <w:b/>
                <w:sz w:val="28"/>
                <w:szCs w:val="28"/>
                <w:lang w:bidi="ar"/>
              </w:rPr>
              <w:t>绩效指标</w:t>
            </w: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说明</w:t>
            </w: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慰问人数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sz w:val="22"/>
                <w:szCs w:val="22"/>
              </w:rPr>
            </w:pP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慰问服务合格率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sz w:val="22"/>
                <w:szCs w:val="22"/>
              </w:rPr>
            </w:pP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慰问服务按时到位率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sz w:val="22"/>
                <w:szCs w:val="22"/>
              </w:rPr>
            </w:pP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体现对困难党员的关怀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sz w:val="22"/>
                <w:szCs w:val="22"/>
              </w:rPr>
            </w:pP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慰问服务满意度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5.26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sz w:val="22"/>
                <w:szCs w:val="22"/>
              </w:rPr>
            </w:pP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慰问标准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元/人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sz w:val="22"/>
                <w:szCs w:val="22"/>
              </w:rPr>
            </w:pPr>
          </w:p>
        </w:tc>
      </w:tr>
    </w:tbl>
    <w:p>
      <w:pPr>
        <w:pStyle w:val="12"/>
        <w:autoSpaceDE w:val="0"/>
        <w:spacing w:before="0" w:beforeAutospacing="0" w:after="0" w:afterAutospacing="0" w:line="596" w:lineRule="exact"/>
        <w:rPr>
          <w:rFonts w:hint="eastAsia" w:ascii="楷体" w:hAnsi="楷体" w:eastAsia="楷体" w:cs="楷体"/>
          <w:b/>
          <w:bCs/>
          <w:sz w:val="32"/>
          <w:szCs w:val="32"/>
          <w:shd w:val="clear" w:color="auto" w:fill="FFFFFF"/>
        </w:rPr>
      </w:pPr>
    </w:p>
    <w:p>
      <w:pPr>
        <w:pStyle w:val="12"/>
        <w:autoSpaceDE w:val="0"/>
        <w:spacing w:before="0" w:beforeAutospacing="0" w:after="0" w:afterAutospacing="0" w:line="596" w:lineRule="exact"/>
        <w:ind w:firstLine="643" w:firstLineChars="200"/>
        <w:rPr>
          <w:rFonts w:hint="eastAsia" w:ascii="楷体" w:hAnsi="楷体" w:eastAsia="楷体" w:cs="楷体"/>
          <w:b/>
          <w:bCs/>
          <w:sz w:val="32"/>
          <w:szCs w:val="32"/>
          <w:shd w:val="clear" w:color="auto" w:fill="FFFFFF"/>
        </w:rPr>
      </w:pPr>
    </w:p>
    <w:p>
      <w:pPr>
        <w:pStyle w:val="12"/>
        <w:autoSpaceDE w:val="0"/>
        <w:spacing w:before="0" w:beforeAutospacing="0" w:after="0" w:afterAutospacing="0" w:line="596" w:lineRule="exact"/>
        <w:ind w:firstLine="643" w:firstLineChars="200"/>
        <w:rPr>
          <w:rFonts w:hint="eastAsia" w:ascii="楷体" w:hAnsi="楷体" w:eastAsia="楷体" w:cs="楷体"/>
          <w:b/>
          <w:bCs/>
          <w:sz w:val="32"/>
          <w:szCs w:val="32"/>
          <w:shd w:val="clear" w:color="auto" w:fill="FFFFFF"/>
        </w:rPr>
      </w:pPr>
    </w:p>
    <w:p>
      <w:pPr>
        <w:pStyle w:val="12"/>
        <w:autoSpaceDE w:val="0"/>
        <w:spacing w:before="0" w:beforeAutospacing="0" w:after="0" w:afterAutospacing="0" w:line="596" w:lineRule="exact"/>
        <w:ind w:firstLine="643" w:firstLineChars="200"/>
        <w:rPr>
          <w:rFonts w:hint="eastAsia" w:ascii="楷体" w:hAnsi="楷体" w:eastAsia="楷体" w:cs="楷体"/>
          <w:b/>
          <w:bCs/>
          <w:sz w:val="32"/>
          <w:szCs w:val="32"/>
          <w:shd w:val="clear" w:color="auto" w:fill="FFFFFF"/>
        </w:rPr>
      </w:pPr>
    </w:p>
    <w:p>
      <w:pPr>
        <w:pStyle w:val="12"/>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（二）部门绩效评价情况</w:t>
      </w:r>
    </w:p>
    <w:p>
      <w:pPr>
        <w:pStyle w:val="16"/>
        <w:autoSpaceDE w:val="0"/>
        <w:spacing w:line="596" w:lineRule="exact"/>
        <w:ind w:firstLine="64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lang w:bidi="ar"/>
        </w:rPr>
        <w:t>本年度本部门未组织开展绩效评价。</w:t>
      </w:r>
    </w:p>
    <w:p>
      <w:pPr>
        <w:pStyle w:val="16"/>
        <w:autoSpaceDE w:val="0"/>
        <w:spacing w:line="596" w:lineRule="exact"/>
        <w:ind w:firstLine="643"/>
        <w:rPr>
          <w:rFonts w:hint="default" w:ascii="楷体" w:hAnsi="楷体" w:eastAsia="楷体" w:cs="楷体"/>
          <w:b/>
          <w:bCs/>
          <w:sz w:val="32"/>
          <w:szCs w:val="32"/>
          <w:shd w:val="clear" w:color="auto" w:fill="FFFFFF"/>
          <w:lang w:bidi="ar"/>
        </w:rPr>
      </w:pPr>
      <w:r>
        <w:rPr>
          <w:rFonts w:ascii="楷体" w:hAnsi="楷体" w:eastAsia="楷体" w:cs="楷体"/>
          <w:b/>
          <w:bCs/>
          <w:sz w:val="32"/>
          <w:szCs w:val="32"/>
          <w:shd w:val="clear" w:color="auto" w:fill="FFFFFF"/>
          <w:lang w:bidi="ar"/>
        </w:rPr>
        <w:t>（三）财政绩效评价情况</w:t>
      </w:r>
    </w:p>
    <w:p>
      <w:pPr>
        <w:pStyle w:val="16"/>
        <w:autoSpaceDE w:val="0"/>
        <w:spacing w:line="596" w:lineRule="exact"/>
        <w:ind w:firstLine="640"/>
        <w:rPr>
          <w:rFonts w:hint="eastAsia" w:ascii="方正仿宋_GBK" w:hAnsi="方正仿宋_GBK" w:eastAsia="方正仿宋_GBK" w:cs="方正仿宋_GBK"/>
          <w:color w:val="auto"/>
          <w:sz w:val="32"/>
          <w:szCs w:val="32"/>
          <w:highlight w:val="none"/>
          <w:shd w:val="clear" w:color="auto" w:fill="FFFFFF"/>
          <w:lang w:eastAsia="zh-CN"/>
        </w:rPr>
      </w:pPr>
      <w:r>
        <w:rPr>
          <w:rFonts w:ascii="方正仿宋_GBK" w:hAnsi="方正仿宋_GBK" w:eastAsia="方正仿宋_GBK" w:cs="方正仿宋_GBK"/>
          <w:sz w:val="32"/>
          <w:szCs w:val="32"/>
          <w:shd w:val="clear" w:color="auto" w:fill="FFFFFF"/>
        </w:rPr>
        <w:t>县财政局未委托第三方对我部门开展</w:t>
      </w:r>
      <w:r>
        <w:rPr>
          <w:rFonts w:hint="eastAsia" w:ascii="方正仿宋_GBK" w:hAnsi="方正仿宋_GBK" w:eastAsia="方正仿宋_GBK" w:cs="方正仿宋_GBK"/>
          <w:sz w:val="32"/>
          <w:szCs w:val="32"/>
          <w:shd w:val="clear" w:color="auto" w:fill="FFFFFF"/>
          <w:lang w:val="en-US" w:eastAsia="zh-CN"/>
        </w:rPr>
        <w:t>部门整体</w:t>
      </w:r>
      <w:r>
        <w:rPr>
          <w:rFonts w:ascii="方正仿宋_GBK" w:hAnsi="方正仿宋_GBK" w:eastAsia="方正仿宋_GBK" w:cs="方正仿宋_GBK"/>
          <w:sz w:val="32"/>
          <w:szCs w:val="32"/>
          <w:shd w:val="clear" w:color="auto" w:fill="FFFFFF"/>
        </w:rPr>
        <w:t>绩效评价</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color w:val="auto"/>
          <w:sz w:val="32"/>
          <w:szCs w:val="32"/>
          <w:highlight w:val="none"/>
          <w:shd w:val="clear" w:color="auto" w:fill="FFFFFF"/>
        </w:rPr>
        <w:t>涉及财政拨款项目资金</w:t>
      </w:r>
      <w:r>
        <w:rPr>
          <w:rFonts w:hint="eastAsia" w:ascii="方正仿宋_GBK" w:hAnsi="方正仿宋_GBK" w:eastAsia="方正仿宋_GBK" w:cs="方正仿宋_GBK"/>
          <w:color w:val="auto"/>
          <w:sz w:val="32"/>
          <w:szCs w:val="32"/>
          <w:highlight w:val="none"/>
          <w:shd w:val="clear" w:color="auto" w:fill="FFFFFF"/>
          <w:lang w:val="en-US" w:eastAsia="zh-CN"/>
        </w:rPr>
        <w:t>4981.68</w:t>
      </w:r>
      <w:r>
        <w:rPr>
          <w:rFonts w:ascii="方正仿宋_GBK" w:hAnsi="方正仿宋_GBK" w:eastAsia="方正仿宋_GBK" w:cs="方正仿宋_GBK"/>
          <w:color w:val="auto"/>
          <w:sz w:val="32"/>
          <w:szCs w:val="32"/>
          <w:highlight w:val="none"/>
          <w:shd w:val="clear" w:color="auto" w:fill="FFFFFF"/>
        </w:rPr>
        <w:t>万元，评价得分</w:t>
      </w:r>
      <w:r>
        <w:rPr>
          <w:rFonts w:hint="eastAsia" w:ascii="方正仿宋_GBK" w:hAnsi="方正仿宋_GBK" w:eastAsia="方正仿宋_GBK" w:cs="方正仿宋_GBK"/>
          <w:color w:val="auto"/>
          <w:sz w:val="32"/>
          <w:szCs w:val="32"/>
          <w:highlight w:val="none"/>
          <w:shd w:val="clear" w:color="auto" w:fill="FFFFFF"/>
          <w:lang w:val="en-US" w:eastAsia="zh-CN"/>
        </w:rPr>
        <w:t>90.47</w:t>
      </w:r>
      <w:r>
        <w:rPr>
          <w:rFonts w:ascii="方正仿宋_GBK" w:hAnsi="方正仿宋_GBK" w:eastAsia="方正仿宋_GBK" w:cs="方正仿宋_GBK"/>
          <w:color w:val="auto"/>
          <w:sz w:val="32"/>
          <w:szCs w:val="32"/>
          <w:highlight w:val="none"/>
          <w:shd w:val="clear" w:color="auto" w:fill="FFFFFF"/>
        </w:rPr>
        <w:t>分，评价等次为</w:t>
      </w:r>
      <w:r>
        <w:rPr>
          <w:rFonts w:hint="eastAsia" w:ascii="方正仿宋_GBK" w:hAnsi="方正仿宋_GBK" w:eastAsia="方正仿宋_GBK" w:cs="方正仿宋_GBK"/>
          <w:color w:val="auto"/>
          <w:sz w:val="32"/>
          <w:szCs w:val="32"/>
          <w:highlight w:val="none"/>
          <w:shd w:val="clear" w:color="auto" w:fill="FFFFFF"/>
          <w:lang w:val="en-US" w:eastAsia="zh-CN"/>
        </w:rPr>
        <w:t>优</w:t>
      </w:r>
      <w:r>
        <w:rPr>
          <w:rFonts w:ascii="方正仿宋_GBK" w:hAnsi="方正仿宋_GBK" w:eastAsia="方正仿宋_GBK" w:cs="方正仿宋_GBK"/>
          <w:color w:val="auto"/>
          <w:sz w:val="32"/>
          <w:szCs w:val="32"/>
          <w:highlight w:val="none"/>
          <w:shd w:val="clear" w:color="auto" w:fill="FFFFFF"/>
        </w:rPr>
        <w:t>，</w:t>
      </w:r>
      <w:r>
        <w:rPr>
          <w:rFonts w:hint="eastAsia" w:ascii="方正仿宋_GBK" w:hAnsi="方正仿宋_GBK" w:eastAsia="方正仿宋_GBK" w:cs="方正仿宋_GBK"/>
          <w:color w:val="auto"/>
          <w:sz w:val="32"/>
          <w:szCs w:val="32"/>
          <w:highlight w:val="none"/>
          <w:shd w:val="clear" w:color="auto" w:fill="FFFFFF"/>
          <w:lang w:val="en-US" w:eastAsia="zh-CN"/>
        </w:rPr>
        <w:t>部门整体</w:t>
      </w:r>
      <w:r>
        <w:rPr>
          <w:rFonts w:ascii="方正仿宋_GBK" w:hAnsi="方正仿宋_GBK" w:eastAsia="方正仿宋_GBK" w:cs="方正仿宋_GBK"/>
          <w:color w:val="auto"/>
          <w:sz w:val="32"/>
          <w:szCs w:val="32"/>
          <w:highlight w:val="none"/>
          <w:shd w:val="clear" w:color="auto" w:fill="FFFFFF"/>
        </w:rPr>
        <w:t>绩效评价发现了</w:t>
      </w:r>
      <w:r>
        <w:rPr>
          <w:rFonts w:hint="eastAsia" w:ascii="方正仿宋_GBK" w:hAnsi="方正仿宋_GBK" w:eastAsia="方正仿宋_GBK" w:cs="方正仿宋_GBK"/>
          <w:color w:val="auto"/>
          <w:sz w:val="32"/>
          <w:szCs w:val="32"/>
          <w:highlight w:val="none"/>
          <w:shd w:val="clear" w:color="auto" w:fill="FFFFFF"/>
        </w:rPr>
        <w:t>绩效目标缺乏具体性，绩效指标不够全面精准；“三公”经费超年初预算，绩效调整程序不到位；财务人员操作失误，资金退回程序失范；项目过程监管不足，全过程管理机制缺失</w:t>
      </w:r>
      <w:r>
        <w:rPr>
          <w:rFonts w:ascii="方正仿宋_GBK" w:hAnsi="方正仿宋_GBK" w:eastAsia="方正仿宋_GBK" w:cs="方正仿宋_GBK"/>
          <w:color w:val="auto"/>
          <w:sz w:val="32"/>
          <w:szCs w:val="32"/>
          <w:highlight w:val="none"/>
          <w:shd w:val="clear" w:color="auto" w:fill="FFFFFF"/>
        </w:rPr>
        <w:t>等主要问题，提出</w:t>
      </w:r>
      <w:r>
        <w:rPr>
          <w:rFonts w:hint="eastAsia" w:ascii="方正仿宋_GBK" w:hAnsi="方正仿宋_GBK" w:eastAsia="方正仿宋_GBK" w:cs="方正仿宋_GBK"/>
          <w:color w:val="auto"/>
          <w:sz w:val="32"/>
          <w:szCs w:val="32"/>
          <w:highlight w:val="none"/>
          <w:shd w:val="clear" w:color="auto" w:fill="FFFFFF"/>
        </w:rPr>
        <w:t>细化绩效目标描述，优化绩效指标设置</w:t>
      </w:r>
      <w:r>
        <w:rPr>
          <w:rFonts w:hint="eastAsia" w:ascii="方正仿宋_GBK" w:hAnsi="方正仿宋_GBK" w:eastAsia="方正仿宋_GBK" w:cs="方正仿宋_GBK"/>
          <w:color w:val="auto"/>
          <w:sz w:val="32"/>
          <w:szCs w:val="32"/>
          <w:highlight w:val="none"/>
          <w:shd w:val="clear" w:color="auto" w:fill="FFFFFF"/>
          <w:lang w:eastAsia="zh-CN"/>
        </w:rPr>
        <w:t>；动态调整绩效目标与预算编制，强化改革过渡期预算衔接；加强资金审核机制，确保资金使用到位；建立健全全过程监管体系，明确监管责任与能力建设</w:t>
      </w:r>
      <w:r>
        <w:rPr>
          <w:rFonts w:ascii="方正仿宋_GBK" w:hAnsi="方正仿宋_GBK" w:eastAsia="方正仿宋_GBK" w:cs="方正仿宋_GBK"/>
          <w:color w:val="auto"/>
          <w:sz w:val="32"/>
          <w:szCs w:val="32"/>
          <w:highlight w:val="none"/>
          <w:shd w:val="clear" w:color="auto" w:fill="FFFFFF"/>
        </w:rPr>
        <w:t>等下一步工作建议</w:t>
      </w:r>
      <w:r>
        <w:rPr>
          <w:rFonts w:hint="eastAsia" w:ascii="方正仿宋_GBK" w:hAnsi="方正仿宋_GBK" w:eastAsia="方正仿宋_GBK" w:cs="方正仿宋_GBK"/>
          <w:color w:val="auto"/>
          <w:sz w:val="32"/>
          <w:szCs w:val="32"/>
          <w:highlight w:val="none"/>
          <w:shd w:val="clear" w:color="auto" w:fill="FFFFFF"/>
          <w:lang w:eastAsia="zh-CN"/>
        </w:rPr>
        <w:t>。</w:t>
      </w:r>
    </w:p>
    <w:p>
      <w:pPr>
        <w:pStyle w:val="16"/>
        <w:autoSpaceDE w:val="0"/>
        <w:spacing w:line="596" w:lineRule="exact"/>
        <w:ind w:firstLine="640"/>
        <w:rPr>
          <w:rFonts w:ascii="方正仿宋_GBK" w:hAnsi="方正仿宋_GBK" w:eastAsia="方正仿宋_GBK" w:cs="方正仿宋_GBK"/>
          <w:sz w:val="32"/>
          <w:szCs w:val="32"/>
          <w:shd w:val="clear" w:color="auto" w:fill="FFFFFF"/>
        </w:rPr>
      </w:pPr>
    </w:p>
    <w:p>
      <w:pPr>
        <w:pStyle w:val="12"/>
        <w:autoSpaceDE w:val="0"/>
        <w:spacing w:before="0" w:beforeAutospacing="0" w:after="0" w:afterAutospacing="0" w:line="596" w:lineRule="exact"/>
        <w:rPr>
          <w:rFonts w:ascii="方正仿宋_GBK" w:hAnsi="方正仿宋_GBK" w:eastAsia="方正仿宋_GBK" w:cs="方正仿宋_GBK"/>
          <w:sz w:val="32"/>
          <w:szCs w:val="32"/>
        </w:rPr>
      </w:pPr>
      <w:r>
        <w:rPr>
          <w:rStyle w:val="13"/>
          <w:rFonts w:hint="eastAsia" w:ascii="方正仿宋_GBK" w:hAnsi="方正仿宋_GBK" w:eastAsia="方正仿宋_GBK" w:cs="方正仿宋_GBK"/>
          <w:sz w:val="32"/>
          <w:szCs w:val="32"/>
          <w:shd w:val="clear" w:color="auto" w:fill="FFFFFF"/>
        </w:rPr>
        <w:t xml:space="preserve">   </w:t>
      </w:r>
      <w:r>
        <w:rPr>
          <w:rStyle w:val="10"/>
          <w:rFonts w:hint="eastAsia" w:ascii="黑体" w:hAnsi="黑体" w:eastAsia="黑体" w:cs="黑体"/>
          <w:sz w:val="32"/>
          <w:szCs w:val="32"/>
          <w:shd w:val="clear" w:color="auto" w:fill="FFFFFF"/>
        </w:rPr>
        <w:t xml:space="preserve"> 六、专业名词解释</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（五）使用非财政拨款结余：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黑体" w:hAnsi="黑体" w:eastAsia="黑体" w:cs="黑体"/>
          <w:sz w:val="32"/>
          <w:szCs w:val="32"/>
          <w:shd w:val="clear" w:color="auto" w:fill="FFFFFF"/>
        </w:rPr>
        <w:t>七、决算公开联系方式及信息反馈渠道</w:t>
      </w:r>
    </w:p>
    <w:p>
      <w:pPr>
        <w:pStyle w:val="12"/>
        <w:spacing w:before="0" w:beforeAutospacing="0" w:after="0" w:afterAutospacing="0" w:line="596"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本单位决算公开信息反馈和联系方式：高老师   023-74682339</w:t>
      </w:r>
    </w:p>
    <w:p>
      <w:pPr>
        <w:pStyle w:val="11"/>
        <w:autoSpaceDE w:val="0"/>
        <w:spacing w:line="596" w:lineRule="exact"/>
        <w:ind w:firstLine="643"/>
        <w:jc w:val="both"/>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ascii="Arial" w:hAnsi="Arial" w:cs="Arial"/>
                <w:color w:val="000000"/>
                <w:sz w:val="22"/>
                <w:szCs w:val="22"/>
              </w:rPr>
            </w:pPr>
            <w:r>
              <w:rPr>
                <w:rFonts w:cs="宋体"/>
                <w:sz w:val="20"/>
                <w:szCs w:val="20"/>
              </w:rPr>
              <w:t>部门：</w:t>
            </w:r>
            <w:r>
              <w:rPr>
                <w:sz w:val="20"/>
              </w:rPr>
              <w:t>垫江县经济和信息化委员会</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3,611.20</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1,076.15</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2,601.50</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428.50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41.30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2,601.50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157.97</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476.14</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6,212.69</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6,332.59</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120.98</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6,333.68</w:t>
            </w:r>
            <w:r>
              <w:rPr>
                <w:rFonts w:ascii="Times New Roman" w:hAnsi="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6,333.68</w:t>
            </w:r>
            <w:r>
              <w:rPr>
                <w:rFonts w:ascii="Times New Roman" w:hAnsi="Times New Roman"/>
                <w:color w:val="000000"/>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5059" w:type="pct"/>
        <w:tblInd w:w="0" w:type="dxa"/>
        <w:tblLayout w:type="fixed"/>
        <w:tblCellMar>
          <w:top w:w="0" w:type="dxa"/>
          <w:left w:w="0" w:type="dxa"/>
          <w:bottom w:w="0" w:type="dxa"/>
          <w:right w:w="0" w:type="dxa"/>
        </w:tblCellMar>
      </w:tblPr>
      <w:tblGrid>
        <w:gridCol w:w="1361"/>
        <w:gridCol w:w="2974"/>
        <w:gridCol w:w="1377"/>
        <w:gridCol w:w="1430"/>
        <w:gridCol w:w="1464"/>
        <w:gridCol w:w="1355"/>
        <w:gridCol w:w="1386"/>
        <w:gridCol w:w="1256"/>
        <w:gridCol w:w="1256"/>
        <w:gridCol w:w="1646"/>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部门：</w:t>
            </w:r>
            <w:r>
              <w:rPr>
                <w:sz w:val="20"/>
              </w:rPr>
              <w:t>垫江县经济和信息化委员会</w:t>
            </w:r>
          </w:p>
        </w:tc>
        <w:tc>
          <w:tcPr>
            <w:tcW w:w="46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84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39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39"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58"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3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6,212.69</w:t>
            </w:r>
            <w:r>
              <w:rPr>
                <w:rFonts w:ascii="Times New Roman" w:hAnsi="Times New Roman"/>
                <w:b/>
                <w:color w:val="000000"/>
                <w:sz w:val="20"/>
              </w:rPr>
              <w:t xml:space="preserve"> </w:t>
            </w:r>
          </w:p>
        </w:tc>
        <w:tc>
          <w:tcPr>
            <w:tcW w:w="4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6,212.69</w:t>
            </w:r>
            <w:r>
              <w:rPr>
                <w:rFonts w:ascii="Times New Roman" w:hAnsi="Times New Roman"/>
                <w:b/>
                <w:color w:val="000000"/>
                <w:sz w:val="20"/>
              </w:rPr>
              <w:t xml:space="preserve"> </w:t>
            </w:r>
          </w:p>
        </w:tc>
        <w:tc>
          <w:tcPr>
            <w:tcW w:w="4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970.94</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970.94</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760.27</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760.27</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302.06</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302.06</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96.53</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96.53</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2010350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359.28</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359.28</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其他政府办公厅（室）及相关机构事务支出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商贸事务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210.33</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210.33</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2011301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82.85</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82.85</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2011308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招商引资</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65.07</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65.07</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2011350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62.40</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62.40</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0.35</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0.35</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0.35</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0.35</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421.97</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421.97</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349.50</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349.50</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105.86</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105.86</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52.91</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52.91</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190.73</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190.73</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59.67</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59.67</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死亡抚恤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48.30</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48.30</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在乡复员、退伍军人生活补助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11.37</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11.37</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其他社会保障和就业支出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12.51</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12.51</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2089999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其他社会保障和就业支出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12.51</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12.51</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41.30</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41.30</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41.30</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41.30</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25.60</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25.60</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15.70</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15.70</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1,550.00</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1,550.00</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21113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循环经济</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1,550.00</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1,550.00</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2111301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循环经济</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1,550.00</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1,550.00</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2,601.50</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2,601.50</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21298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超长期特别国债安排的支出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2,601.50</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2,601.50</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2129801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城乡社区公共设施</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2,601.50</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2,601.50</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资源勘探工业信息等支出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149.81</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149.81</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支持中小企业发展和管理支出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149.81</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149.81</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2150805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中小企业发展专项</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149.81</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149.81</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476.14</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476.14</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414.00</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414.00</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老旧小区改造</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414.00</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414.00</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62.14</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62.14</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62.14</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62.14</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7"/>
        <w:tblW w:w="5000" w:type="pct"/>
        <w:tblInd w:w="0" w:type="dxa"/>
        <w:tblLayout w:type="fixed"/>
        <w:tblCellMar>
          <w:top w:w="0" w:type="dxa"/>
          <w:left w:w="0" w:type="dxa"/>
          <w:bottom w:w="0" w:type="dxa"/>
          <w:right w:w="0" w:type="dxa"/>
        </w:tblCellMar>
      </w:tblPr>
      <w:tblGrid>
        <w:gridCol w:w="1234"/>
        <w:gridCol w:w="3917"/>
        <w:gridCol w:w="1799"/>
        <w:gridCol w:w="1737"/>
        <w:gridCol w:w="1569"/>
        <w:gridCol w:w="1508"/>
        <w:gridCol w:w="1670"/>
        <w:gridCol w:w="1888"/>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 xml:space="preserve">垫江县经济和信息化委员会 </w:t>
            </w:r>
          </w:p>
        </w:tc>
        <w:tc>
          <w:tcPr>
            <w:tcW w:w="5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268"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4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0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277"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6,332.59</w:t>
            </w:r>
            <w:r>
              <w:rPr>
                <w:rFonts w:ascii="Times New Roman" w:hAnsi="Times New Roman"/>
                <w:b/>
                <w:color w:val="000000"/>
                <w:sz w:val="20"/>
              </w:rPr>
              <w:t xml:space="preserve"> </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1,350.91</w:t>
            </w:r>
            <w:r>
              <w:rPr>
                <w:rFonts w:ascii="Times New Roman" w:hAnsi="Times New Roman"/>
                <w:b/>
                <w:color w:val="000000"/>
                <w:sz w:val="20"/>
              </w:rPr>
              <w:t xml:space="preserve"> </w:t>
            </w:r>
          </w:p>
        </w:tc>
        <w:tc>
          <w:tcPr>
            <w:tcW w:w="5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4,981.68</w:t>
            </w:r>
            <w:r>
              <w:rPr>
                <w:rFonts w:ascii="Times New Roman" w:hAnsi="Times New Roman"/>
                <w:b/>
                <w:color w:val="000000"/>
                <w:sz w:val="20"/>
              </w:rPr>
              <w:t xml:space="preserve"> </w:t>
            </w:r>
          </w:p>
        </w:tc>
        <w:tc>
          <w:tcPr>
            <w:tcW w:w="4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6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1,076.15</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840.75</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235.40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865.47</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695.49</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169.98</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336.13</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336.13</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167.58</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167.58</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2010350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359.36</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359.36</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其他政府办公厅（室）及相关机构事务支出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商贸事务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210.33</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145.25</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65.07</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2011301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82.85</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82.85</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2011308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招商引资</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65.07</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65.07</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2011350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62.40</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62.40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0.35</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0.35</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0.35</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0.35</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428.50</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405.69</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22.81</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356.03</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356.03</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110.16</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110.16</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55.14</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55.14</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190.73</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190.73</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59.67</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48.30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11.37</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死亡抚恤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48.30</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在乡复员、退伍军人生活补助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11.37</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11.37</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其他社会保障和就业支出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12.51</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11.15</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2089999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其他社会保障和就业支出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12.51</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11.15</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41.30</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41.30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41.30</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41.30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25.60</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25.60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15.70</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1,550.00</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1,550.00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21113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循环经济</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1,550.00</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1,550.00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2111301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循环经济</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1,550.00</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2,601.50</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2,601.50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21298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超长期特别国债安排的支出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2,601.50</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2,601.50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2129801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城乡社区公共设施</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2,601.50</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2,601.50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资源勘探工业信息等支出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157.97</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157.97</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支持中小企业发展和管理支出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157.97</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157.97</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2150805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中小企业发展专项</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157.97</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157.97</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476.14</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62.14</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414.00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414.00</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414.00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老旧小区改造</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414.00</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414.00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62.14</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62.14</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62.14</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62.14</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rPr>
              <w:t>垫江县经济和信息化委员会</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3,611.20</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1,075.75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1,075.75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2,601.50</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428.50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428.50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41.30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41.30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1,550.00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1,550.00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2,601.50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2,601.50</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157.97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157.97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476.14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476.14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6,212.69</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6,332.18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3,730.69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2,601.50</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120.58</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120.58</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6,333.28</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6,333.28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3,731.78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2,601.50</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垫江县经济和信息化委员会</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3,730.69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1,350.51</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2,380.18</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1,075.75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840.35</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235.40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865.07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695.09</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169.98</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335.73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335.73</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167.58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167.58</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359.36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359.36</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其他政府办公厅（室）及相关机构事务支出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商贸事务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210.33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145.25</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65.07</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82.85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82.85</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2011308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招商引资</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65.07</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65.07</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2011350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62.40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62.40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0.35</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0.35</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1.03</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1.03</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1.03</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428.50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405.69</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22.81</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356.03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356.03</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110.16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110.16</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55.14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55.14</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190.73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190.73</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59.67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48.30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11.37</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死亡抚恤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48.30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48.30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在乡复员、退伍军人生活补助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11.37</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11.37</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12.51</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1.36</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11.15</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2089999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12.51</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1.36</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11.15</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41.30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41.30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41.30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41.30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25.60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25.60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15.70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15.70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1,550.00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1,550.00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循环经济</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1,550.00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1,550.00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2111301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循环经济</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1,550.00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1,550.00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资源勘探工业信息等支出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157.97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157.97</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支持中小企业发展和管理支出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157.97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157.97</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2150805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中小企业发展专项</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157.97</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157.97</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476.14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62.14</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414.00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414.00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414.00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老旧小区改造</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414.00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414.00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62.14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62.14</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62.14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62.14</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4994" w:type="pct"/>
        <w:tblInd w:w="0" w:type="dxa"/>
        <w:tblLayout w:type="autofit"/>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rPr>
              <w:t>垫江县经济和信息化委员会</w:t>
            </w:r>
          </w:p>
        </w:tc>
        <w:tc>
          <w:tcPr>
            <w:tcW w:w="4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918.41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190.90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183.85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16.38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64.78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122.32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244.03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110.16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55.14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13.70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41.30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41.11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62.14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16.36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241.20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48.30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178.76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11.44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13.60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14.78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43.38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1,159.61</w:t>
            </w:r>
            <w:r>
              <w:rPr>
                <w:rFonts w:ascii="Times New Roman" w:hAnsi="Times New Roman"/>
                <w:color w:val="000000"/>
                <w:sz w:val="18"/>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190.90</w:t>
            </w:r>
            <w:r>
              <w:rPr>
                <w:rFonts w:ascii="Times New Roman" w:hAnsi="Times New Roman"/>
                <w:color w:val="000000"/>
                <w:sz w:val="18"/>
              </w:rPr>
              <w:t xml:space="preserve"> </w:t>
            </w:r>
          </w:p>
        </w:tc>
      </w:tr>
    </w:tbl>
    <w:p>
      <w:pPr>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387"/>
        <w:gridCol w:w="3527"/>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垫江县经济和信息化委员会</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2,601.50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2,601.50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2,601.50</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城乡社区支出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2,601.50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2,601.50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2,601.50</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21298</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超长期特别国债安排的支出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2,601.50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2,601.50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2,601.50</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2129801</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城乡社区公共设施</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2,601.50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2,601.50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2,601.50</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备注：1.本表反映部门本年度政府性基金预算财政拨款收入支出及结转和结余情况。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305"/>
        <w:gridCol w:w="3604"/>
        <w:gridCol w:w="3272"/>
        <w:gridCol w:w="190"/>
        <w:gridCol w:w="3463"/>
        <w:gridCol w:w="86"/>
        <w:gridCol w:w="3402"/>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垫江县经济和信息化委员会</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48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4611" w:type="pct"/>
        <w:tblInd w:w="0" w:type="dxa"/>
        <w:tblLayout w:type="autofit"/>
        <w:tblCellMar>
          <w:top w:w="0" w:type="dxa"/>
          <w:left w:w="170" w:type="dxa"/>
          <w:bottom w:w="0" w:type="dxa"/>
          <w:right w:w="170" w:type="dxa"/>
        </w:tblCellMar>
      </w:tblPr>
      <w:tblGrid>
        <w:gridCol w:w="3162"/>
        <w:gridCol w:w="2402"/>
        <w:gridCol w:w="2360"/>
        <w:gridCol w:w="3726"/>
        <w:gridCol w:w="2480"/>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sz w:val="20"/>
                <w:szCs w:val="20"/>
              </w:rPr>
              <w:t>部门</w:t>
            </w:r>
            <w:r>
              <w:rPr>
                <w:rFonts w:cs="宋体"/>
                <w:color w:val="000000"/>
                <w:kern w:val="2"/>
                <w:sz w:val="20"/>
                <w:szCs w:val="20"/>
              </w:rPr>
              <w:t>：</w:t>
            </w:r>
            <w:r>
              <w:rPr>
                <w:color w:val="000000"/>
                <w:sz w:val="20"/>
              </w:rPr>
              <w:t>垫江县经济和信息化委员会</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127.38</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57.24</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57.24</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127.38</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8.00</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8.00</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8.00</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8.00</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49.24</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49.24</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49.24</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230</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2,920</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2.14</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1.03</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64.32</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286385" cy="147955"/>
              <wp:effectExtent l="0" t="0" r="0" b="0"/>
              <wp:wrapNone/>
              <wp:docPr id="3" name="Text Box 2"/>
              <wp:cNvGraphicFramePr/>
              <a:graphic xmlns:a="http://schemas.openxmlformats.org/drawingml/2006/main">
                <a:graphicData uri="http://schemas.microsoft.com/office/word/2010/wordprocessingShape">
                  <wps:wsp>
                    <wps:cNvSpPr txBox="1">
                      <a:spLocks noChangeArrowheads="1"/>
                    </wps:cNvSpPr>
                    <wps:spPr bwMode="auto">
                      <a:xfrm>
                        <a:off x="0" y="0"/>
                        <a:ext cx="286385" cy="147955"/>
                      </a:xfrm>
                      <a:prstGeom prst="rect">
                        <a:avLst/>
                      </a:prstGeom>
                      <a:noFill/>
                      <a:ln>
                        <a:noFill/>
                      </a:ln>
                    </wps:spPr>
                    <wps:txbx>
                      <w:txbxContent>
                        <w:p>
                          <w:pPr>
                            <w:pStyle w:val="3"/>
                            <w:rPr>
                              <w:rFonts w:hint="default"/>
                            </w:rPr>
                          </w:pPr>
                          <w:r>
                            <w:fldChar w:fldCharType="begin"/>
                          </w:r>
                          <w:r>
                            <w:instrText xml:space="preserve"> PAGE  \* MERGEFORMAT </w:instrText>
                          </w:r>
                          <w:r>
                            <w:fldChar w:fldCharType="separate"/>
                          </w:r>
                          <w:r>
                            <w:rPr>
                              <w:rFonts w:hint="default"/>
                            </w:rPr>
                            <w:t>- 19 -</w:t>
                          </w:r>
                          <w:r>
                            <w:fldChar w:fldCharType="end"/>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1.65pt;width:22.55pt;mso-position-horizontal:center;mso-position-horizontal-relative:margin;mso-wrap-style:none;z-index:251661312;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x6Oy3/sBAAABBAAADgAAAGRycy9lMm9Eb2MueG1srVPBbtswDL0P&#10;2D8Iui9O0qXLjDhF1yDDgK4b0O4DZFmOhVmiQCmxs68fJdtZ11162MWgKerxvUdqc9Oblp0Ueg22&#10;4IvZnDNlJVTaHgr+42n/bs2ZD8JWogWrCn5Wnt9s377ZdC5XS2igrRQyArE+71zBmxBcnmVeNsoI&#10;PwOnLB3WgEYE+sVDVqHoCN202XI+v846wMohSOU9ZXfDIR8R8TWAUNdaqh3Io1E2DKioWhFIkm+0&#10;83yb2Na1kuFbXXsVWFtwUhrSl5pQXMZvtt2I/IDCNVqOFMRrKLzQZIS21PQCtRNBsCPqf6CMlgge&#10;6jCTYLJBSHKEVCzmL7x5bIRTSQtZ7d3FdP//YOXD6TsyXRX8ijMrDA38SfWBfYKeLaM7nfM5FT06&#10;Kgs9pWlnklLv7kH+9MzCXSPsQd0iQtcoURG7RbyZPbs64PgIUnZfoaI24hggAfU1mmgdmcEInSZz&#10;vkwmUpGUXK6vr9YrziQdLd5/+LhapQ4iny479OGzAsNiUHCkwSdwcbr3IZIR+VQSe1nY67ZNw2/t&#10;XwkqjJlEPvIdmIe+7EczSqjOJANh2CV6SRQ0gL8462iPCm7p2XDWfrFkRFy5KcApKKdAWEkXCx44&#10;G8K7MKzm0aE+NIQ7WX1LZu11EhJdHTiMLGkzkr5xi+PqPf9PVX9e7vY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H/8bMdIAAAADAQAADwAAAAAAAAABACAAAAAiAAAAZHJzL2Rvd25yZXYueG1sUEsB&#10;AhQAFAAAAAgAh07iQMejst/7AQAAAQQAAA4AAAAAAAAAAQAgAAAAIQEAAGRycy9lMm9Eb2MueG1s&#10;UEsFBgAAAAAGAAYAWQEAAI4FAAAAAA==&#10;">
              <v:fill on="f" focussize="0,0"/>
              <v:stroke on="f"/>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400685" cy="147955"/>
              <wp:effectExtent l="0" t="0" r="0" b="0"/>
              <wp:wrapNone/>
              <wp:docPr id="2" name="Text Box 4"/>
              <wp:cNvGraphicFramePr/>
              <a:graphic xmlns:a="http://schemas.openxmlformats.org/drawingml/2006/main">
                <a:graphicData uri="http://schemas.microsoft.com/office/word/2010/wordprocessingShape">
                  <wps:wsp>
                    <wps:cNvSpPr txBox="1">
                      <a:spLocks noChangeArrowheads="1"/>
                    </wps:cNvSpPr>
                    <wps:spPr bwMode="auto">
                      <a:xfrm>
                        <a:off x="0" y="0"/>
                        <a:ext cx="400685" cy="147955"/>
                      </a:xfrm>
                      <a:prstGeom prst="rect">
                        <a:avLst/>
                      </a:prstGeom>
                      <a:noFill/>
                      <a:ln>
                        <a:noFill/>
                      </a:ln>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29 -</w:t>
                          </w:r>
                          <w:r>
                            <w:fldChar w:fldCharType="end"/>
                          </w:r>
                          <w:r>
                            <w:t xml:space="preserve"> </w:t>
                          </w: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1.65pt;width:31.55pt;mso-position-horizontal:center;mso-position-horizontal-relative:margin;mso-wrap-style:none;z-index:251660288;mso-width-relative:page;mso-height-relative:page;" filled="f" stroked="f" coordsize="21600,21600" o:allowoverlap="f" o:gfxdata="UEsDBAoAAAAAAIdO4kAAAAAAAAAAAAAAAAAEAAAAZHJzL1BLAwQUAAAACACHTuJAGUOo8tEAAAAD&#10;AQAADwAAAGRycy9kb3ducmV2LnhtbE2PwWrDMBBE74X8g9hAb43sGNLgWs4h0EtvTUuht421sUyl&#10;lZEUx/77qr20l4Vhhpm3zWF2VkwU4uBZQbkpQBB3Xg/cK3h/e37Yg4gJWaP1TAoWinBoV3cN1trf&#10;+JWmU+pFLuFYowKT0lhLGTtDDuPGj8TZu/jgMGUZeqkD3nK5s3JbFDvpcOC8YHCko6Hu63R1Ch7n&#10;D09jpCN9XqYumGHZ25dFqft1WTyBSDSnvzD84Gd0aDPT2V9ZR2EV5EfS783eripBnBVsqwpk28j/&#10;7O03UEsDBBQAAAAIAIdO4kB/MUHY+gEAAAEEAAAOAAAAZHJzL2Uyb0RvYy54bWytU8Fu2zAMvQ/Y&#10;Pwi6L06CZOuMOEXXIMOAbh3Q9gNkWY6FWaJAKbGzrx8l21nXXnrYxaAp6vG9R2pz3ZuWnRR6Dbbg&#10;i9mcM2UlVNoeCv70uP9wxZkPwlaiBasKflaeX2/fv9t0LldLaKCtFDICsT7vXMGbEFyeZV42ygg/&#10;A6csHdaARgT6xUNWoegI3bTZcj7/mHWAlUOQynvK7oZDPiLiWwChrrVUO5BHo2wYUFG1IpAk32jn&#10;+TaxrWslw31dexVYW3BSGtKXmlBcxm+23Yj8gMI1Wo4UxFsovNBkhLbU9AK1E0GwI+pXUEZLBA91&#10;mEkw2SAkOUIqFvMX3jw0wqmkhaz27mK6/3+w8sfpJzJdFXzJmRWGBv6o+sC+QM9W0Z3O+ZyKHhyV&#10;hZ7StDNJqXd3IH95ZuG2EfagbhCha5SoiN0i3syeXR1wfAQpu+9QURtxDJCA+hpNtI7MYIROkzlf&#10;JhOpSEquaHGu1pxJOlqsPn1er1MHkU+XHfrwVYFhMSg40uATuDjd+RDJiHwqib0s7HXbpuG39p8E&#10;FcZMIh/5DsxDX/ajGSVUZ5KBMOwSvSQKGsDfnHW0RwW39Gw4a79ZMiKu3BTgFJRTIKykiwUPnA3h&#10;bRhW8+hQHxrCnay+IbP2OgmJrg4cRpa0GUnfuMVx9Z7/p6q/L3f7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BlDqPLRAAAAAwEAAA8AAAAAAAAAAQAgAAAAIgAAAGRycy9kb3ducmV2LnhtbFBLAQIU&#10;ABQAAAAIAIdO4kB/MUHY+gEAAAEEAAAOAAAAAAAAAAEAIAAAACABAABkcnMvZTJvRG9jLnhtbFBL&#10;BQYAAAAABgAGAFkBAACMBQAAAAA=&#10;">
              <v:fill on="f" focussize="0,0"/>
              <v:stroke on="f"/>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29 -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572135" cy="220980"/>
              <wp:effectExtent l="0" t="1905" r="0" b="0"/>
              <wp:wrapNone/>
              <wp:docPr id="1" name="Text Box 3"/>
              <wp:cNvGraphicFramePr/>
              <a:graphic xmlns:a="http://schemas.openxmlformats.org/drawingml/2006/main">
                <a:graphicData uri="http://schemas.microsoft.com/office/word/2010/wordprocessingShape">
                  <wps:wsp>
                    <wps:cNvSpPr txBox="1">
                      <a:spLocks noChangeArrowheads="1"/>
                    </wps:cNvSpPr>
                    <wps:spPr bwMode="auto">
                      <a:xfrm>
                        <a:off x="0" y="0"/>
                        <a:ext cx="572135" cy="220980"/>
                      </a:xfrm>
                      <a:prstGeom prst="rect">
                        <a:avLst/>
                      </a:prstGeom>
                      <a:noFill/>
                      <a:ln>
                        <a:noFill/>
                      </a:ln>
                    </wps:spPr>
                    <wps:txbx>
                      <w:txbxContent>
                        <w:p>
                          <w:pPr>
                            <w:pStyle w:val="3"/>
                            <w:jc w:val="both"/>
                            <w:rPr>
                              <w:rFonts w:hint="default" w:cs="宋体"/>
                            </w:rPr>
                          </w:pPr>
                          <w:r>
                            <w:rPr>
                              <w:rFonts w:cs="宋体"/>
                            </w:rPr>
                            <w:t>— 27.1 —</w:t>
                          </w:r>
                        </w:p>
                      </w:txbxContent>
                    </wps:txbx>
                    <wps:bodyPr rot="0" vert="horz" wrap="none" lIns="0" tIns="0" rIns="0" bIns="0" anchor="t" anchorCtr="0" upright="1">
                      <a:noAutofit/>
                    </wps:bodyPr>
                  </wps:wsp>
                </a:graphicData>
              </a:graphic>
            </wp:anchor>
          </w:drawing>
        </mc:Choice>
        <mc:Fallback>
          <w:pict>
            <v:shape id="Text Box 3" o:spid="_x0000_s1026" o:spt="202" type="#_x0000_t202" style="position:absolute;left:0pt;margin-top:1160.4pt;height:17.4pt;width:45.05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DJfoUNYAAAAJ&#10;AQAADwAAAGRycy9kb3ducmV2LnhtbE2PwU7DMAyG70i8Q2QkbixJ0aZRmu6A4MikjV24pY3Xdmuc&#10;qkm38vZ4Jzjav/X7+4rN7HtxwTF2gQzohQKBVAfXUWPg8PXxtAYRkyVn+0Bo4AcjbMr7u8LmLlxp&#10;h5d9agSXUMytgTalIZcy1i16GxdhQOLsGEZvE49jI91or1zue5kptZLedsQfWjvgW4v1eT95A8fP&#10;7fn0Pu3UqVFr/NYjzpXeGvP4oNUriIRz+juGGz6jQ8lMVZjIRdEbYJFkIHvOFBtw/qI0iOq2WS5X&#10;IMtC/jcofwFQSwMEFAAAAAgAh07iQPR4q4X7AQAAAQQAAA4AAABkcnMvZTJvRG9jLnhtbK1TwW7b&#10;MAy9D9g/CLovTlJ064w4Rdegw4BuHdDuAxhZjoVZokApsbOvHyXHWdddethFoCjq6b1HanU92E4c&#10;NAWDrpKL2VwK7RTWxu0q+ePp7t2VFCGCq6FDpyt51EFer9++WfW+1Etssas1CQZxoex9JdsYfVkU&#10;QbXaQpih144PGyQLkbe0K2qCntFtVyzn8/dFj1R7QqVD4OxmPJQnRHoNIDaNUXqDam+1iyMq6Q4i&#10;Swqt8UGuM9um0So+NE3QUXSVZKUxr/wIx9u0FusVlDsC3xp1ogCvofBCkwXj+NEz1AYiiD2Zf6Cs&#10;UYQBmzhTaItRSHaEVSzmL7x5bMHrrIWtDv5sevh/sOrb4TsJU/MkSOHAcsOf9BDFJxzERXKn96Hk&#10;okfPZXHgdKpMSoO/R/UzCIe3LbidviHCvtVQM7tFulk8uzrihASy7b9izc/APmIGGhqyCZDNEIzO&#10;nTmeO5OoKE5eflguLi6lUHy0XM4/XuXOFVBOlz2F+FmjFSmoJHHjMzgc7kNMZKCcStJbDu9M1+Xm&#10;d+6vBBemTCaf+I7M47AdTmZssT6yDMJxlvgncdAi/ZKi5zmqpONvI0X3xbERaeSmgKZgOwXgFF+s&#10;ZJRiDG/jOJp7T2bXMu5otcMbNqsxWUhydeRwYsmTkfWdpjiN3vN9rvrzc9e/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yX6FDWAAAACQEAAA8AAAAAAAAAAQAgAAAAIgAAAGRycy9kb3ducmV2Lnht&#10;bFBLAQIUABQAAAAIAIdO4kD0eKuF+wEAAAEEAAAOAAAAAAAAAAEAIAAAACUBAABkcnMvZTJvRG9j&#10;LnhtbFBLBQYAAAAABgAGAFkBAACSBQAAAAA=&#10;">
              <v:fill on="f" focussize="0,0"/>
              <v:stroke on="f"/>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g4MWM2YmFhNjI2ZjBiMzdmZDQ5YWQxZGNmMDQ4ZWEifQ=="/>
  </w:docVars>
  <w:rsids>
    <w:rsidRoot w:val="00B03CCD"/>
    <w:rsid w:val="000C01CC"/>
    <w:rsid w:val="000D7702"/>
    <w:rsid w:val="000F6721"/>
    <w:rsid w:val="001632EC"/>
    <w:rsid w:val="00195842"/>
    <w:rsid w:val="001B00FF"/>
    <w:rsid w:val="00261065"/>
    <w:rsid w:val="002D0E5A"/>
    <w:rsid w:val="002D71F4"/>
    <w:rsid w:val="002E5443"/>
    <w:rsid w:val="0032196C"/>
    <w:rsid w:val="0048053B"/>
    <w:rsid w:val="004852DA"/>
    <w:rsid w:val="004C12FF"/>
    <w:rsid w:val="004D0390"/>
    <w:rsid w:val="00550ABE"/>
    <w:rsid w:val="005B023C"/>
    <w:rsid w:val="005C1D7A"/>
    <w:rsid w:val="00600322"/>
    <w:rsid w:val="006137D7"/>
    <w:rsid w:val="00634FA8"/>
    <w:rsid w:val="0063613A"/>
    <w:rsid w:val="0068170B"/>
    <w:rsid w:val="006E2034"/>
    <w:rsid w:val="00732392"/>
    <w:rsid w:val="007444D3"/>
    <w:rsid w:val="00792285"/>
    <w:rsid w:val="007A0D2E"/>
    <w:rsid w:val="007A3314"/>
    <w:rsid w:val="007B419D"/>
    <w:rsid w:val="007C5C5B"/>
    <w:rsid w:val="007D3B8B"/>
    <w:rsid w:val="00810F13"/>
    <w:rsid w:val="00826B47"/>
    <w:rsid w:val="00893689"/>
    <w:rsid w:val="009101F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90D88"/>
    <w:rsid w:val="00BF5A85"/>
    <w:rsid w:val="00C307F6"/>
    <w:rsid w:val="00C96B11"/>
    <w:rsid w:val="00C97747"/>
    <w:rsid w:val="00CC6B99"/>
    <w:rsid w:val="00CE7C41"/>
    <w:rsid w:val="00DF7706"/>
    <w:rsid w:val="00E05175"/>
    <w:rsid w:val="00E654E2"/>
    <w:rsid w:val="00E76362"/>
    <w:rsid w:val="00E86B80"/>
    <w:rsid w:val="00EB6A10"/>
    <w:rsid w:val="00F137D3"/>
    <w:rsid w:val="00F13C36"/>
    <w:rsid w:val="00F23C68"/>
    <w:rsid w:val="00F32C53"/>
    <w:rsid w:val="00F73F90"/>
    <w:rsid w:val="00F7623D"/>
    <w:rsid w:val="00F8598B"/>
    <w:rsid w:val="00FA0819"/>
    <w:rsid w:val="00FB7EF0"/>
    <w:rsid w:val="00FF5B6C"/>
    <w:rsid w:val="01474EBF"/>
    <w:rsid w:val="01F3521E"/>
    <w:rsid w:val="03077B2E"/>
    <w:rsid w:val="03B87EA0"/>
    <w:rsid w:val="03E3214F"/>
    <w:rsid w:val="044C50BA"/>
    <w:rsid w:val="05BC6D49"/>
    <w:rsid w:val="06194FF1"/>
    <w:rsid w:val="06A2550B"/>
    <w:rsid w:val="06F80EE2"/>
    <w:rsid w:val="07001CCA"/>
    <w:rsid w:val="075678DB"/>
    <w:rsid w:val="079D7CC7"/>
    <w:rsid w:val="07BC0069"/>
    <w:rsid w:val="07DB159D"/>
    <w:rsid w:val="08051BCA"/>
    <w:rsid w:val="086C12F4"/>
    <w:rsid w:val="08BA052C"/>
    <w:rsid w:val="08DB07BA"/>
    <w:rsid w:val="0969353F"/>
    <w:rsid w:val="098305D0"/>
    <w:rsid w:val="098A0877"/>
    <w:rsid w:val="09EB234F"/>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586B67"/>
    <w:rsid w:val="11643A4B"/>
    <w:rsid w:val="11ED0F98"/>
    <w:rsid w:val="11F03528"/>
    <w:rsid w:val="12C921C4"/>
    <w:rsid w:val="12F52ECF"/>
    <w:rsid w:val="13871C70"/>
    <w:rsid w:val="13A71CB4"/>
    <w:rsid w:val="13AF1D43"/>
    <w:rsid w:val="13CE1647"/>
    <w:rsid w:val="13DA0C25"/>
    <w:rsid w:val="13FD55AB"/>
    <w:rsid w:val="14200702"/>
    <w:rsid w:val="147A4E5B"/>
    <w:rsid w:val="14907817"/>
    <w:rsid w:val="15012F98"/>
    <w:rsid w:val="163A6CEE"/>
    <w:rsid w:val="173708E3"/>
    <w:rsid w:val="174C19C7"/>
    <w:rsid w:val="17C374FC"/>
    <w:rsid w:val="189079DC"/>
    <w:rsid w:val="189B0D0B"/>
    <w:rsid w:val="18AF03BF"/>
    <w:rsid w:val="18B43F7C"/>
    <w:rsid w:val="194A1770"/>
    <w:rsid w:val="19B906A4"/>
    <w:rsid w:val="19FB026E"/>
    <w:rsid w:val="1B6F15B6"/>
    <w:rsid w:val="1B7925A9"/>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1556F04"/>
    <w:rsid w:val="22403BD3"/>
    <w:rsid w:val="23DA37D9"/>
    <w:rsid w:val="24B92327"/>
    <w:rsid w:val="24C14514"/>
    <w:rsid w:val="2533755C"/>
    <w:rsid w:val="25791755"/>
    <w:rsid w:val="26396DF4"/>
    <w:rsid w:val="27167136"/>
    <w:rsid w:val="27B23302"/>
    <w:rsid w:val="29310A5F"/>
    <w:rsid w:val="29C37A35"/>
    <w:rsid w:val="2A076083"/>
    <w:rsid w:val="2A73162E"/>
    <w:rsid w:val="2A751F0B"/>
    <w:rsid w:val="2AD336FA"/>
    <w:rsid w:val="2B167953"/>
    <w:rsid w:val="2B200583"/>
    <w:rsid w:val="2B220436"/>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20513"/>
    <w:rsid w:val="32770556"/>
    <w:rsid w:val="329C0913"/>
    <w:rsid w:val="32AA0460"/>
    <w:rsid w:val="3337290D"/>
    <w:rsid w:val="33E31118"/>
    <w:rsid w:val="33EF7674"/>
    <w:rsid w:val="34265197"/>
    <w:rsid w:val="342D7BC6"/>
    <w:rsid w:val="34475F39"/>
    <w:rsid w:val="352930DB"/>
    <w:rsid w:val="35573069"/>
    <w:rsid w:val="355F6038"/>
    <w:rsid w:val="358C217E"/>
    <w:rsid w:val="35937598"/>
    <w:rsid w:val="36C9128A"/>
    <w:rsid w:val="372E3953"/>
    <w:rsid w:val="37380D39"/>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3F6E28"/>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587117"/>
    <w:rsid w:val="44C37687"/>
    <w:rsid w:val="45CB699A"/>
    <w:rsid w:val="465B470D"/>
    <w:rsid w:val="469D6AD4"/>
    <w:rsid w:val="471E6C84"/>
    <w:rsid w:val="4748792B"/>
    <w:rsid w:val="475D719D"/>
    <w:rsid w:val="47674801"/>
    <w:rsid w:val="47BE2FB2"/>
    <w:rsid w:val="48225EF7"/>
    <w:rsid w:val="488423D9"/>
    <w:rsid w:val="488F422B"/>
    <w:rsid w:val="48E36915"/>
    <w:rsid w:val="495C4A24"/>
    <w:rsid w:val="497135DF"/>
    <w:rsid w:val="49DC0734"/>
    <w:rsid w:val="4A1605D9"/>
    <w:rsid w:val="4A263DF2"/>
    <w:rsid w:val="4A3C3F57"/>
    <w:rsid w:val="4A6F6675"/>
    <w:rsid w:val="4A810B27"/>
    <w:rsid w:val="4ABF0746"/>
    <w:rsid w:val="4B0502DF"/>
    <w:rsid w:val="4B135857"/>
    <w:rsid w:val="4B7951CB"/>
    <w:rsid w:val="4B7C315C"/>
    <w:rsid w:val="4CCF773C"/>
    <w:rsid w:val="4DAC4ACA"/>
    <w:rsid w:val="4DBE01D2"/>
    <w:rsid w:val="4EC9255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86A2B4F"/>
    <w:rsid w:val="59DE7D85"/>
    <w:rsid w:val="5A3B59D6"/>
    <w:rsid w:val="5AD134D8"/>
    <w:rsid w:val="5B6503B1"/>
    <w:rsid w:val="5C0F7EC4"/>
    <w:rsid w:val="5C263CE4"/>
    <w:rsid w:val="5C5D2777"/>
    <w:rsid w:val="5CF66BF3"/>
    <w:rsid w:val="5D290C69"/>
    <w:rsid w:val="5F2D4A41"/>
    <w:rsid w:val="60A8201A"/>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7C7C55"/>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9B130C7"/>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520131"/>
    <w:rsid w:val="71C34D91"/>
    <w:rsid w:val="72AD5811"/>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96D60A4"/>
    <w:rsid w:val="79A031D5"/>
    <w:rsid w:val="7A1525F7"/>
    <w:rsid w:val="7B420052"/>
    <w:rsid w:val="7B861484"/>
    <w:rsid w:val="7BD06A28"/>
    <w:rsid w:val="7C3A7C0B"/>
    <w:rsid w:val="7C5248E4"/>
    <w:rsid w:val="7C566698"/>
    <w:rsid w:val="7C5866A3"/>
    <w:rsid w:val="7CBE2F89"/>
    <w:rsid w:val="7D7406BB"/>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autoRedefine/>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 w:type="paragraph" w:customStyle="1" w:styleId="16">
    <w:name w:val="列出段落3"/>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34</Pages>
  <Words>3569</Words>
  <Characters>20347</Characters>
  <Lines>169</Lines>
  <Paragraphs>47</Paragraphs>
  <TotalTime>3</TotalTime>
  <ScaleCrop>false</ScaleCrop>
  <LinksUpToDate>false</LinksUpToDate>
  <CharactersWithSpaces>23869</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2025-08-29T02:22:00Z</dcterms:created>
  <dc:creator>Administrator</dc:creator>
  <cp:lastModifiedBy>WPS_1664260647</cp:lastModifiedBy>
  <dcterms:modified xsi:type="dcterms:W3CDTF">2025-09-24T07:57:41Z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BB46EABDBB2749749395447164B066B3_12</vt:lpwstr>
  </property>
  <property fmtid="{D5CDD505-2E9C-101B-9397-08002B2CF9AE}" pid="4" name="KSOTemplateDocerSaveRecord">
    <vt:lpwstr>eyJoZGlkIjoiMDUwMjYyMTAwZTM5NTcxOGVhNzI3YWZjMDRhMjZkZDEifQ==</vt:lpwstr>
  </property>
</Properties>
</file>