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垫江县中小企业服务中心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bookmarkStart w:id="0" w:name="_GoBack"/>
      <w:bookmarkEnd w:id="0"/>
    </w:p>
    <w:p>
      <w:pPr>
        <w:pStyle w:val="6"/>
        <w:keepNext w:val="0"/>
        <w:keepLines w:val="0"/>
        <w:pageBreakBefore w:val="0"/>
        <w:shd w:val="clear" w:color="auto" w:fill="FFFFFF"/>
        <w:kinsoku/>
        <w:wordWrap/>
        <w:overflowPunct/>
        <w:topLinePunct w:val="0"/>
        <w:autoSpaceDN/>
        <w:bidi w:val="0"/>
        <w:spacing w:beforeAutospacing="0" w:afterAutospacing="0"/>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1.</w:t>
      </w:r>
      <w:r>
        <w:rPr>
          <w:rFonts w:hint="default" w:ascii="Times New Roman" w:hAnsi="Times New Roman" w:eastAsia="方正仿宋_GBK"/>
          <w:sz w:val="32"/>
          <w:szCs w:val="32"/>
        </w:rPr>
        <w:t>参与全县工业企业有关政策和中长期发展规划调研。</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2.</w:t>
      </w:r>
      <w:r>
        <w:rPr>
          <w:rFonts w:hint="default" w:ascii="Times New Roman" w:hAnsi="Times New Roman" w:eastAsia="方正仿宋_GBK"/>
          <w:sz w:val="32"/>
          <w:szCs w:val="32"/>
        </w:rPr>
        <w:t>负责招商投资环境和产业投资相关宣传推介服务</w:t>
      </w:r>
      <w:r>
        <w:rPr>
          <w:rFonts w:ascii="Times New Roman" w:hAnsi="Times New Roman" w:eastAsia="方正仿宋_GBK"/>
          <w:sz w:val="32"/>
          <w:szCs w:val="32"/>
        </w:rPr>
        <w:t>工作。</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3.</w:t>
      </w:r>
      <w:r>
        <w:rPr>
          <w:rFonts w:hint="default" w:ascii="Times New Roman" w:hAnsi="Times New Roman" w:eastAsia="方正仿宋_GBK"/>
          <w:sz w:val="32"/>
          <w:szCs w:val="32"/>
        </w:rPr>
        <w:t>负责制造业招商项目有关咨询服务，承担重大签约项目的跟踪服务工作。</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4.负责</w:t>
      </w:r>
      <w:r>
        <w:rPr>
          <w:rFonts w:hint="default" w:ascii="Times New Roman" w:hAnsi="Times New Roman" w:eastAsia="方正仿宋_GBK"/>
          <w:sz w:val="32"/>
          <w:szCs w:val="32"/>
        </w:rPr>
        <w:t>重大招商投资促进活动</w:t>
      </w:r>
      <w:r>
        <w:rPr>
          <w:rFonts w:ascii="Times New Roman" w:hAnsi="Times New Roman" w:eastAsia="方正仿宋_GBK"/>
          <w:sz w:val="32"/>
          <w:szCs w:val="32"/>
        </w:rPr>
        <w:t>、</w:t>
      </w:r>
      <w:r>
        <w:rPr>
          <w:rFonts w:hint="default" w:ascii="Times New Roman" w:hAnsi="Times New Roman" w:eastAsia="方正仿宋_GBK"/>
          <w:sz w:val="32"/>
          <w:szCs w:val="32"/>
        </w:rPr>
        <w:t>制造业招商引资</w:t>
      </w:r>
      <w:r>
        <w:rPr>
          <w:rFonts w:ascii="Times New Roman" w:hAnsi="Times New Roman" w:eastAsia="方正仿宋_GBK"/>
          <w:sz w:val="32"/>
          <w:szCs w:val="32"/>
        </w:rPr>
        <w:t>的事务性工作</w:t>
      </w:r>
      <w:r>
        <w:rPr>
          <w:rFonts w:hint="default" w:ascii="Times New Roman" w:hAnsi="Times New Roman" w:eastAsia="方正仿宋_GBK"/>
          <w:sz w:val="32"/>
          <w:szCs w:val="32"/>
        </w:rPr>
        <w:t>，</w:t>
      </w:r>
      <w:r>
        <w:rPr>
          <w:rFonts w:ascii="Times New Roman" w:hAnsi="Times New Roman" w:eastAsia="方正仿宋_GBK"/>
          <w:sz w:val="32"/>
          <w:szCs w:val="32"/>
        </w:rPr>
        <w:t>参与</w:t>
      </w:r>
      <w:r>
        <w:rPr>
          <w:rFonts w:hint="default" w:ascii="Times New Roman" w:hAnsi="Times New Roman" w:eastAsia="方正仿宋_GBK"/>
          <w:sz w:val="32"/>
          <w:szCs w:val="32"/>
        </w:rPr>
        <w:t>推进重大招商项目建设。</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5.</w:t>
      </w:r>
      <w:r>
        <w:rPr>
          <w:rFonts w:hint="default" w:ascii="Times New Roman" w:hAnsi="Times New Roman" w:eastAsia="方正仿宋_GBK"/>
          <w:sz w:val="32"/>
          <w:szCs w:val="32"/>
        </w:rPr>
        <w:t>鼓励、引导、支持工业企业开展各种经济技术合作，为创办工业企业提供信息和咨询服务。</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6.</w:t>
      </w:r>
      <w:r>
        <w:rPr>
          <w:rFonts w:hint="default" w:ascii="Times New Roman" w:hAnsi="Times New Roman" w:eastAsia="方正仿宋_GBK"/>
          <w:sz w:val="32"/>
          <w:szCs w:val="32"/>
        </w:rPr>
        <w:t>为工业企业提供融资担保</w:t>
      </w:r>
      <w:r>
        <w:rPr>
          <w:rFonts w:ascii="Times New Roman" w:hAnsi="Times New Roman" w:eastAsia="方正仿宋_GBK"/>
          <w:sz w:val="32"/>
          <w:szCs w:val="32"/>
        </w:rPr>
        <w:t>和</w:t>
      </w:r>
      <w:r>
        <w:rPr>
          <w:rFonts w:hint="default" w:ascii="Times New Roman" w:hAnsi="Times New Roman" w:eastAsia="方正仿宋_GBK"/>
          <w:sz w:val="32"/>
          <w:szCs w:val="32"/>
        </w:rPr>
        <w:t>财税政策咨询</w:t>
      </w:r>
      <w:r>
        <w:rPr>
          <w:rFonts w:ascii="Times New Roman" w:hAnsi="Times New Roman" w:eastAsia="方正仿宋_GBK"/>
          <w:sz w:val="32"/>
          <w:szCs w:val="32"/>
        </w:rPr>
        <w:t>及</w:t>
      </w:r>
      <w:r>
        <w:rPr>
          <w:rFonts w:hint="default" w:ascii="Times New Roman" w:hAnsi="Times New Roman" w:eastAsia="方正仿宋_GBK"/>
          <w:sz w:val="32"/>
          <w:szCs w:val="32"/>
        </w:rPr>
        <w:t>大数据、智能化综合信息服务</w:t>
      </w:r>
      <w:r>
        <w:rPr>
          <w:rFonts w:ascii="Times New Roman" w:hAnsi="Times New Roman" w:eastAsia="方正仿宋_GBK"/>
          <w:sz w:val="32"/>
          <w:szCs w:val="32"/>
        </w:rPr>
        <w:t>，</w:t>
      </w:r>
      <w:r>
        <w:rPr>
          <w:rFonts w:hint="default" w:ascii="Times New Roman" w:hAnsi="Times New Roman" w:eastAsia="方正仿宋_GBK"/>
          <w:sz w:val="32"/>
          <w:szCs w:val="32"/>
        </w:rPr>
        <w:t>开展工业设计推广服务。</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7.</w:t>
      </w:r>
      <w:r>
        <w:rPr>
          <w:rFonts w:hint="default" w:ascii="Times New Roman" w:hAnsi="Times New Roman" w:eastAsia="方正仿宋_GBK"/>
          <w:sz w:val="32"/>
          <w:szCs w:val="32"/>
        </w:rPr>
        <w:t>帮助工业企业拓展国内外市场。</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8.</w:t>
      </w:r>
      <w:r>
        <w:rPr>
          <w:rFonts w:hint="default" w:ascii="Times New Roman" w:hAnsi="Times New Roman" w:eastAsia="方正仿宋_GBK"/>
          <w:sz w:val="32"/>
          <w:szCs w:val="32"/>
        </w:rPr>
        <w:t>承担县经济信息委交办的其他任务。</w:t>
      </w:r>
    </w:p>
    <w:p>
      <w:pPr>
        <w:pStyle w:val="6"/>
        <w:keepNext w:val="0"/>
        <w:keepLines w:val="0"/>
        <w:pageBreakBefore w:val="0"/>
        <w:shd w:val="clear" w:color="auto" w:fill="FFFFFF"/>
        <w:kinsoku/>
        <w:wordWrap/>
        <w:overflowPunct/>
        <w:topLinePunct w:val="0"/>
        <w:autoSpaceDN/>
        <w:bidi w:val="0"/>
        <w:spacing w:beforeAutospacing="0" w:afterAutospacing="0"/>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spacing w:beforeAutospacing="0" w:afterAutospacing="0"/>
        <w:ind w:firstLine="480" w:firstLineChars="15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垫江县企业发展服务中心设立内设机构5个，分别为综合科、项目推介科、</w:t>
      </w:r>
      <w:r>
        <w:rPr>
          <w:rFonts w:hint="default" w:ascii="方正仿宋_GBK" w:hAnsi="方正仿宋_GBK" w:eastAsia="方正仿宋_GBK" w:cs="方正仿宋_GBK"/>
          <w:sz w:val="32"/>
          <w:szCs w:val="32"/>
        </w:rPr>
        <w:t>制造业招商科</w:t>
      </w:r>
      <w:r>
        <w:rPr>
          <w:rFonts w:ascii="方正仿宋_GBK" w:hAnsi="方正仿宋_GBK" w:eastAsia="方正仿宋_GBK" w:cs="方正仿宋_GBK"/>
          <w:sz w:val="32"/>
          <w:szCs w:val="32"/>
        </w:rPr>
        <w:t>、融资科、信息服务科。</w:t>
      </w:r>
    </w:p>
    <w:p>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spacing w:beforeAutospacing="0" w:afterAutospacing="0"/>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2024年度收入总计574.21万元，支出总计</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万元。收、支与2023年度相比，增加144.57万元，增长33.7%，主要原因是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2024年度收入合计574.12万元，与2023年度相比，增加150.31万元，增长35.5%，主要原因是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574.12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万元，与2023年度相比，增加144.66万元，增长33.7%，主要原因是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571.81</w:t>
      </w:r>
      <w:r>
        <w:rPr>
          <w:rFonts w:ascii="方正仿宋_GBK" w:hAnsi="方正仿宋_GBK" w:eastAsia="方正仿宋_GBK" w:cs="方正仿宋_GBK"/>
          <w:sz w:val="32"/>
          <w:szCs w:val="32"/>
          <w:shd w:val="clear" w:color="auto" w:fill="FFFFFF"/>
        </w:rPr>
        <w:t>万元，占99.6%；项目支出</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万元，占0.4%；经营支出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万元，与2023年度相比，减少0.08万元，下降100.0%，主要原因是上年度结转结余在本年度支付完成。</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2024年度财政拨款收、支总计574.21万元。与2023年相比，财政拨款收、支总计各增加144.57万元，增长33.7%。主要原因是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574.12</w:t>
      </w:r>
      <w:r>
        <w:rPr>
          <w:rFonts w:ascii="方正仿宋_GBK" w:hAnsi="方正仿宋_GBK" w:eastAsia="方正仿宋_GBK" w:cs="方正仿宋_GBK"/>
          <w:sz w:val="32"/>
          <w:szCs w:val="32"/>
          <w:shd w:val="clear" w:color="auto" w:fill="FFFFFF"/>
        </w:rPr>
        <w:t>万元，与2023年度相比，增加150.31万元，增长35.5%。主要原因是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。较年初预算数增加210.55万元，增长57.9%。主要原因是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574.21</w:t>
      </w:r>
      <w:r>
        <w:rPr>
          <w:rFonts w:ascii="方正仿宋_GBK" w:hAnsi="方正仿宋_GBK" w:eastAsia="方正仿宋_GBK" w:cs="方正仿宋_GBK"/>
          <w:sz w:val="32"/>
          <w:szCs w:val="32"/>
          <w:shd w:val="clear" w:color="auto" w:fill="FFFFFF"/>
        </w:rPr>
        <w:t>万元，与2023年度相比，增加144.66万元，增长33.7%。主要原因是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。较年初预算数增加210.64万元，增长57.9%。主要原因是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万元，与2023年度相比，减少0.08万元，下降100.0%，主要原因是上年度结转结余在本年度支付完成。</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424.16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73.9%</w:t>
      </w:r>
      <w:r>
        <w:rPr>
          <w:rFonts w:ascii="方正仿宋_GBK" w:hAnsi="方正仿宋_GBK" w:eastAsia="方正仿宋_GBK" w:cs="方正仿宋_GBK"/>
          <w:sz w:val="32"/>
          <w:szCs w:val="32"/>
          <w:shd w:val="clear" w:color="auto" w:fill="FFFFFF"/>
        </w:rPr>
        <w:t>，较年初预算数增加136.69万元，增长47.6%，主要原因是</w:t>
      </w:r>
      <w:r>
        <w:rPr>
          <w:rFonts w:ascii="方正仿宋_GBK" w:eastAsia="方正仿宋_GBK"/>
          <w:sz w:val="32"/>
          <w:szCs w:val="32"/>
        </w:rPr>
        <w:t>本年度机构改革，原垫江县招商投资中心合并至我单位，人员经费及公用经费增加</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，较年初预算数减少1.01万元，下降93.5%，主要原因是本年度职工培训支出减少。</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102.83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，较年初预算数增加58.22万元，增长130.5%，主要原因</w:t>
      </w:r>
      <w:r>
        <w:rPr>
          <w:rFonts w:ascii="方正仿宋_GBK" w:eastAsia="方正仿宋_GBK"/>
          <w:sz w:val="32"/>
          <w:szCs w:val="32"/>
        </w:rPr>
        <w:t>一是本年度根据政策补缴2022年-2024年养老保险和职业年金，二是机构改革，原垫江县招商投资中心合并至我单位，养老保险和职业年金缴费增加。</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w:t>
      </w:r>
      <w:r>
        <w:rPr>
          <w:rFonts w:ascii="方正仿宋_GBK" w:hAnsi="方正仿宋_GBK" w:eastAsia="方正仿宋_GBK" w:cs="方正仿宋_GBK"/>
          <w:sz w:val="32"/>
          <w:szCs w:val="32"/>
          <w:shd w:val="clear" w:color="auto" w:fill="FFFFFF"/>
        </w:rPr>
        <w:t>，较年初预算数增加1.88万元，增长13.6%，主要原因是</w:t>
      </w:r>
      <w:r>
        <w:rPr>
          <w:rFonts w:ascii="方正仿宋_GBK" w:eastAsia="方正仿宋_GBK"/>
          <w:sz w:val="32"/>
          <w:szCs w:val="32"/>
        </w:rPr>
        <w:t>机构改革，原垫江县招商投资中心合并至我单位，职工医疗保险缴费增加。</w:t>
      </w:r>
    </w:p>
    <w:p>
      <w:pPr>
        <w:keepNext w:val="0"/>
        <w:keepLines w:val="0"/>
        <w:pageBreakBefore w:val="0"/>
        <w:kinsoku/>
        <w:wordWrap/>
        <w:overflowPunct/>
        <w:topLinePunct w:val="0"/>
        <w:autoSpaceDN/>
        <w:bidi w:val="0"/>
        <w:spacing w:beforeAutospacing="0" w:afterAutospacing="0"/>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住房保障支出31.44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，较年初预算数增加14.85万元，增长89.5%，主要原因是机构改革，</w:t>
      </w:r>
      <w:r>
        <w:rPr>
          <w:rFonts w:ascii="方正仿宋_GBK" w:eastAsia="方正仿宋_GBK"/>
          <w:sz w:val="32"/>
          <w:szCs w:val="32"/>
        </w:rPr>
        <w:t>原垫江县招商投资中心合并至我单位，住房公积金缴费增加。</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571.81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508.29</w:t>
      </w:r>
      <w:r>
        <w:rPr>
          <w:rFonts w:ascii="方正仿宋_GBK" w:hAnsi="方正仿宋_GBK" w:eastAsia="方正仿宋_GBK" w:cs="方正仿宋_GBK"/>
          <w:sz w:val="32"/>
          <w:szCs w:val="32"/>
          <w:shd w:val="clear" w:color="auto" w:fill="FFFFFF"/>
        </w:rPr>
        <w:t>万元，与2023年度相比，增加129.88万元，增长34.3%，主要原因是</w:t>
      </w:r>
      <w:r>
        <w:rPr>
          <w:rFonts w:ascii="方正仿宋_GBK" w:eastAsia="方正仿宋_GBK"/>
          <w:sz w:val="32"/>
          <w:szCs w:val="32"/>
        </w:rPr>
        <w:t>本年度机构改革，原垫江县招商投资中心合并至我单位，人员经费增加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基本工资、津贴补贴、奖金、绩效、社会保障缴费、住房公积金等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63.51</w:t>
      </w:r>
      <w:r>
        <w:rPr>
          <w:rFonts w:ascii="方正仿宋_GBK" w:hAnsi="方正仿宋_GBK" w:eastAsia="方正仿宋_GBK" w:cs="方正仿宋_GBK"/>
          <w:sz w:val="32"/>
          <w:szCs w:val="32"/>
          <w:shd w:val="clear" w:color="auto" w:fill="FFFFFF"/>
        </w:rPr>
        <w:t>万元，与2023年度相比，增加14.77万元，增长30.3%，主要原因是</w:t>
      </w:r>
      <w:r>
        <w:rPr>
          <w:rFonts w:ascii="方正仿宋_GBK" w:eastAsia="方正仿宋_GBK"/>
          <w:sz w:val="32"/>
          <w:szCs w:val="32"/>
        </w:rPr>
        <w:t>本年度机构改革，原垫江县招商投资中心合并至我单位，公用经费增加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办公费、印刷费、咨询费、水电费、邮电费、手续费等</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本年度严格控制会议次数。本年度培训费支出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万元，与2023年度相比，减少0.01万元，下降12.5%，</w:t>
      </w:r>
      <w:r>
        <w:rPr>
          <w:rFonts w:hint="default"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本年度培训减少。</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hint="default" w:ascii="方正仿宋_GBK" w:hAnsi="方正仿宋_GBK" w:eastAsia="方正仿宋_GBK" w:cs="方正仿宋_GBK"/>
          <w:sz w:val="32"/>
          <w:szCs w:val="32"/>
        </w:rPr>
        <w:t>按照部门决算列报口径，我单位不在机关运行经费统计范围之内。</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spacing w:beforeAutospacing="0" w:afterAutospacing="0"/>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p>
    <w:p>
      <w:pPr>
        <w:pStyle w:val="12"/>
        <w:keepNext w:val="0"/>
        <w:keepLines w:val="0"/>
        <w:pageBreakBefore w:val="0"/>
        <w:kinsoku/>
        <w:wordWrap/>
        <w:overflowPunct/>
        <w:topLinePunct w:val="0"/>
        <w:autoSpaceDN/>
        <w:bidi w:val="0"/>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keepNext w:val="0"/>
        <w:keepLines w:val="0"/>
        <w:pageBreakBefore w:val="0"/>
        <w:kinsoku/>
        <w:wordWrap/>
        <w:overflowPunct/>
        <w:topLinePunct w:val="0"/>
        <w:autoSpaceDE w:val="0"/>
        <w:autoSpaceDN/>
        <w:bidi w:val="0"/>
        <w:spacing w:before="0" w:beforeAutospacing="0" w:after="0" w:afterAutospacing="0"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根据预算绩效管理要求，我单位对1个二级项目开展了绩效自评，涉及财政拨款项目支出资金2.4万元。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W w:w="0" w:type="auto"/>
        <w:tblInd w:w="0" w:type="dxa"/>
        <w:tblLayout w:type="autofit"/>
        <w:tblCellMar>
          <w:top w:w="0" w:type="dxa"/>
          <w:left w:w="0" w:type="dxa"/>
          <w:bottom w:w="0" w:type="dxa"/>
          <w:right w:w="0" w:type="dxa"/>
        </w:tblCellMar>
      </w:tblPr>
      <w:tblGrid>
        <w:gridCol w:w="1455"/>
        <w:gridCol w:w="939"/>
        <w:gridCol w:w="749"/>
        <w:gridCol w:w="796"/>
        <w:gridCol w:w="624"/>
        <w:gridCol w:w="683"/>
        <w:gridCol w:w="741"/>
        <w:gridCol w:w="520"/>
        <w:gridCol w:w="468"/>
        <w:gridCol w:w="686"/>
        <w:gridCol w:w="684"/>
      </w:tblGrid>
      <w:tr>
        <w:tblPrEx>
          <w:tblCellMar>
            <w:top w:w="0" w:type="dxa"/>
            <w:left w:w="0" w:type="dxa"/>
            <w:bottom w:w="0" w:type="dxa"/>
            <w:right w:w="0"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购买服务人员经费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50023123T000003075265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503-垫江县经济和信息化委员会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008-企业科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汪老师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023-74512518</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聘用临时人员协助开展企业服务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聘用临时人员协助开展企业服务</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购买服务人员人数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临时工工作质量达标率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临时工工资发放及时率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单位履行职能职责提供保障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临时工工资标准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spacing w:before="0" w:beforeAutospacing="0" w:after="0" w:afterAutospacing="0" w:line="596" w:lineRule="exact"/>
        <w:rPr>
          <w:rFonts w:ascii="方正仿宋_GBK" w:hAnsi="方正仿宋_GBK" w:eastAsia="方正仿宋_GBK" w:cs="方正仿宋_GBK"/>
          <w:sz w:val="32"/>
          <w:szCs w:val="32"/>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本年度本单位未组织开展绩效评价。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2"/>
        <w:autoSpaceDE w:val="0"/>
        <w:spacing w:before="0" w:beforeAutospacing="0" w:after="0" w:afterAutospacing="0" w:line="596" w:lineRule="exact"/>
        <w:ind w:firstLine="640" w:firstLineChars="200"/>
        <w:rPr>
          <w:rStyle w:val="13"/>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县财政局委托第三方对我单位开展</w:t>
      </w:r>
      <w:r>
        <w:rPr>
          <w:rFonts w:hint="eastAsia" w:ascii="方正仿宋_GBK" w:hAnsi="方正仿宋_GBK" w:eastAsia="方正仿宋_GBK" w:cs="方正仿宋_GBK"/>
          <w:sz w:val="32"/>
          <w:szCs w:val="32"/>
          <w:shd w:val="clear" w:color="auto" w:fill="FFFFFF"/>
          <w:lang w:val="en-US" w:eastAsia="zh-CN"/>
        </w:rPr>
        <w:t>部门整体</w:t>
      </w:r>
      <w:r>
        <w:rPr>
          <w:rFonts w:hint="eastAsia"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sz w:val="32"/>
          <w:szCs w:val="32"/>
          <w:shd w:val="clear" w:color="auto" w:fill="FFFFFF"/>
          <w:lang w:eastAsia="zh-CN"/>
        </w:rPr>
        <w:t>，涉及财政拨款项目资金</w:t>
      </w:r>
      <w:r>
        <w:rPr>
          <w:rFonts w:hint="eastAsia" w:ascii="方正仿宋_GBK" w:hAnsi="方正仿宋_GBK"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eastAsia="zh-CN"/>
        </w:rPr>
        <w:t>万元，评价得分90.47分，评价等次为优，部门整体绩效评价发现了绩效目标缺乏具体性，绩效指标不够全面精准；项目过程监管不足，全过程管理机制缺失等主要问题，提出细化绩效目标描述，优化绩效指标设置；动态调整绩效目标与预算编制，强化改革过渡期预算衔接；加强资金审核机制，确保资金使用到位；建立健全全过程监管体系，明确监管责任与能力建设等下一步工作建议。</w:t>
      </w:r>
      <w:r>
        <w:rPr>
          <w:rStyle w:val="13"/>
          <w:rFonts w:hint="eastAsia" w:ascii="方正仿宋_GBK" w:hAnsi="方正仿宋_GBK" w:eastAsia="方正仿宋_GBK" w:cs="方正仿宋_GBK"/>
          <w:sz w:val="32"/>
          <w:szCs w:val="32"/>
          <w:shd w:val="clear" w:color="auto" w:fill="FFFFFF"/>
        </w:rPr>
        <w:t xml:space="preserve"> </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本单位决算公开信息反馈和联系方式：高老师</w:t>
      </w:r>
      <w:r>
        <w:rPr>
          <w:rFonts w:ascii="方正仿宋_GBK" w:hAnsi="方正仿宋_GBK" w:eastAsia="方正仿宋_GBK" w:cs="方正仿宋_GBK"/>
          <w:sz w:val="32"/>
          <w:szCs w:val="32"/>
          <w:shd w:val="clear" w:color="auto" w:fill="FFFFFF"/>
        </w:rPr>
        <w:t xml:space="preserve">   023-74682339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垫江县中小企业服务中心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574.21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8"/>
        <w:gridCol w:w="1581"/>
        <w:gridCol w:w="1448"/>
        <w:gridCol w:w="1256"/>
        <w:gridCol w:w="1436"/>
        <w:gridCol w:w="1460"/>
        <w:gridCol w:w="1293"/>
        <w:gridCol w:w="1349"/>
        <w:gridCol w:w="1334"/>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垫江县中小企业服务中心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574.12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574.12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0"/>
        <w:gridCol w:w="3604"/>
        <w:gridCol w:w="1839"/>
        <w:gridCol w:w="1762"/>
        <w:gridCol w:w="1621"/>
        <w:gridCol w:w="1557"/>
        <w:gridCol w:w="1691"/>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垫江县中小企业服务中心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574.21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571.81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垫江县中小企业服务中心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571.81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垫江县中小企业服务中心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508.29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垫江县中小企业服务中心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垫江县中小企业服务中心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8bMdIAAAADAQAADwAAAAAA&#10;AAABACAAAAAiAAAAZHJzL2Rvd25yZXYueG1sUEsBAhQAFAAAAAgAh07iQL3jG+vgAQAAswMAAA4A&#10;AAAAAAAAAQAgAAAAIQEAAGRycy9lMm9Eb2MueG1sUEsFBgAAAAAGAAYAWQEAAHMFA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lDqPLRAAAAAwEAAA8AAAAAAAAA&#10;AQAgAAAAIgAAAGRycy9kb3ducmV2LnhtbFBLAQIUABQAAAAIAIdO4kDpQ6Hx3wEAALMDAAAOAAAA&#10;AAAAAAEAIAAAACABAABkcnMvZTJvRG9jLnhtbFBLBQYAAAAABgAGAFkBAABxBQ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JfoUNYAAAAJAQAADwAA&#10;AAAAAAABACAAAAAiAAAAZHJzL2Rvd25yZXYueG1sUEsBAhQAFAAAAAgAh07iQBUr6gzfAQAAswMA&#10;AA4AAAAAAAAAAQAgAAAAJQEAAGRycy9lMm9Eb2MueG1sUEsFBgAAAAAGAAYAWQEAAHYFA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155F6B"/>
    <w:rsid w:val="001D3BB7"/>
    <w:rsid w:val="00266C09"/>
    <w:rsid w:val="002B254B"/>
    <w:rsid w:val="0034050A"/>
    <w:rsid w:val="003C5E6B"/>
    <w:rsid w:val="004410D1"/>
    <w:rsid w:val="0044504F"/>
    <w:rsid w:val="00466C9B"/>
    <w:rsid w:val="00486CFC"/>
    <w:rsid w:val="00491DDD"/>
    <w:rsid w:val="004B59F5"/>
    <w:rsid w:val="00550ABE"/>
    <w:rsid w:val="00623A85"/>
    <w:rsid w:val="006C1906"/>
    <w:rsid w:val="0070683B"/>
    <w:rsid w:val="00770383"/>
    <w:rsid w:val="007819D4"/>
    <w:rsid w:val="007932A2"/>
    <w:rsid w:val="007B419D"/>
    <w:rsid w:val="007B7C4B"/>
    <w:rsid w:val="007D3D39"/>
    <w:rsid w:val="00821B4D"/>
    <w:rsid w:val="009717AE"/>
    <w:rsid w:val="00984C6A"/>
    <w:rsid w:val="00993353"/>
    <w:rsid w:val="00994AF7"/>
    <w:rsid w:val="009B67B8"/>
    <w:rsid w:val="009C14C9"/>
    <w:rsid w:val="009D2B67"/>
    <w:rsid w:val="009E1452"/>
    <w:rsid w:val="00A566F9"/>
    <w:rsid w:val="00AF2751"/>
    <w:rsid w:val="00AF3416"/>
    <w:rsid w:val="00B03CCD"/>
    <w:rsid w:val="00BE2B89"/>
    <w:rsid w:val="00BF0D89"/>
    <w:rsid w:val="00C10E9E"/>
    <w:rsid w:val="00C20C3E"/>
    <w:rsid w:val="00C5163E"/>
    <w:rsid w:val="00CF2ACF"/>
    <w:rsid w:val="00D03AAF"/>
    <w:rsid w:val="00DD0539"/>
    <w:rsid w:val="00E07662"/>
    <w:rsid w:val="00E368E9"/>
    <w:rsid w:val="00E83111"/>
    <w:rsid w:val="00EE1E33"/>
    <w:rsid w:val="00F73F90"/>
    <w:rsid w:val="00FA0C47"/>
    <w:rsid w:val="00FB4B3B"/>
    <w:rsid w:val="01474EBF"/>
    <w:rsid w:val="01F3521E"/>
    <w:rsid w:val="03B87EA0"/>
    <w:rsid w:val="03E3214F"/>
    <w:rsid w:val="044C50BA"/>
    <w:rsid w:val="05BC6D49"/>
    <w:rsid w:val="060C5D12"/>
    <w:rsid w:val="06194FF1"/>
    <w:rsid w:val="0621251F"/>
    <w:rsid w:val="06A2550B"/>
    <w:rsid w:val="06F80EE2"/>
    <w:rsid w:val="07001CCA"/>
    <w:rsid w:val="075678DB"/>
    <w:rsid w:val="077B465F"/>
    <w:rsid w:val="079D7CC7"/>
    <w:rsid w:val="07C5336D"/>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B8228B"/>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3F795C"/>
    <w:rsid w:val="1ECF0A66"/>
    <w:rsid w:val="1EF67CA4"/>
    <w:rsid w:val="1F020D3A"/>
    <w:rsid w:val="1F2C5189"/>
    <w:rsid w:val="1F4B0B02"/>
    <w:rsid w:val="1FBB35CD"/>
    <w:rsid w:val="1FCD26AF"/>
    <w:rsid w:val="2034276B"/>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C31FB9"/>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3E3639"/>
    <w:rsid w:val="33E31118"/>
    <w:rsid w:val="33EF7674"/>
    <w:rsid w:val="342D7BC6"/>
    <w:rsid w:val="352930DB"/>
    <w:rsid w:val="35573069"/>
    <w:rsid w:val="355F6038"/>
    <w:rsid w:val="358C217E"/>
    <w:rsid w:val="36C9128A"/>
    <w:rsid w:val="36DE34C9"/>
    <w:rsid w:val="37841E99"/>
    <w:rsid w:val="37BF1123"/>
    <w:rsid w:val="383C3F15"/>
    <w:rsid w:val="38BE4696"/>
    <w:rsid w:val="39322D24"/>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E61FDB"/>
    <w:rsid w:val="45CB699A"/>
    <w:rsid w:val="46423C66"/>
    <w:rsid w:val="465B470D"/>
    <w:rsid w:val="469D6AD4"/>
    <w:rsid w:val="47103FE1"/>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362DB"/>
    <w:rsid w:val="55BE2E85"/>
    <w:rsid w:val="56530F5D"/>
    <w:rsid w:val="567700D3"/>
    <w:rsid w:val="568165D4"/>
    <w:rsid w:val="56FF7E9E"/>
    <w:rsid w:val="578867FC"/>
    <w:rsid w:val="582632A6"/>
    <w:rsid w:val="5842572D"/>
    <w:rsid w:val="59F55646"/>
    <w:rsid w:val="5A3B59D6"/>
    <w:rsid w:val="5AD134D8"/>
    <w:rsid w:val="5BF41F67"/>
    <w:rsid w:val="5C263CE4"/>
    <w:rsid w:val="5C5D2777"/>
    <w:rsid w:val="5CF66BF3"/>
    <w:rsid w:val="5D290C69"/>
    <w:rsid w:val="5DA80C2C"/>
    <w:rsid w:val="5F2D4A41"/>
    <w:rsid w:val="60C74F6C"/>
    <w:rsid w:val="61015958"/>
    <w:rsid w:val="61025A59"/>
    <w:rsid w:val="613D5BBC"/>
    <w:rsid w:val="61536C39"/>
    <w:rsid w:val="61D53B48"/>
    <w:rsid w:val="62944DD7"/>
    <w:rsid w:val="6319381F"/>
    <w:rsid w:val="63C25DC5"/>
    <w:rsid w:val="63C62057"/>
    <w:rsid w:val="64571EF5"/>
    <w:rsid w:val="64FB113D"/>
    <w:rsid w:val="656152C6"/>
    <w:rsid w:val="6587477F"/>
    <w:rsid w:val="658C3A08"/>
    <w:rsid w:val="65C031CA"/>
    <w:rsid w:val="65CE6852"/>
    <w:rsid w:val="65D04E7A"/>
    <w:rsid w:val="66267C04"/>
    <w:rsid w:val="663F505A"/>
    <w:rsid w:val="666C2D2F"/>
    <w:rsid w:val="66AF5D7C"/>
    <w:rsid w:val="66EE5541"/>
    <w:rsid w:val="675918D3"/>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2308</Words>
  <Characters>13162</Characters>
  <Lines>109</Lines>
  <Paragraphs>30</Paragraphs>
  <TotalTime>1</TotalTime>
  <ScaleCrop>false</ScaleCrop>
  <LinksUpToDate>false</LinksUpToDate>
  <CharactersWithSpaces>15440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2025-08-29T02:10:00Z</dcterms:created>
  <dc:creator>Administrator</dc:creator>
  <cp:lastModifiedBy>Administrator</cp:lastModifiedBy>
  <dcterms:modified xsi:type="dcterms:W3CDTF">2025-09-18T01:28:00Z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