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shd w:val="clear" w:color="auto" w:fill="FFFFFF"/>
        <w:jc w:val="center"/>
        <w:rPr>
          <w:sz w:val="48"/>
          <w:szCs w:val="48"/>
          <w:shd w:val="clear" w:color="auto" w:fill="FFFFFF"/>
        </w:rPr>
      </w:pPr>
      <w:r>
        <w:rPr>
          <w:rFonts w:hint="eastAsia"/>
          <w:sz w:val="54"/>
          <w:szCs w:val="54"/>
          <w:shd w:val="clear" w:color="auto" w:fill="FFFFFF"/>
        </w:rPr>
        <w:t xml:space="preserve"> </w:t>
      </w:r>
      <w:r>
        <w:rPr>
          <w:rFonts w:hint="eastAsia"/>
          <w:sz w:val="48"/>
          <w:szCs w:val="48"/>
          <w:shd w:val="clear" w:color="auto" w:fill="FFFFFF"/>
        </w:rPr>
        <w:t>重庆市垫江县邮政业发展服务中心</w:t>
      </w:r>
    </w:p>
    <w:p>
      <w:pPr>
        <w:pStyle w:val="26"/>
        <w:shd w:val="clear" w:color="auto" w:fill="FFFFFF"/>
        <w:jc w:val="center"/>
        <w:rPr>
          <w:shd w:val="clear" w:color="auto" w:fill="FFFFFF"/>
        </w:rPr>
      </w:pPr>
      <w:r>
        <w:rPr>
          <w:rFonts w:hint="eastAsia"/>
          <w:sz w:val="54"/>
          <w:szCs w:val="54"/>
          <w:shd w:val="clear" w:color="auto" w:fill="FFFFFF"/>
        </w:rPr>
        <w:t>2020年度部门决算情况说明</w:t>
      </w:r>
    </w:p>
    <w:p>
      <w:pPr>
        <w:pStyle w:val="26"/>
        <w:shd w:val="clear" w:color="auto" w:fill="FFFFFF"/>
        <w:spacing w:line="580" w:lineRule="exact"/>
        <w:rPr>
          <w:sz w:val="27"/>
          <w:szCs w:val="27"/>
          <w:shd w:val="clear" w:color="auto" w:fill="FFFFFF"/>
        </w:rPr>
      </w:pPr>
      <w:r>
        <w:rPr>
          <w:rFonts w:hint="eastAsia"/>
          <w:shd w:val="clear" w:color="auto" w:fill="FFFFFF"/>
        </w:rPr>
        <w:t xml:space="preserve"> </w:t>
      </w:r>
      <w:r>
        <w:rPr>
          <w:rFonts w:hint="eastAsia"/>
          <w:b/>
          <w:bCs/>
          <w:sz w:val="27"/>
          <w:szCs w:val="27"/>
          <w:shd w:val="clear" w:color="auto" w:fill="FFFFFF"/>
        </w:rPr>
        <w:t>一、部门基本情况</w:t>
      </w:r>
    </w:p>
    <w:p>
      <w:pPr>
        <w:pStyle w:val="26"/>
        <w:shd w:val="clear" w:color="auto" w:fill="FFFFFF"/>
        <w:spacing w:line="580" w:lineRule="exact"/>
        <w:rPr>
          <w:sz w:val="27"/>
          <w:szCs w:val="27"/>
          <w:shd w:val="clear" w:color="auto" w:fill="FFFFFF"/>
        </w:rPr>
      </w:pPr>
      <w:r>
        <w:rPr>
          <w:rFonts w:hint="eastAsia"/>
          <w:sz w:val="27"/>
          <w:szCs w:val="27"/>
          <w:shd w:val="clear" w:color="auto" w:fill="FFFFFF"/>
        </w:rPr>
        <w:t xml:space="preserve">  </w:t>
      </w:r>
      <w:r>
        <w:rPr>
          <w:rFonts w:hint="eastAsia"/>
          <w:b/>
          <w:bCs/>
          <w:shd w:val="clear" w:color="auto" w:fill="FFFFFF"/>
        </w:rPr>
        <w:t>（一）职能职责</w:t>
      </w:r>
    </w:p>
    <w:p>
      <w:pPr>
        <w:spacing w:line="580" w:lineRule="exact"/>
        <w:ind w:firstLine="540" w:firstLineChars="200"/>
        <w:rPr>
          <w:sz w:val="27"/>
          <w:szCs w:val="27"/>
        </w:rPr>
      </w:pPr>
      <w:r>
        <w:rPr>
          <w:rFonts w:hint="eastAsia"/>
          <w:sz w:val="27"/>
          <w:szCs w:val="27"/>
        </w:rPr>
        <w:t>贯彻执行邮政业法律法规、方针政策和服务标准，开展邮政业发展战略、规划和政策的研究，为邮政业发展提供咨询和服务，促进邮政业又好又快发展。</w:t>
      </w:r>
    </w:p>
    <w:p>
      <w:pPr>
        <w:spacing w:line="580" w:lineRule="exact"/>
        <w:rPr>
          <w:b/>
          <w:bCs/>
        </w:rPr>
      </w:pPr>
      <w:r>
        <w:rPr>
          <w:rFonts w:hint="eastAsia"/>
          <w:b/>
          <w:bCs/>
        </w:rPr>
        <w:t xml:space="preserve">   （二）机构设置</w:t>
      </w:r>
    </w:p>
    <w:p>
      <w:pPr>
        <w:pStyle w:val="26"/>
        <w:shd w:val="clear" w:color="auto" w:fill="FFFFFF"/>
        <w:spacing w:line="580" w:lineRule="exact"/>
        <w:ind w:firstLine="529" w:firstLineChars="196"/>
        <w:rPr>
          <w:sz w:val="27"/>
          <w:szCs w:val="27"/>
        </w:rPr>
      </w:pPr>
      <w:r>
        <w:rPr>
          <w:rFonts w:hint="eastAsia"/>
          <w:sz w:val="27"/>
          <w:szCs w:val="27"/>
        </w:rPr>
        <w:t>1.机构设置：本单位内设办公室和发展监管科，其中各设内设机构领导职数1名。本单位为二级预算单位</w:t>
      </w:r>
    </w:p>
    <w:p>
      <w:pPr>
        <w:autoSpaceDE w:val="0"/>
        <w:spacing w:line="594" w:lineRule="exact"/>
        <w:ind w:firstLine="540" w:firstLineChars="200"/>
        <w:rPr>
          <w:sz w:val="27"/>
          <w:szCs w:val="27"/>
        </w:rPr>
      </w:pPr>
      <w:r>
        <w:rPr>
          <w:sz w:val="27"/>
          <w:szCs w:val="27"/>
        </w:rPr>
        <w:t>2.</w:t>
      </w:r>
      <w:r>
        <w:rPr>
          <w:rFonts w:hint="eastAsia"/>
          <w:sz w:val="27"/>
          <w:szCs w:val="27"/>
        </w:rPr>
        <w:t>财政供养人数：本单位</w:t>
      </w:r>
      <w:r>
        <w:rPr>
          <w:sz w:val="27"/>
          <w:szCs w:val="27"/>
        </w:rPr>
        <w:t>2020</w:t>
      </w:r>
      <w:r>
        <w:rPr>
          <w:rFonts w:hint="eastAsia"/>
          <w:sz w:val="27"/>
          <w:szCs w:val="27"/>
        </w:rPr>
        <w:t>年在职职工7人、临时工2人。</w:t>
      </w:r>
    </w:p>
    <w:p>
      <w:pPr>
        <w:pStyle w:val="26"/>
        <w:shd w:val="clear" w:color="auto" w:fill="FFFFFF"/>
        <w:spacing w:line="580" w:lineRule="exact"/>
        <w:ind w:firstLine="396" w:firstLineChars="147"/>
        <w:rPr>
          <w:rFonts w:hint="eastAsia"/>
          <w:sz w:val="27"/>
          <w:szCs w:val="27"/>
        </w:rPr>
      </w:pPr>
      <w:r>
        <w:rPr>
          <w:rFonts w:hint="eastAsia"/>
          <w:sz w:val="27"/>
          <w:szCs w:val="27"/>
        </w:rPr>
        <w:t>（三）单位构成</w:t>
      </w:r>
    </w:p>
    <w:p>
      <w:pPr>
        <w:pStyle w:val="26"/>
        <w:shd w:val="clear" w:color="auto" w:fill="FFFFFF"/>
        <w:spacing w:line="580" w:lineRule="exact"/>
        <w:ind w:firstLine="529" w:firstLineChars="196"/>
        <w:rPr>
          <w:rFonts w:hint="eastAsia"/>
          <w:sz w:val="27"/>
          <w:szCs w:val="27"/>
        </w:rPr>
      </w:pPr>
      <w:r>
        <w:rPr>
          <w:rFonts w:hint="eastAsia"/>
          <w:sz w:val="27"/>
          <w:szCs w:val="27"/>
        </w:rPr>
        <w:t>本单位为二级预算单位</w:t>
      </w:r>
      <w:r>
        <w:rPr>
          <w:rFonts w:hint="eastAsia"/>
          <w:sz w:val="27"/>
          <w:szCs w:val="27"/>
          <w:lang w:eastAsia="zh-CN"/>
        </w:rPr>
        <w:t>，仅包含邮政业发展服务中心本单位。</w:t>
      </w:r>
    </w:p>
    <w:p>
      <w:pPr>
        <w:pStyle w:val="26"/>
        <w:shd w:val="clear" w:color="auto" w:fill="FFFFFF"/>
        <w:spacing w:line="580" w:lineRule="exact"/>
        <w:rPr>
          <w:sz w:val="27"/>
          <w:szCs w:val="27"/>
          <w:shd w:val="clear" w:color="auto" w:fill="FFFFFF"/>
        </w:rPr>
      </w:pPr>
      <w:r>
        <w:rPr>
          <w:rFonts w:hint="eastAsia"/>
          <w:b/>
          <w:bCs/>
          <w:sz w:val="27"/>
          <w:szCs w:val="27"/>
          <w:shd w:val="clear" w:color="auto" w:fill="FFFFFF"/>
        </w:rPr>
        <w:t>二、部门决算情况说明</w:t>
      </w:r>
    </w:p>
    <w:p>
      <w:pPr>
        <w:pStyle w:val="26"/>
        <w:shd w:val="clear" w:color="auto" w:fill="FFFFFF"/>
        <w:spacing w:line="580" w:lineRule="exact"/>
        <w:ind w:firstLine="354" w:firstLineChars="147"/>
        <w:rPr>
          <w:sz w:val="27"/>
          <w:szCs w:val="27"/>
          <w:shd w:val="clear" w:color="auto" w:fill="FFFFFF"/>
        </w:rPr>
      </w:pPr>
      <w:r>
        <w:rPr>
          <w:rFonts w:hint="eastAsia"/>
          <w:b/>
          <w:bCs/>
          <w:shd w:val="clear" w:color="auto" w:fill="FFFFFF"/>
        </w:rPr>
        <w:t>（一）收入支出决算总体情况说明</w:t>
      </w:r>
    </w:p>
    <w:p>
      <w:pPr>
        <w:pStyle w:val="26"/>
        <w:shd w:val="clear" w:color="auto" w:fill="FFFFFF"/>
        <w:spacing w:line="580" w:lineRule="exact"/>
        <w:ind w:firstLine="472" w:firstLineChars="196"/>
        <w:rPr>
          <w:sz w:val="27"/>
          <w:szCs w:val="27"/>
          <w:shd w:val="clear" w:color="auto" w:fill="FFFFFF"/>
        </w:rPr>
      </w:pPr>
      <w:r>
        <w:rPr>
          <w:rFonts w:hint="eastAsia"/>
          <w:b/>
          <w:bCs/>
          <w:shd w:val="clear" w:color="auto" w:fill="FFFFFF"/>
        </w:rPr>
        <w:t>1.总体情况</w:t>
      </w:r>
      <w:r>
        <w:rPr>
          <w:rFonts w:hint="eastAsia"/>
          <w:sz w:val="27"/>
          <w:szCs w:val="27"/>
          <w:shd w:val="clear" w:color="auto" w:fill="FFFFFF"/>
        </w:rPr>
        <w:t>。2020年度收入总计163.72万元，支出总计163.72万元。收支较上年决算数减少115.56万元、下降 41.4%，主要原因是原公社邮递员乡办邮政人员医疗保险补助项目2019年第一年实施预算经费为81.3万元，2020年预算金额为8.56万元，2019年其它收入45万元（其中商务局拨款42万元），2020年其它收入为0.45万元。</w:t>
      </w:r>
    </w:p>
    <w:p>
      <w:pPr>
        <w:pStyle w:val="26"/>
        <w:shd w:val="clear" w:color="auto" w:fill="FFFFFF"/>
        <w:spacing w:line="580" w:lineRule="exact"/>
        <w:ind w:firstLine="590" w:firstLineChars="245"/>
        <w:rPr>
          <w:sz w:val="27"/>
          <w:szCs w:val="27"/>
          <w:shd w:val="clear" w:color="auto" w:fill="FFFFFF"/>
        </w:rPr>
      </w:pPr>
      <w:r>
        <w:rPr>
          <w:rFonts w:hint="eastAsia"/>
          <w:b/>
          <w:bCs/>
          <w:shd w:val="clear" w:color="auto" w:fill="FFFFFF"/>
        </w:rPr>
        <w:t>2.收入情况。</w:t>
      </w:r>
      <w:r>
        <w:rPr>
          <w:rFonts w:hint="eastAsia"/>
          <w:sz w:val="27"/>
          <w:szCs w:val="27"/>
          <w:shd w:val="clear" w:color="auto" w:fill="FFFFFF"/>
        </w:rPr>
        <w:t>2020年度收入合计131.41万元，较上年决算数减少134.75万元，下降50.6%，主要原因是原公社邮递员乡办邮政人员医疗保险补助项目预算金额减少，其它收入减少。其中：财政拨款收入130.96万元，占99.7%；其他收入0.45万元，占0.3%。此外，2020年初结转和结余32.32万元。</w:t>
      </w:r>
    </w:p>
    <w:p>
      <w:pPr>
        <w:pStyle w:val="26"/>
        <w:shd w:val="clear" w:color="auto" w:fill="FFFFFF"/>
        <w:spacing w:line="580" w:lineRule="exact"/>
        <w:ind w:firstLine="590" w:firstLineChars="245"/>
        <w:rPr>
          <w:sz w:val="27"/>
          <w:szCs w:val="27"/>
          <w:shd w:val="clear" w:color="auto" w:fill="FFFFFF"/>
        </w:rPr>
      </w:pPr>
      <w:r>
        <w:rPr>
          <w:rFonts w:hint="eastAsia"/>
          <w:b/>
          <w:bCs/>
          <w:shd w:val="clear" w:color="auto" w:fill="FFFFFF"/>
        </w:rPr>
        <w:t>3.支出情况。</w:t>
      </w:r>
      <w:r>
        <w:rPr>
          <w:rFonts w:hint="eastAsia"/>
          <w:sz w:val="27"/>
          <w:szCs w:val="27"/>
          <w:shd w:val="clear" w:color="auto" w:fill="FFFFFF"/>
        </w:rPr>
        <w:t>2020年度支出合计162.49万元，较上年决算数减少112.79万元，下降41%，主要原因是原公社邮递员乡办邮政人员医疗保险补助项目经费支出减少，其它项目经费支出减少。其中：基本支出 137.77万元，占84.8%；项目支出24.72万元，占15.2%。</w:t>
      </w:r>
    </w:p>
    <w:p>
      <w:pPr>
        <w:pStyle w:val="26"/>
        <w:autoSpaceDE w:val="0"/>
        <w:spacing w:before="0" w:beforeAutospacing="0" w:after="0" w:afterAutospacing="0" w:line="594" w:lineRule="exact"/>
        <w:ind w:firstLine="482" w:firstLineChars="200"/>
        <w:rPr>
          <w:sz w:val="27"/>
          <w:szCs w:val="27"/>
          <w:shd w:val="clear" w:color="auto" w:fill="FFFFFF"/>
        </w:rPr>
      </w:pPr>
      <w:r>
        <w:rPr>
          <w:rFonts w:hint="eastAsia"/>
          <w:b/>
          <w:bCs/>
          <w:shd w:val="clear" w:color="auto" w:fill="FFFFFF"/>
        </w:rPr>
        <w:t>4.结转结余情况。</w:t>
      </w:r>
      <w:r>
        <w:rPr>
          <w:rFonts w:hint="eastAsia"/>
          <w:sz w:val="27"/>
          <w:szCs w:val="27"/>
          <w:shd w:val="clear" w:color="auto" w:fill="FFFFFF"/>
        </w:rPr>
        <w:t>2020年度年末结转和结余1.23万元，较上年决算数减少2.77万元，下降69.3%，主要原因是</w:t>
      </w:r>
      <w:r>
        <w:rPr>
          <w:rFonts w:hint="eastAsia" w:ascii="仿宋" w:hAnsi="仿宋" w:eastAsia="仿宋"/>
          <w:sz w:val="32"/>
          <w:szCs w:val="32"/>
          <w:shd w:val="clear" w:color="auto" w:fill="FFFFFF"/>
        </w:rPr>
        <w:t>本</w:t>
      </w:r>
      <w:r>
        <w:rPr>
          <w:rFonts w:hint="eastAsia"/>
          <w:sz w:val="27"/>
          <w:szCs w:val="27"/>
          <w:shd w:val="clear" w:color="auto" w:fill="FFFFFF"/>
        </w:rPr>
        <w:t>年收入减少，使用了年初结转结余。</w:t>
      </w:r>
    </w:p>
    <w:p>
      <w:pPr>
        <w:pStyle w:val="26"/>
        <w:shd w:val="clear" w:color="auto" w:fill="FFFFFF"/>
        <w:spacing w:line="580" w:lineRule="exact"/>
        <w:ind w:firstLine="590" w:firstLineChars="245"/>
        <w:rPr>
          <w:sz w:val="27"/>
          <w:szCs w:val="27"/>
          <w:shd w:val="clear" w:color="auto" w:fill="FFFFFF"/>
        </w:rPr>
      </w:pPr>
      <w:r>
        <w:rPr>
          <w:rFonts w:hint="eastAsia"/>
          <w:b/>
          <w:bCs/>
          <w:shd w:val="clear" w:color="auto" w:fill="FFFFFF"/>
        </w:rPr>
        <w:t>（二）财政拨款收入支出决算总体情况说明</w:t>
      </w:r>
    </w:p>
    <w:p>
      <w:pPr>
        <w:pStyle w:val="26"/>
        <w:shd w:val="clear" w:color="auto" w:fill="FFFFFF"/>
        <w:spacing w:line="580" w:lineRule="exact"/>
        <w:ind w:firstLine="529" w:firstLineChars="196"/>
        <w:rPr>
          <w:rFonts w:ascii="仿宋" w:hAnsi="仿宋" w:eastAsia="仿宋"/>
          <w:sz w:val="32"/>
          <w:szCs w:val="32"/>
          <w:shd w:val="clear" w:color="auto" w:fill="FFFFFF"/>
        </w:rPr>
      </w:pPr>
      <w:r>
        <w:rPr>
          <w:rFonts w:hint="eastAsia"/>
          <w:sz w:val="27"/>
          <w:szCs w:val="27"/>
          <w:shd w:val="clear" w:color="auto" w:fill="FFFFFF"/>
        </w:rPr>
        <w:t xml:space="preserve">  2020年度财政拨款收、支总计146万元。与2019年相比，财政拨款收、支总计各减少88.69万元，下降37.8%。主要原因是</w:t>
      </w:r>
      <w:r>
        <w:rPr>
          <w:rFonts w:hint="eastAsia" w:ascii="仿宋" w:hAnsi="仿宋" w:eastAsia="仿宋"/>
          <w:sz w:val="32"/>
          <w:szCs w:val="32"/>
          <w:shd w:val="clear" w:color="auto" w:fill="FFFFFF"/>
        </w:rPr>
        <w:t>2020</w:t>
      </w:r>
      <w:r>
        <w:rPr>
          <w:rFonts w:hint="eastAsia"/>
          <w:sz w:val="27"/>
          <w:szCs w:val="27"/>
          <w:shd w:val="clear" w:color="auto" w:fill="FFFFFF"/>
        </w:rPr>
        <w:t xml:space="preserve">年原公社邮递员乡办邮政人员医疗保险补助项目经费收入减少55.36万元，其它邮政业支出减少33.33万元。 </w:t>
      </w:r>
    </w:p>
    <w:p>
      <w:pPr>
        <w:pStyle w:val="26"/>
        <w:shd w:val="clear" w:color="auto" w:fill="FFFFFF"/>
        <w:spacing w:line="580" w:lineRule="exact"/>
        <w:ind w:firstLine="361" w:firstLineChars="150"/>
        <w:rPr>
          <w:sz w:val="27"/>
          <w:szCs w:val="27"/>
          <w:shd w:val="clear" w:color="auto" w:fill="FFFFFF"/>
        </w:rPr>
      </w:pPr>
      <w:r>
        <w:rPr>
          <w:rFonts w:hint="eastAsia"/>
          <w:b/>
          <w:bCs/>
          <w:shd w:val="clear" w:color="auto" w:fill="FFFFFF"/>
        </w:rPr>
        <w:t>（三）一般公共预算财政拨款收入支出决算情况说明</w:t>
      </w:r>
    </w:p>
    <w:p>
      <w:pPr>
        <w:pStyle w:val="26"/>
        <w:shd w:val="clear" w:color="auto" w:fill="FFFFFF"/>
        <w:spacing w:line="580" w:lineRule="exact"/>
        <w:ind w:firstLine="472" w:firstLineChars="196"/>
        <w:rPr>
          <w:sz w:val="27"/>
          <w:szCs w:val="27"/>
          <w:shd w:val="clear" w:color="auto" w:fill="FFFFFF"/>
        </w:rPr>
      </w:pPr>
      <w:r>
        <w:rPr>
          <w:rFonts w:hint="eastAsia"/>
          <w:b/>
          <w:bCs/>
          <w:shd w:val="clear" w:color="auto" w:fill="FFFFFF"/>
        </w:rPr>
        <w:t>1.收入情况。</w:t>
      </w:r>
      <w:r>
        <w:rPr>
          <w:rFonts w:hint="eastAsia"/>
          <w:sz w:val="27"/>
          <w:szCs w:val="27"/>
          <w:shd w:val="clear" w:color="auto" w:fill="FFFFFF"/>
        </w:rPr>
        <w:t>2020年度一般公共预算财政拨款收入130.96万元，较上年决算数减少90.61万元，下降40.9%。主要原因是原公社邮递员乡办邮政人员医疗保险补助项目经费预算数减少，人员经费减少。较年初预算数减少1.56万元，下降1.2%。主要原因是原公社邮递员乡办邮政人员医疗保险补助项目年初预算数为8.56万元，而年末只有7万元。此外，年初财政拨款结转和结余32.32万元。</w:t>
      </w:r>
    </w:p>
    <w:p>
      <w:pPr>
        <w:pStyle w:val="26"/>
        <w:shd w:val="clear" w:color="auto" w:fill="FFFFFF"/>
        <w:spacing w:line="580" w:lineRule="exact"/>
        <w:ind w:firstLine="590" w:firstLineChars="245"/>
        <w:rPr>
          <w:sz w:val="27"/>
          <w:szCs w:val="27"/>
          <w:shd w:val="clear" w:color="auto" w:fill="FFFFFF"/>
        </w:rPr>
      </w:pPr>
      <w:r>
        <w:rPr>
          <w:rFonts w:hint="eastAsia"/>
          <w:b/>
          <w:bCs/>
          <w:shd w:val="clear" w:color="auto" w:fill="FFFFFF"/>
        </w:rPr>
        <w:t>2.支出情况。</w:t>
      </w:r>
      <w:r>
        <w:rPr>
          <w:rFonts w:hint="eastAsia"/>
          <w:sz w:val="27"/>
          <w:szCs w:val="27"/>
          <w:shd w:val="clear" w:color="auto" w:fill="FFFFFF"/>
        </w:rPr>
        <w:t>2020年度一般公共预算财政拨款支出144.77万元，较上年决算数减少88.19万元，下降37.9%。主要原因是2020年基本支出减少，项目支出减少。较年初预算数增加10.52万元，增长7.8%。主要原因是人员经费支出增加。</w:t>
      </w:r>
    </w:p>
    <w:p>
      <w:pPr>
        <w:pStyle w:val="26"/>
        <w:shd w:val="clear" w:color="auto" w:fill="FFFFFF"/>
        <w:spacing w:line="580" w:lineRule="exact"/>
        <w:ind w:firstLine="590" w:firstLineChars="245"/>
        <w:rPr>
          <w:sz w:val="27"/>
          <w:szCs w:val="27"/>
          <w:shd w:val="clear" w:color="auto" w:fill="FFFFFF"/>
        </w:rPr>
      </w:pPr>
      <w:r>
        <w:rPr>
          <w:rFonts w:hint="eastAsia"/>
          <w:b/>
          <w:bCs/>
          <w:shd w:val="clear" w:color="auto" w:fill="FFFFFF"/>
        </w:rPr>
        <w:t>3.结转结余情况。</w:t>
      </w:r>
      <w:r>
        <w:rPr>
          <w:rFonts w:hint="eastAsia"/>
          <w:sz w:val="27"/>
          <w:szCs w:val="27"/>
          <w:shd w:val="clear" w:color="auto" w:fill="FFFFFF"/>
        </w:rPr>
        <w:t>2020年度年末一般公共预算财政拨款结转和结余1.23万元，较上年决算数减少0.50万元，下降28.9%，主要原因是本年度收入减少，使用了年初结转结余。</w:t>
      </w:r>
    </w:p>
    <w:p>
      <w:pPr>
        <w:pStyle w:val="26"/>
        <w:shd w:val="clear" w:color="auto" w:fill="FFFFFF"/>
        <w:spacing w:line="580" w:lineRule="exact"/>
        <w:ind w:firstLine="472" w:firstLineChars="196"/>
        <w:rPr>
          <w:sz w:val="27"/>
          <w:szCs w:val="27"/>
          <w:shd w:val="clear" w:color="auto" w:fill="FFFFFF"/>
        </w:rPr>
      </w:pPr>
      <w:r>
        <w:rPr>
          <w:rFonts w:hint="eastAsia"/>
          <w:b/>
          <w:bCs/>
          <w:shd w:val="clear" w:color="auto" w:fill="FFFFFF"/>
        </w:rPr>
        <w:t>4.比较情况</w:t>
      </w:r>
      <w:r>
        <w:rPr>
          <w:rFonts w:hint="eastAsia"/>
          <w:sz w:val="27"/>
          <w:szCs w:val="27"/>
          <w:shd w:val="clear" w:color="auto" w:fill="FFFFFF"/>
        </w:rPr>
        <w:t>。本部门2020年度一般公共预算财政拨款支出主要用于以下几个方面：</w:t>
      </w:r>
    </w:p>
    <w:p>
      <w:pPr>
        <w:pStyle w:val="26"/>
        <w:shd w:val="clear" w:color="auto" w:fill="FFFFFF"/>
        <w:spacing w:line="580" w:lineRule="exact"/>
        <w:ind w:firstLine="405" w:firstLineChars="150"/>
        <w:rPr>
          <w:sz w:val="27"/>
          <w:szCs w:val="27"/>
          <w:shd w:val="clear" w:color="auto" w:fill="FFFFFF"/>
        </w:rPr>
      </w:pPr>
      <w:r>
        <w:rPr>
          <w:rFonts w:hint="eastAsia"/>
          <w:sz w:val="27"/>
          <w:szCs w:val="27"/>
          <w:shd w:val="clear" w:color="auto" w:fill="FFFFFF"/>
        </w:rPr>
        <w:t>（1）教育支出0.33万元，占0.2%，较年初预算数增加0.00万 元，增长0.0%。</w:t>
      </w:r>
    </w:p>
    <w:p>
      <w:pPr>
        <w:pStyle w:val="26"/>
        <w:shd w:val="clear" w:color="auto" w:fill="FFFFFF"/>
        <w:spacing w:line="580" w:lineRule="exact"/>
        <w:ind w:firstLine="405" w:firstLineChars="150"/>
        <w:rPr>
          <w:sz w:val="27"/>
          <w:szCs w:val="27"/>
          <w:shd w:val="clear" w:color="auto" w:fill="FFFFFF"/>
        </w:rPr>
      </w:pPr>
      <w:r>
        <w:rPr>
          <w:rFonts w:hint="eastAsia"/>
          <w:sz w:val="27"/>
          <w:szCs w:val="27"/>
          <w:shd w:val="clear" w:color="auto" w:fill="FFFFFF"/>
        </w:rPr>
        <w:t>（2）社会保障与就业支出11.24万元，占7.8%，较年初预算数减少0.59万元，下降5%，主要原因是2020年社会保障与就业支出基数下调。</w:t>
      </w:r>
    </w:p>
    <w:p>
      <w:pPr>
        <w:pStyle w:val="26"/>
        <w:shd w:val="clear" w:color="auto" w:fill="FFFFFF"/>
        <w:spacing w:line="580" w:lineRule="exact"/>
        <w:ind w:firstLine="405" w:firstLineChars="150"/>
        <w:rPr>
          <w:sz w:val="27"/>
          <w:szCs w:val="27"/>
          <w:shd w:val="clear" w:color="auto" w:fill="FFFFFF"/>
        </w:rPr>
      </w:pPr>
      <w:r>
        <w:rPr>
          <w:rFonts w:hint="eastAsia"/>
          <w:sz w:val="27"/>
          <w:szCs w:val="27"/>
          <w:shd w:val="clear" w:color="auto" w:fill="FFFFFF"/>
        </w:rPr>
        <w:t>（3）卫生健康支出4.81万元，占3.3%，较年初预算数减少0.12万元，下降2.4%，主要原因是卫生健康支出基数下调。</w:t>
      </w:r>
    </w:p>
    <w:p>
      <w:pPr>
        <w:pStyle w:val="26"/>
        <w:autoSpaceDE w:val="0"/>
        <w:spacing w:before="0" w:beforeAutospacing="0" w:after="0" w:afterAutospacing="0" w:line="594" w:lineRule="exact"/>
        <w:ind w:firstLine="540" w:firstLineChars="200"/>
        <w:rPr>
          <w:sz w:val="27"/>
          <w:szCs w:val="27"/>
          <w:shd w:val="clear" w:color="auto" w:fill="FFFFFF"/>
        </w:rPr>
      </w:pPr>
      <w:r>
        <w:rPr>
          <w:rFonts w:hint="eastAsia"/>
          <w:sz w:val="27"/>
          <w:szCs w:val="27"/>
          <w:shd w:val="clear" w:color="auto" w:fill="FFFFFF"/>
        </w:rPr>
        <w:t>（4）交通运输支出122.47万元，占84.6%，较年初预算数增加11.22万元，增长10.1%，主要原因是人员经费增加19.26万元，公用经费减少8.04万元等。</w:t>
      </w:r>
    </w:p>
    <w:p>
      <w:pPr>
        <w:pStyle w:val="26"/>
        <w:shd w:val="clear" w:color="auto" w:fill="FFFFFF"/>
        <w:spacing w:line="580" w:lineRule="exact"/>
        <w:ind w:firstLine="405" w:firstLineChars="150"/>
        <w:rPr>
          <w:sz w:val="27"/>
          <w:szCs w:val="27"/>
          <w:shd w:val="clear" w:color="auto" w:fill="FFFFFF"/>
        </w:rPr>
      </w:pPr>
      <w:r>
        <w:rPr>
          <w:rFonts w:hint="eastAsia"/>
          <w:sz w:val="27"/>
          <w:szCs w:val="27"/>
          <w:shd w:val="clear" w:color="auto" w:fill="FFFFFF"/>
        </w:rPr>
        <w:t>（5）住房保障支出5.91万元，占4.1%，较年初预算数增加0.00万元，增长0.0%，主要原因是收入支出数相等。</w:t>
      </w:r>
    </w:p>
    <w:p>
      <w:pPr>
        <w:pStyle w:val="26"/>
        <w:shd w:val="clear" w:color="auto" w:fill="FFFFFF"/>
        <w:spacing w:line="580" w:lineRule="exact"/>
        <w:rPr>
          <w:sz w:val="27"/>
          <w:szCs w:val="27"/>
          <w:shd w:val="clear" w:color="auto" w:fill="FFFFFF"/>
        </w:rPr>
      </w:pPr>
      <w:r>
        <w:rPr>
          <w:rFonts w:hint="eastAsia"/>
          <w:b/>
          <w:bCs/>
          <w:shd w:val="clear" w:color="auto" w:fill="FFFFFF"/>
        </w:rPr>
        <w:t>（四）一般公共预算财政拨款基本支出决算情况说明</w:t>
      </w:r>
    </w:p>
    <w:p>
      <w:pPr>
        <w:pStyle w:val="26"/>
        <w:shd w:val="clear" w:color="auto" w:fill="FFFFFF"/>
        <w:spacing w:line="580" w:lineRule="exact"/>
        <w:rPr>
          <w:sz w:val="27"/>
          <w:szCs w:val="27"/>
          <w:shd w:val="clear" w:color="auto" w:fill="FFFFFF"/>
        </w:rPr>
      </w:pPr>
      <w:r>
        <w:rPr>
          <w:rFonts w:hint="eastAsia"/>
          <w:sz w:val="27"/>
          <w:szCs w:val="27"/>
          <w:shd w:val="clear" w:color="auto" w:fill="FFFFFF"/>
        </w:rPr>
        <w:t xml:space="preserve">  2020年度一般公共财政拨款基本支出137.77万元。其中：人员经费122.06万元，较上年决算数减少2.60万元，下降2.1%，主要原因是人员的养老保险金、职业年金缴费基数下调。人员经费用途主要包括人员基本工资、津贴、绩效工资、伙食补助费、养老保险交费、职业年金交费、医疗费、公积金、其它社会保障交费、其它工资福利。公用经费15.71万元，较上年决算数减少30.24万元，下降65.8%，主要原因是人员差旅费，印刷费在项目经费支出。公用经费用途主要包括办公费、邮电费、劳务费、接待费、培训费、工会经费、其它交通费和其它商品服务支出。</w:t>
      </w:r>
    </w:p>
    <w:p>
      <w:pPr>
        <w:pStyle w:val="26"/>
        <w:shd w:val="clear" w:color="auto" w:fill="FFFFFF"/>
        <w:spacing w:line="580" w:lineRule="exact"/>
        <w:rPr>
          <w:sz w:val="27"/>
          <w:szCs w:val="27"/>
          <w:shd w:val="clear" w:color="auto" w:fill="FFFFFF"/>
        </w:rPr>
      </w:pPr>
      <w:r>
        <w:rPr>
          <w:rFonts w:hint="eastAsia"/>
          <w:b/>
          <w:bCs/>
          <w:shd w:val="clear" w:color="auto" w:fill="FFFFFF"/>
        </w:rPr>
        <w:t>（五）政府性基金预算收支决算情况说明</w:t>
      </w:r>
    </w:p>
    <w:p>
      <w:pPr>
        <w:pStyle w:val="26"/>
        <w:shd w:val="clear" w:color="auto" w:fill="FFFFFF"/>
        <w:spacing w:line="580" w:lineRule="exact"/>
        <w:rPr>
          <w:sz w:val="27"/>
          <w:szCs w:val="27"/>
          <w:shd w:val="clear" w:color="auto" w:fill="FFFFFF"/>
        </w:rPr>
      </w:pPr>
      <w:r>
        <w:rPr>
          <w:rFonts w:hint="eastAsia"/>
          <w:sz w:val="27"/>
          <w:szCs w:val="27"/>
          <w:shd w:val="clear" w:color="auto" w:fill="FFFFFF"/>
        </w:rPr>
        <w:t xml:space="preserve"> 本部门2020年度无政府性基金预算财政拨款收支。</w:t>
      </w:r>
    </w:p>
    <w:p>
      <w:pPr>
        <w:pStyle w:val="26"/>
        <w:shd w:val="clear" w:color="auto" w:fill="FFFFFF"/>
        <w:spacing w:line="580" w:lineRule="exact"/>
        <w:rPr>
          <w:sz w:val="27"/>
          <w:szCs w:val="27"/>
          <w:shd w:val="clear" w:color="auto" w:fill="FFFFFF"/>
        </w:rPr>
      </w:pPr>
      <w:r>
        <w:rPr>
          <w:rFonts w:hint="eastAsia"/>
          <w:b/>
          <w:bCs/>
          <w:shd w:val="clear" w:color="auto" w:fill="FFFFFF"/>
        </w:rPr>
        <w:t>（六）国有资本经营预算财政拨款支出决算情况说明</w:t>
      </w:r>
    </w:p>
    <w:p>
      <w:pPr>
        <w:pStyle w:val="26"/>
        <w:shd w:val="clear" w:color="auto" w:fill="FFFFFF"/>
        <w:spacing w:line="580" w:lineRule="exact"/>
        <w:rPr>
          <w:b/>
          <w:bCs/>
          <w:shd w:val="clear" w:color="auto" w:fill="FFFFFF"/>
        </w:rPr>
      </w:pPr>
      <w:r>
        <w:rPr>
          <w:rFonts w:hint="eastAsia"/>
          <w:sz w:val="27"/>
          <w:szCs w:val="27"/>
          <w:shd w:val="clear" w:color="auto" w:fill="FFFFFF"/>
        </w:rPr>
        <w:t xml:space="preserve"> 本部门2020年度无国有资本经营预算财政拨款支出。</w:t>
      </w:r>
    </w:p>
    <w:p>
      <w:pPr>
        <w:pStyle w:val="26"/>
        <w:shd w:val="clear" w:color="auto" w:fill="FFFFFF"/>
        <w:spacing w:line="580" w:lineRule="exact"/>
        <w:rPr>
          <w:sz w:val="27"/>
          <w:szCs w:val="27"/>
          <w:shd w:val="clear" w:color="auto" w:fill="FFFFFF"/>
        </w:rPr>
      </w:pPr>
      <w:r>
        <w:rPr>
          <w:rFonts w:hint="eastAsia"/>
          <w:b/>
          <w:bCs/>
          <w:sz w:val="27"/>
          <w:szCs w:val="27"/>
          <w:shd w:val="clear" w:color="auto" w:fill="FFFFFF"/>
        </w:rPr>
        <w:t>三、“三公”经费情况说明</w:t>
      </w:r>
    </w:p>
    <w:p>
      <w:pPr>
        <w:pStyle w:val="26"/>
        <w:shd w:val="clear" w:color="auto" w:fill="FFFFFF"/>
        <w:spacing w:line="580" w:lineRule="exact"/>
        <w:rPr>
          <w:sz w:val="27"/>
          <w:szCs w:val="27"/>
          <w:shd w:val="clear" w:color="auto" w:fill="FFFFFF"/>
        </w:rPr>
      </w:pPr>
      <w:r>
        <w:rPr>
          <w:rFonts w:hint="eastAsia"/>
          <w:b/>
          <w:bCs/>
          <w:shd w:val="clear" w:color="auto" w:fill="FFFFFF"/>
        </w:rPr>
        <w:t>（一）“三公”经费支出总体情况说明</w:t>
      </w:r>
    </w:p>
    <w:p>
      <w:pPr>
        <w:pStyle w:val="26"/>
        <w:autoSpaceDE w:val="0"/>
        <w:spacing w:before="0" w:beforeAutospacing="0" w:after="0" w:afterAutospacing="0" w:line="594" w:lineRule="exact"/>
        <w:ind w:firstLine="540" w:firstLineChars="200"/>
        <w:rPr>
          <w:sz w:val="27"/>
          <w:szCs w:val="27"/>
          <w:shd w:val="clear" w:color="auto" w:fill="FFFFFF"/>
        </w:rPr>
      </w:pPr>
      <w:r>
        <w:rPr>
          <w:rFonts w:hint="eastAsia"/>
          <w:sz w:val="27"/>
          <w:szCs w:val="27"/>
          <w:shd w:val="clear" w:color="auto" w:fill="FFFFFF"/>
        </w:rPr>
        <w:t>2020年度“三公”经费支出共计0.34万元，较年初预算数减少0.06万元，下降15.0%，主要原因是2020年度“三公经费”预算数为0.4万元，而实际支出只有0.34万元。 较上年支出数减少0.39万元，下降53.4%，主要原因是</w:t>
      </w:r>
      <w:r>
        <w:rPr>
          <w:rFonts w:hint="eastAsia" w:ascii="仿宋" w:hAnsi="仿宋" w:eastAsia="仿宋"/>
          <w:sz w:val="32"/>
          <w:szCs w:val="32"/>
          <w:shd w:val="clear" w:color="auto" w:fill="FFFFFF"/>
        </w:rPr>
        <w:t>认</w:t>
      </w:r>
      <w:r>
        <w:rPr>
          <w:rFonts w:hint="eastAsia"/>
          <w:sz w:val="27"/>
          <w:szCs w:val="27"/>
          <w:shd w:val="clear" w:color="auto" w:fill="FFFFFF"/>
        </w:rPr>
        <w:t>真贯彻落实中央</w:t>
      </w:r>
      <w:bookmarkStart w:id="0" w:name="_GoBack"/>
      <w:bookmarkEnd w:id="0"/>
      <w:r>
        <w:rPr>
          <w:rFonts w:hint="eastAsia"/>
          <w:sz w:val="27"/>
          <w:szCs w:val="27"/>
          <w:shd w:val="clear" w:color="auto" w:fill="FFFFFF"/>
        </w:rPr>
        <w:t>八项规定精神和厉行节约要求，按照只减不增的要求从严控制三公经费，接待人次比上年减少。</w:t>
      </w:r>
    </w:p>
    <w:p>
      <w:pPr>
        <w:pStyle w:val="26"/>
        <w:shd w:val="clear" w:color="auto" w:fill="FFFFFF"/>
        <w:spacing w:line="580" w:lineRule="exact"/>
        <w:rPr>
          <w:sz w:val="27"/>
          <w:szCs w:val="27"/>
          <w:shd w:val="clear" w:color="auto" w:fill="FFFFFF"/>
        </w:rPr>
      </w:pPr>
      <w:r>
        <w:rPr>
          <w:rFonts w:hint="eastAsia"/>
          <w:sz w:val="27"/>
          <w:szCs w:val="27"/>
          <w:shd w:val="clear" w:color="auto" w:fill="FFFFFF"/>
        </w:rPr>
        <w:t>（二）“三公”经费分项支出情况</w:t>
      </w:r>
    </w:p>
    <w:p>
      <w:pPr>
        <w:pStyle w:val="26"/>
        <w:shd w:val="clear" w:color="auto" w:fill="FFFFFF"/>
        <w:spacing w:line="580" w:lineRule="exact"/>
        <w:ind w:firstLine="540" w:firstLineChars="200"/>
        <w:rPr>
          <w:sz w:val="27"/>
          <w:szCs w:val="27"/>
          <w:shd w:val="clear" w:color="auto" w:fill="FFFFFF"/>
        </w:rPr>
      </w:pPr>
      <w:r>
        <w:rPr>
          <w:rFonts w:hint="eastAsia"/>
          <w:sz w:val="27"/>
          <w:szCs w:val="27"/>
          <w:shd w:val="clear" w:color="auto" w:fill="FFFFFF"/>
        </w:rPr>
        <w:t>2020年度本部门因公出国（境）费0.00万元，主要用于人员因公出国（境）费，费用支出较年初预算数增加0.00万元，增长0.0%，主要原因是无因公出国（境）费预算数。较上年支出数增加0.00万元，增长0.0%，主要原因是没有发生因公出国（境）费。</w:t>
      </w:r>
    </w:p>
    <w:p>
      <w:pPr>
        <w:pStyle w:val="26"/>
        <w:shd w:val="clear" w:color="auto" w:fill="FFFFFF"/>
        <w:spacing w:line="580" w:lineRule="exact"/>
        <w:ind w:firstLine="540" w:firstLineChars="200"/>
        <w:rPr>
          <w:sz w:val="27"/>
          <w:szCs w:val="27"/>
          <w:shd w:val="clear" w:color="auto" w:fill="FFFFFF"/>
        </w:rPr>
      </w:pPr>
      <w:r>
        <w:rPr>
          <w:rFonts w:hint="eastAsia"/>
          <w:sz w:val="27"/>
          <w:szCs w:val="27"/>
          <w:shd w:val="clear" w:color="auto" w:fill="FFFFFF"/>
        </w:rPr>
        <w:t>公务车购置费0.00万元，主要用于公务车购置。费用支出较年初预算数增加0.00万元，增长0%，主要原因是无预算数。较上年支出数增加0.00万元，增长0%，主要原因是没有发生公务车购置费。</w:t>
      </w:r>
    </w:p>
    <w:p>
      <w:pPr>
        <w:pStyle w:val="26"/>
        <w:shd w:val="clear" w:color="auto" w:fill="FFFFFF"/>
        <w:spacing w:line="580" w:lineRule="exact"/>
        <w:ind w:firstLine="540" w:firstLineChars="200"/>
        <w:rPr>
          <w:sz w:val="27"/>
          <w:szCs w:val="27"/>
          <w:shd w:val="clear" w:color="auto" w:fill="FFFFFF"/>
        </w:rPr>
      </w:pPr>
      <w:r>
        <w:rPr>
          <w:rFonts w:hint="eastAsia"/>
          <w:sz w:val="27"/>
          <w:szCs w:val="27"/>
          <w:shd w:val="clear" w:color="auto" w:fill="FFFFFF"/>
        </w:rPr>
        <w:t>公务车运行维护费0.00万元，主要用于公务车运行维护。费用支出较年初预算数增加0.00万元，增长0%，主要原因是没有公务车运行维护费。较上年支出数增加0.00万元，增长0%，主要原因是没有发生公务车运行维护费。</w:t>
      </w:r>
    </w:p>
    <w:p>
      <w:pPr>
        <w:pStyle w:val="26"/>
        <w:autoSpaceDE w:val="0"/>
        <w:spacing w:before="0" w:beforeAutospacing="0" w:after="0" w:afterAutospacing="0" w:line="594" w:lineRule="exact"/>
        <w:ind w:firstLine="540" w:firstLineChars="200"/>
        <w:rPr>
          <w:sz w:val="27"/>
          <w:szCs w:val="27"/>
          <w:shd w:val="clear" w:color="auto" w:fill="FFFFFF"/>
        </w:rPr>
      </w:pPr>
      <w:r>
        <w:rPr>
          <w:rFonts w:hint="eastAsia"/>
          <w:sz w:val="27"/>
          <w:szCs w:val="27"/>
          <w:shd w:val="clear" w:color="auto" w:fill="FFFFFF"/>
        </w:rPr>
        <w:t>公务接待费0.34万元，主要用于接待重庆市邮政管理局领导、涪陵三分局领导来检查督导安全工作用。费用支出较年初预算数减少0.06万元，下降15</w:t>
      </w:r>
      <w:r>
        <w:rPr>
          <w:rFonts w:hint="eastAsia"/>
          <w:sz w:val="27"/>
          <w:szCs w:val="27"/>
          <w:shd w:val="clear" w:color="auto" w:fill="FFFFFF"/>
          <w:lang w:val="en-US" w:eastAsia="zh-CN"/>
        </w:rPr>
        <w:t>.0</w:t>
      </w:r>
      <w:r>
        <w:rPr>
          <w:rFonts w:hint="eastAsia"/>
          <w:sz w:val="27"/>
          <w:szCs w:val="27"/>
          <w:shd w:val="clear" w:color="auto" w:fill="FFFFFF"/>
        </w:rPr>
        <w:t>%，主要原因是本年度实际接待费只有0.34万元。较上年支出数减少0.39万元，下降53.4%，主要原因是认真贯彻落实中央八项规定精神和厉行节约要求，按照只减不增的要求从严控制三公经费，接待人次比上年减少。</w:t>
      </w:r>
    </w:p>
    <w:p>
      <w:pPr>
        <w:pStyle w:val="26"/>
        <w:shd w:val="clear" w:color="auto" w:fill="FFFFFF"/>
        <w:spacing w:line="580" w:lineRule="exact"/>
        <w:ind w:firstLine="540" w:firstLineChars="200"/>
        <w:rPr>
          <w:sz w:val="27"/>
          <w:szCs w:val="27"/>
          <w:shd w:val="clear" w:color="auto" w:fill="FFFFFF"/>
        </w:rPr>
      </w:pPr>
      <w:r>
        <w:rPr>
          <w:rFonts w:hint="eastAsia"/>
          <w:sz w:val="27"/>
          <w:szCs w:val="27"/>
          <w:shd w:val="clear" w:color="auto" w:fill="FFFFFF"/>
        </w:rPr>
        <w:t>（三）“三公”经费实物量情况</w:t>
      </w:r>
    </w:p>
    <w:p>
      <w:pPr>
        <w:pStyle w:val="26"/>
        <w:shd w:val="clear" w:color="auto" w:fill="FFFFFF"/>
        <w:spacing w:line="580" w:lineRule="exact"/>
        <w:ind w:firstLine="675" w:firstLineChars="250"/>
        <w:rPr>
          <w:sz w:val="27"/>
          <w:szCs w:val="27"/>
          <w:shd w:val="clear" w:color="auto" w:fill="FFFFFF"/>
        </w:rPr>
      </w:pPr>
      <w:r>
        <w:rPr>
          <w:rFonts w:hint="eastAsia"/>
          <w:sz w:val="27"/>
          <w:szCs w:val="27"/>
          <w:shd w:val="clear" w:color="auto" w:fill="FFFFFF"/>
        </w:rPr>
        <w:t>2020年度本部门因公出国（境）共计0个团组，0人；公务用车购置0辆，公务车保有量为0辆；国内公务接待7批次45人，其中：国内外事接待0批次，0人；国（境）外公务接待0批次，0人。2020年本部门人均接待费76.27元，车均购置费0.00万元，车均维护费0.00万元。</w:t>
      </w:r>
    </w:p>
    <w:p>
      <w:pPr>
        <w:pStyle w:val="26"/>
        <w:shd w:val="clear" w:color="auto" w:fill="FFFFFF"/>
        <w:spacing w:line="580" w:lineRule="exact"/>
        <w:rPr>
          <w:sz w:val="27"/>
          <w:szCs w:val="27"/>
          <w:shd w:val="clear" w:color="auto" w:fill="FFFFFF"/>
        </w:rPr>
      </w:pPr>
      <w:r>
        <w:rPr>
          <w:rFonts w:hint="eastAsia"/>
          <w:b/>
          <w:bCs/>
          <w:sz w:val="27"/>
          <w:szCs w:val="27"/>
          <w:shd w:val="clear" w:color="auto" w:fill="FFFFFF"/>
        </w:rPr>
        <w:t>四、其他需要说明的事项</w:t>
      </w:r>
    </w:p>
    <w:p>
      <w:pPr>
        <w:pStyle w:val="26"/>
        <w:shd w:val="clear" w:color="auto" w:fill="FFFFFF"/>
        <w:spacing w:line="580" w:lineRule="exact"/>
        <w:rPr>
          <w:sz w:val="27"/>
          <w:szCs w:val="27"/>
          <w:shd w:val="clear" w:color="auto" w:fill="FFFFFF"/>
        </w:rPr>
      </w:pPr>
      <w:r>
        <w:rPr>
          <w:rFonts w:hint="eastAsia"/>
          <w:b/>
          <w:bCs/>
          <w:shd w:val="clear" w:color="auto" w:fill="FFFFFF"/>
        </w:rPr>
        <w:t>（一）机关运行经费情况说明</w:t>
      </w:r>
    </w:p>
    <w:p>
      <w:pPr>
        <w:pStyle w:val="26"/>
        <w:shd w:val="clear" w:color="auto" w:fill="FFFFFF"/>
        <w:spacing w:line="580" w:lineRule="exact"/>
        <w:ind w:firstLine="540" w:firstLineChars="200"/>
        <w:rPr>
          <w:sz w:val="27"/>
          <w:szCs w:val="27"/>
          <w:shd w:val="clear" w:color="auto" w:fill="FFFFFF"/>
        </w:rPr>
      </w:pPr>
      <w:r>
        <w:rPr>
          <w:rFonts w:hint="eastAsia"/>
          <w:sz w:val="27"/>
          <w:szCs w:val="27"/>
          <w:shd w:val="clear" w:color="auto" w:fill="FFFFFF"/>
        </w:rPr>
        <w:t>2020年度本部门机关运行经费支出0.00万元，机关运行经费主要用于开支交通运输支出，教育支出，卫生健康支出，社会就业保障支出，住房保障支出。机关运行经费较上年决算数增加0.00万元，增长0%，主要原因是按照部门决算列报口径，我单位不在机关运行经费统计范围之内。</w:t>
      </w:r>
    </w:p>
    <w:p>
      <w:pPr>
        <w:pStyle w:val="26"/>
        <w:shd w:val="clear" w:color="auto" w:fill="FFFFFF"/>
        <w:spacing w:line="580" w:lineRule="exact"/>
        <w:ind w:firstLine="540" w:firstLineChars="200"/>
        <w:rPr>
          <w:sz w:val="27"/>
          <w:szCs w:val="27"/>
          <w:shd w:val="clear" w:color="auto" w:fill="FFFFFF"/>
        </w:rPr>
      </w:pPr>
      <w:r>
        <w:rPr>
          <w:rFonts w:hint="eastAsia"/>
          <w:sz w:val="27"/>
          <w:szCs w:val="27"/>
          <w:shd w:val="clear" w:color="auto" w:fill="FFFFFF"/>
        </w:rPr>
        <w:t>本年度会议费支出0.00万元，较上年决算数增加0.00万元，增长%，主要原因是本单位2020年没有发生会议费。本年度培训费支出 0.33万元，较上年决算数减少1.78万元，下降84.4%，主要原因是本年度没有发生党员干部远程教育培训费，2019年有党员干部远程教育培训费1.52万元。</w:t>
      </w:r>
    </w:p>
    <w:p>
      <w:pPr>
        <w:pStyle w:val="26"/>
        <w:shd w:val="clear" w:color="auto" w:fill="FFFFFF"/>
        <w:rPr>
          <w:sz w:val="27"/>
          <w:szCs w:val="27"/>
          <w:shd w:val="clear" w:color="auto" w:fill="FFFFFF"/>
        </w:rPr>
      </w:pPr>
      <w:r>
        <w:rPr>
          <w:rFonts w:hint="eastAsia"/>
          <w:b/>
          <w:bCs/>
          <w:shd w:val="clear" w:color="auto" w:fill="FFFFFF"/>
        </w:rPr>
        <w:t>（二）国有资产占用情况说明</w:t>
      </w:r>
    </w:p>
    <w:p>
      <w:pPr>
        <w:pStyle w:val="26"/>
        <w:shd w:val="clear" w:color="auto" w:fill="FFFFFF"/>
        <w:ind w:firstLine="540" w:firstLineChars="200"/>
        <w:rPr>
          <w:sz w:val="27"/>
          <w:szCs w:val="27"/>
          <w:shd w:val="clear" w:color="auto" w:fill="FFFFFF"/>
        </w:rPr>
      </w:pPr>
      <w:r>
        <w:rPr>
          <w:rFonts w:hint="eastAsia"/>
          <w:sz w:val="27"/>
          <w:szCs w:val="27"/>
          <w:shd w:val="clear" w:color="auto" w:fill="FFFFFF"/>
        </w:rPr>
        <w:t>截至2020年12月31日，本部门共有车辆0辆，其中，副部（省）级及以上领导用车0辆、主要领导干部用车0辆、机要通信用车0辆、应急保障用车0辆、执法执勤用车1辆，特种专业技术用车0辆，离退休干部用车0辆，其他用车0辆。单价50万元（含）以上通用设备0台（套），单价100万元（含）以上专用设备0台（套）。</w:t>
      </w:r>
    </w:p>
    <w:p>
      <w:pPr>
        <w:pStyle w:val="26"/>
        <w:shd w:val="clear" w:color="auto" w:fill="FFFFFF"/>
        <w:spacing w:line="580" w:lineRule="exact"/>
        <w:rPr>
          <w:b/>
          <w:bCs/>
          <w:shd w:val="clear" w:color="auto" w:fill="FFFFFF"/>
        </w:rPr>
      </w:pPr>
      <w:r>
        <w:rPr>
          <w:rFonts w:hint="eastAsia"/>
          <w:b/>
          <w:bCs/>
          <w:shd w:val="clear" w:color="auto" w:fill="FFFFFF"/>
        </w:rPr>
        <w:t>（三）政府采购支出情况说明</w:t>
      </w:r>
    </w:p>
    <w:p>
      <w:pPr>
        <w:pStyle w:val="26"/>
        <w:shd w:val="clear" w:color="auto" w:fill="FFFFFF"/>
        <w:spacing w:line="580" w:lineRule="exact"/>
        <w:ind w:firstLine="590" w:firstLineChars="245"/>
        <w:rPr>
          <w:sz w:val="27"/>
          <w:szCs w:val="27"/>
          <w:shd w:val="clear" w:color="auto" w:fill="FFFFFF"/>
        </w:rPr>
      </w:pPr>
      <w:r>
        <w:rPr>
          <w:rFonts w:hint="eastAsia"/>
          <w:b/>
          <w:bCs/>
          <w:shd w:val="clear" w:color="auto" w:fill="FFFFFF"/>
        </w:rPr>
        <w:t>2</w:t>
      </w:r>
      <w:r>
        <w:rPr>
          <w:rFonts w:hint="eastAsia"/>
          <w:sz w:val="27"/>
          <w:szCs w:val="27"/>
          <w:shd w:val="clear" w:color="auto" w:fill="FFFFFF"/>
        </w:rPr>
        <w:t>020年度本部门政府采购支出总额0.00万元，其中：政府采购货物支出0.00万元、政府采购工程支出0.00万元、政府采购服务支出0.00万元。授予中小企业合同金额 0.00万元，占政府采购支出总额的%，其中：授予小微企业合同金额 0.00万元，占政府采购支出总额的0.0%。2020年度我单位未发生政府采购事项，无相关经费支出。</w:t>
      </w:r>
    </w:p>
    <w:p>
      <w:pPr>
        <w:pStyle w:val="26"/>
        <w:shd w:val="clear" w:color="auto" w:fill="FFFFFF"/>
        <w:rPr>
          <w:sz w:val="27"/>
          <w:szCs w:val="27"/>
          <w:shd w:val="clear" w:color="auto" w:fill="FFFFFF"/>
        </w:rPr>
      </w:pPr>
      <w:r>
        <w:rPr>
          <w:rFonts w:hint="eastAsia"/>
          <w:b/>
          <w:bCs/>
          <w:sz w:val="27"/>
          <w:szCs w:val="27"/>
          <w:shd w:val="clear" w:color="auto" w:fill="FFFFFF"/>
        </w:rPr>
        <w:t>五、预算绩效管理情况说明</w:t>
      </w:r>
    </w:p>
    <w:p>
      <w:pPr>
        <w:pStyle w:val="26"/>
        <w:shd w:val="clear" w:color="auto" w:fill="FFFFFF"/>
        <w:ind w:firstLine="354" w:firstLineChars="147"/>
        <w:rPr>
          <w:b/>
          <w:bCs/>
          <w:shd w:val="clear" w:color="auto" w:fill="FFFFFF"/>
        </w:rPr>
      </w:pPr>
      <w:r>
        <w:rPr>
          <w:rFonts w:hint="eastAsia"/>
          <w:b/>
          <w:bCs/>
          <w:shd w:val="clear" w:color="auto" w:fill="FFFFFF"/>
        </w:rPr>
        <w:t>（一）预算绩效管理工作开展情况</w:t>
      </w:r>
    </w:p>
    <w:p>
      <w:pPr>
        <w:pStyle w:val="26"/>
        <w:shd w:val="clear" w:color="auto" w:fill="FFFFFF"/>
        <w:ind w:firstLine="529" w:firstLineChars="196"/>
        <w:rPr>
          <w:sz w:val="27"/>
          <w:szCs w:val="27"/>
          <w:shd w:val="clear" w:color="auto" w:fill="FFFFFF"/>
        </w:rPr>
      </w:pPr>
      <w:r>
        <w:rPr>
          <w:rFonts w:hint="eastAsia"/>
          <w:sz w:val="27"/>
          <w:szCs w:val="27"/>
          <w:shd w:val="clear" w:color="auto" w:fill="FFFFFF"/>
        </w:rPr>
        <w:t>根据预算绩效管理要求，本部门对安全督导工作经费和原公社邮递员乡办邮政人员医疗保险补助2个项目开展了绩效自评，其中，以填报目标自评表形式开展自评2项，涉及资金26.08万元；从评价情况来看，对预算数和执行数，绩效指标、绩效目标管理都进行了相关评价，取得了一定成效。</w:t>
      </w:r>
    </w:p>
    <w:p>
      <w:pPr>
        <w:pStyle w:val="26"/>
        <w:shd w:val="clear" w:color="auto" w:fill="FFFFFF"/>
        <w:ind w:firstLine="472" w:firstLineChars="196"/>
        <w:rPr>
          <w:b/>
          <w:bCs/>
          <w:shd w:val="clear" w:color="auto" w:fill="FFFFFF"/>
        </w:rPr>
      </w:pPr>
      <w:r>
        <w:rPr>
          <w:rFonts w:hint="eastAsia"/>
          <w:b/>
          <w:bCs/>
          <w:shd w:val="clear" w:color="auto" w:fill="FFFFFF"/>
        </w:rPr>
        <w:t>（二）绩效自评结果</w:t>
      </w:r>
    </w:p>
    <w:p>
      <w:pPr>
        <w:pStyle w:val="26"/>
        <w:shd w:val="clear" w:color="auto" w:fill="FFFFFF"/>
        <w:ind w:firstLine="472" w:firstLineChars="196"/>
        <w:rPr>
          <w:b/>
          <w:bCs/>
          <w:shd w:val="clear" w:color="auto" w:fill="FFFFFF"/>
        </w:rPr>
      </w:pPr>
      <w:r>
        <w:rPr>
          <w:rFonts w:hint="eastAsia"/>
          <w:b/>
          <w:bCs/>
          <w:shd w:val="clear" w:color="auto" w:fill="FFFFFF"/>
        </w:rPr>
        <w:t>1.绩效自评表</w:t>
      </w:r>
    </w:p>
    <w:p>
      <w:pPr>
        <w:pStyle w:val="26"/>
        <w:autoSpaceDE w:val="0"/>
        <w:spacing w:before="0" w:beforeAutospacing="0" w:after="0" w:afterAutospacing="0" w:line="594" w:lineRule="atLeast"/>
        <w:ind w:firstLine="482" w:firstLineChars="200"/>
        <w:rPr>
          <w:rFonts w:ascii="Times New Roman" w:hAnsi="Times New Roman" w:eastAsia="仿宋" w:cs="Times New Roman"/>
          <w:b/>
          <w:bCs/>
          <w:sz w:val="32"/>
          <w:szCs w:val="32"/>
          <w:shd w:val="clear" w:color="auto" w:fill="FFFFFF"/>
        </w:rPr>
      </w:pPr>
      <w:r>
        <w:rPr>
          <w:b/>
          <w:bCs/>
          <w:shd w:val="clear" w:color="auto" w:fill="FFFFFF"/>
        </w:rPr>
        <w:object>
          <v:shape id="_x0000_i1025" o:spt="75" type="#_x0000_t75" style="height:686.15pt;width:435.75pt;" o:ole="t" filled="f" o:preferrelative="t" stroked="f" coordsize="21600,21600">
            <v:path/>
            <v:fill on="f" focussize="0,0"/>
            <v:stroke on="f" joinstyle="miter"/>
            <v:imagedata r:id="rId5" o:title=""/>
            <o:lock v:ext="edit" aspectratio="t"/>
            <w10:wrap type="none"/>
            <w10:anchorlock/>
          </v:shape>
          <o:OLEObject Type="Embed" ProgID="Excel.Sheet.8" ShapeID="_x0000_i1025" DrawAspect="Content" ObjectID="_1468075725" r:id="rId4">
            <o:LockedField>false</o:LockedField>
          </o:OLEObject>
        </w:object>
      </w:r>
      <w:r>
        <w:rPr>
          <w:b/>
          <w:bCs/>
          <w:shd w:val="clear" w:color="auto" w:fill="FFFFFF"/>
        </w:rPr>
        <w:object>
          <v:shape id="_x0000_i1026" o:spt="75" type="#_x0000_t75" style="height:694.2pt;width:443.3pt;" o:ole="t" filled="f" o:preferrelative="t" stroked="f" coordsize="21600,21600">
            <v:path/>
            <v:fill on="f" focussize="0,0"/>
            <v:stroke on="f" joinstyle="miter"/>
            <v:imagedata r:id="rId7" o:title=""/>
            <o:lock v:ext="edit" aspectratio="t"/>
            <w10:wrap type="none"/>
            <w10:anchorlock/>
          </v:shape>
          <o:OLEObject Type="Embed" ProgID="Excel.Sheet.8" ShapeID="_x0000_i1026" DrawAspect="Content" ObjectID="_1468075726" r:id="rId6">
            <o:LockedField>false</o:LockedField>
          </o:OLEObject>
        </w:object>
      </w:r>
      <w:r>
        <w:rPr>
          <w:rStyle w:val="37"/>
          <w:rFonts w:eastAsia="仿宋"/>
          <w:sz w:val="32"/>
          <w:szCs w:val="32"/>
          <w:shd w:val="clear" w:color="auto" w:fill="FFFFFF"/>
        </w:rPr>
        <w:t>2.</w:t>
      </w:r>
      <w:r>
        <w:rPr>
          <w:rStyle w:val="37"/>
          <w:rFonts w:hint="eastAsia" w:ascii="仿宋" w:hAnsi="仿宋" w:eastAsia="仿宋"/>
          <w:sz w:val="32"/>
          <w:szCs w:val="32"/>
          <w:shd w:val="clear" w:color="auto" w:fill="FFFFFF"/>
        </w:rPr>
        <w:t>绩效自评报告或案例</w:t>
      </w:r>
    </w:p>
    <w:p>
      <w:pPr>
        <w:pStyle w:val="26"/>
        <w:autoSpaceDE w:val="0"/>
        <w:spacing w:before="0" w:beforeAutospacing="0" w:after="0" w:afterAutospacing="0" w:line="594" w:lineRule="atLeast"/>
        <w:ind w:firstLine="640" w:firstLineChars="200"/>
        <w:rPr>
          <w:sz w:val="27"/>
          <w:szCs w:val="27"/>
        </w:rPr>
      </w:pPr>
      <w:r>
        <w:rPr>
          <w:rFonts w:hint="eastAsia" w:ascii="仿宋" w:hAnsi="仿宋" w:eastAsia="仿宋"/>
          <w:sz w:val="32"/>
          <w:szCs w:val="32"/>
          <w:shd w:val="clear" w:color="auto" w:fill="FFFFFF"/>
        </w:rPr>
        <w:t>本部门无委托第三方开展绩效自评。</w:t>
      </w:r>
    </w:p>
    <w:p>
      <w:pPr>
        <w:pStyle w:val="26"/>
        <w:shd w:val="clear" w:color="auto" w:fill="FFFFFF"/>
        <w:rPr>
          <w:sz w:val="27"/>
          <w:szCs w:val="27"/>
          <w:shd w:val="clear" w:color="auto" w:fill="FFFFFF"/>
        </w:rPr>
      </w:pPr>
      <w:r>
        <w:rPr>
          <w:rFonts w:hint="eastAsia"/>
          <w:b/>
          <w:bCs/>
          <w:shd w:val="clear" w:color="auto" w:fill="FFFFFF"/>
        </w:rPr>
        <w:t>（三）重点绩效评价结果</w:t>
      </w:r>
    </w:p>
    <w:p>
      <w:pPr>
        <w:pStyle w:val="26"/>
        <w:shd w:val="clear" w:color="auto" w:fill="FFFFFF"/>
        <w:ind w:firstLine="531" w:firstLineChars="196"/>
        <w:rPr>
          <w:b/>
          <w:bCs/>
          <w:shd w:val="clear" w:color="auto" w:fill="FFFFFF"/>
        </w:rPr>
      </w:pPr>
      <w:r>
        <w:rPr>
          <w:rFonts w:hint="eastAsia"/>
          <w:b/>
          <w:bCs/>
          <w:sz w:val="27"/>
          <w:szCs w:val="27"/>
          <w:shd w:val="clear" w:color="auto" w:fill="FFFFFF"/>
        </w:rPr>
        <w:t>本单位无</w:t>
      </w:r>
      <w:r>
        <w:rPr>
          <w:rFonts w:hint="eastAsia"/>
          <w:b/>
          <w:bCs/>
          <w:sz w:val="27"/>
          <w:szCs w:val="27"/>
          <w:shd w:val="clear" w:color="auto" w:fill="FFFFFF"/>
          <w:lang w:eastAsia="zh-CN"/>
        </w:rPr>
        <w:t>县</w:t>
      </w:r>
      <w:r>
        <w:rPr>
          <w:rFonts w:hint="eastAsia"/>
          <w:b/>
          <w:bCs/>
          <w:sz w:val="27"/>
          <w:szCs w:val="27"/>
          <w:shd w:val="clear" w:color="auto" w:fill="FFFFFF"/>
        </w:rPr>
        <w:t>财政局委托第三方对部门政策或项目开展重点绩效评价的项目。</w:t>
      </w:r>
    </w:p>
    <w:p>
      <w:pPr>
        <w:pStyle w:val="26"/>
        <w:shd w:val="clear" w:color="auto" w:fill="FFFFFF"/>
        <w:spacing w:line="560" w:lineRule="exact"/>
        <w:rPr>
          <w:sz w:val="27"/>
          <w:szCs w:val="27"/>
          <w:shd w:val="clear" w:color="auto" w:fill="FFFFFF"/>
        </w:rPr>
      </w:pPr>
      <w:r>
        <w:rPr>
          <w:rFonts w:hint="eastAsia"/>
          <w:b/>
          <w:bCs/>
          <w:sz w:val="27"/>
          <w:szCs w:val="27"/>
          <w:shd w:val="clear" w:color="auto" w:fill="FFFFFF"/>
        </w:rPr>
        <w:t>六、专业名词解释</w:t>
      </w:r>
    </w:p>
    <w:p>
      <w:pPr>
        <w:pStyle w:val="26"/>
        <w:shd w:val="clear" w:color="auto" w:fill="FFFFFF"/>
        <w:spacing w:line="560" w:lineRule="exact"/>
        <w:rPr>
          <w:sz w:val="27"/>
          <w:szCs w:val="27"/>
          <w:shd w:val="clear" w:color="auto" w:fill="FFFFFF"/>
        </w:rPr>
      </w:pPr>
      <w:r>
        <w:rPr>
          <w:rFonts w:hint="eastAsia"/>
          <w:b/>
          <w:bCs/>
          <w:shd w:val="clear" w:color="auto" w:fill="FFFFFF"/>
        </w:rPr>
        <w:t>（一）财政拨款收入</w:t>
      </w:r>
      <w:r>
        <w:rPr>
          <w:rFonts w:hint="eastAsia"/>
          <w:sz w:val="27"/>
          <w:szCs w:val="27"/>
          <w:shd w:val="clear" w:color="auto" w:fill="FFFFFF"/>
        </w:rPr>
        <w:t>：指本年度从本级财政部门取得的财政拨款，包括一般公共预算财政拨款和政府性基金预算财政拨款。</w:t>
      </w:r>
    </w:p>
    <w:p>
      <w:pPr>
        <w:pStyle w:val="26"/>
        <w:shd w:val="clear" w:color="auto" w:fill="FFFFFF"/>
        <w:spacing w:line="560" w:lineRule="exact"/>
        <w:rPr>
          <w:sz w:val="27"/>
          <w:szCs w:val="27"/>
          <w:shd w:val="clear" w:color="auto" w:fill="FFFFFF"/>
        </w:rPr>
      </w:pPr>
      <w:r>
        <w:rPr>
          <w:rFonts w:hint="eastAsia"/>
          <w:b/>
          <w:bCs/>
          <w:shd w:val="clear" w:color="auto" w:fill="FFFFFF"/>
        </w:rPr>
        <w:t>（二）事业收入</w:t>
      </w:r>
      <w:r>
        <w:rPr>
          <w:rFonts w:hint="eastAsia"/>
          <w:sz w:val="27"/>
          <w:szCs w:val="27"/>
          <w:shd w:val="clear" w:color="auto" w:fill="FFFFFF"/>
        </w:rPr>
        <w:t>：指事业单位开展专业业务活动及其辅助活动取得的现金流入；事业单位收到的财政专户实际核拨的教育收费等资金在此反映。</w:t>
      </w:r>
    </w:p>
    <w:p>
      <w:pPr>
        <w:pStyle w:val="26"/>
        <w:shd w:val="clear" w:color="auto" w:fill="FFFFFF"/>
        <w:spacing w:line="560" w:lineRule="exact"/>
        <w:rPr>
          <w:sz w:val="27"/>
          <w:szCs w:val="27"/>
          <w:shd w:val="clear" w:color="auto" w:fill="FFFFFF"/>
        </w:rPr>
      </w:pPr>
      <w:r>
        <w:rPr>
          <w:rFonts w:hint="eastAsia"/>
          <w:b/>
          <w:bCs/>
          <w:shd w:val="clear" w:color="auto" w:fill="FFFFFF"/>
        </w:rPr>
        <w:t>（三）经营收入</w:t>
      </w:r>
      <w:r>
        <w:rPr>
          <w:rFonts w:hint="eastAsia"/>
          <w:sz w:val="27"/>
          <w:szCs w:val="27"/>
          <w:shd w:val="clear" w:color="auto" w:fill="FFFFFF"/>
        </w:rPr>
        <w:t>：指事业单位在专业业务活动及其辅助活动之外开展非独立核算经营活动取得的现金流入。</w:t>
      </w:r>
    </w:p>
    <w:p>
      <w:pPr>
        <w:pStyle w:val="26"/>
        <w:shd w:val="clear" w:color="auto" w:fill="FFFFFF"/>
        <w:spacing w:line="560" w:lineRule="exact"/>
        <w:rPr>
          <w:sz w:val="27"/>
          <w:szCs w:val="27"/>
          <w:shd w:val="clear" w:color="auto" w:fill="FFFFFF"/>
        </w:rPr>
      </w:pPr>
      <w:r>
        <w:rPr>
          <w:rFonts w:hint="eastAsia"/>
          <w:b/>
          <w:bCs/>
          <w:shd w:val="clear" w:color="auto" w:fill="FFFFFF"/>
        </w:rPr>
        <w:t>（四）其他收入</w:t>
      </w:r>
      <w:r>
        <w:rPr>
          <w:rFonts w:hint="eastAsia"/>
          <w:sz w:val="27"/>
          <w:szCs w:val="27"/>
          <w:shd w:val="clear" w:color="auto"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6"/>
        <w:shd w:val="clear" w:color="auto" w:fill="FFFFFF"/>
        <w:spacing w:line="560" w:lineRule="exact"/>
        <w:rPr>
          <w:sz w:val="27"/>
          <w:szCs w:val="27"/>
          <w:shd w:val="clear" w:color="auto" w:fill="FFFFFF"/>
        </w:rPr>
      </w:pPr>
      <w:r>
        <w:rPr>
          <w:rFonts w:hint="eastAsia"/>
          <w:b/>
          <w:bCs/>
          <w:shd w:val="clear" w:color="auto" w:fill="FFFFFF"/>
        </w:rPr>
        <w:t>（五）使用非财政拨款结余</w:t>
      </w:r>
      <w:r>
        <w:rPr>
          <w:rFonts w:hint="eastAsia"/>
          <w:sz w:val="27"/>
          <w:szCs w:val="27"/>
          <w:shd w:val="clear" w:color="auto" w:fill="FFFFFF"/>
        </w:rPr>
        <w:t>：指单位在当年的“财政拨款收入”、“事业收入”、“经营收入”、“其他收入”等不足以安排当年支出的情况下，使用以前年度积累的非财政拨款结余弥补本年度收支缺口的资金。</w:t>
      </w:r>
    </w:p>
    <w:p>
      <w:pPr>
        <w:pStyle w:val="26"/>
        <w:shd w:val="clear" w:color="auto" w:fill="FFFFFF"/>
        <w:spacing w:line="560" w:lineRule="exact"/>
        <w:rPr>
          <w:sz w:val="27"/>
          <w:szCs w:val="27"/>
          <w:shd w:val="clear" w:color="auto" w:fill="FFFFFF"/>
        </w:rPr>
      </w:pPr>
      <w:r>
        <w:rPr>
          <w:rFonts w:hint="eastAsia"/>
          <w:b/>
          <w:bCs/>
          <w:shd w:val="clear" w:color="auto" w:fill="FFFFFF"/>
        </w:rPr>
        <w:t>（六）年初结转和结余</w:t>
      </w:r>
      <w:r>
        <w:rPr>
          <w:rFonts w:hint="eastAsia"/>
          <w:sz w:val="27"/>
          <w:szCs w:val="27"/>
          <w:shd w:val="clear" w:color="auto" w:fill="FFFFFF"/>
        </w:rPr>
        <w:t>：指单位上年结转本年使用的基本支出结转、项目支出结转和结余、经营结余。</w:t>
      </w:r>
    </w:p>
    <w:p>
      <w:pPr>
        <w:pStyle w:val="26"/>
        <w:shd w:val="clear" w:color="auto" w:fill="FFFFFF"/>
        <w:spacing w:line="560" w:lineRule="exact"/>
        <w:rPr>
          <w:sz w:val="27"/>
          <w:szCs w:val="27"/>
          <w:shd w:val="clear" w:color="auto" w:fill="FFFFFF"/>
        </w:rPr>
      </w:pPr>
      <w:r>
        <w:rPr>
          <w:rFonts w:hint="eastAsia"/>
          <w:b/>
          <w:bCs/>
          <w:shd w:val="clear" w:color="auto" w:fill="FFFFFF"/>
        </w:rPr>
        <w:t>（七）结余分配</w:t>
      </w:r>
      <w:r>
        <w:rPr>
          <w:rFonts w:hint="eastAsia"/>
          <w:sz w:val="27"/>
          <w:szCs w:val="27"/>
          <w:shd w:val="clear" w:color="auto" w:fill="FFFFFF"/>
        </w:rPr>
        <w:t>：指单位按照国家有关规定，缴纳所得税、提取专用基金、转入非财政拨款结余等当年结余的分配情况。</w:t>
      </w:r>
    </w:p>
    <w:p>
      <w:pPr>
        <w:pStyle w:val="26"/>
        <w:shd w:val="clear" w:color="auto" w:fill="FFFFFF"/>
        <w:spacing w:line="560" w:lineRule="exact"/>
        <w:rPr>
          <w:sz w:val="27"/>
          <w:szCs w:val="27"/>
          <w:shd w:val="clear" w:color="auto" w:fill="FFFFFF"/>
        </w:rPr>
      </w:pPr>
      <w:r>
        <w:rPr>
          <w:rFonts w:hint="eastAsia"/>
          <w:b/>
          <w:bCs/>
          <w:shd w:val="clear" w:color="auto" w:fill="FFFFFF"/>
        </w:rPr>
        <w:t>（八）年末结转和结余</w:t>
      </w:r>
      <w:r>
        <w:rPr>
          <w:rFonts w:hint="eastAsia"/>
          <w:sz w:val="27"/>
          <w:szCs w:val="27"/>
          <w:shd w:val="clear" w:color="auto" w:fill="FFFFFF"/>
        </w:rPr>
        <w:t>：指单位结转下年的基本支出结转、项目支出结转和结余、经营结余。</w:t>
      </w:r>
    </w:p>
    <w:p>
      <w:pPr>
        <w:pStyle w:val="26"/>
        <w:shd w:val="clear" w:color="auto" w:fill="FFFFFF"/>
        <w:spacing w:line="560" w:lineRule="exact"/>
        <w:rPr>
          <w:sz w:val="27"/>
          <w:szCs w:val="27"/>
          <w:shd w:val="clear" w:color="auto" w:fill="FFFFFF"/>
        </w:rPr>
      </w:pPr>
      <w:r>
        <w:rPr>
          <w:rFonts w:hint="eastAsia"/>
          <w:b/>
          <w:bCs/>
          <w:shd w:val="clear" w:color="auto" w:fill="FFFFFF"/>
        </w:rPr>
        <w:t>（九）基本支出</w:t>
      </w:r>
      <w:r>
        <w:rPr>
          <w:rFonts w:hint="eastAsia"/>
          <w:sz w:val="27"/>
          <w:szCs w:val="27"/>
          <w:shd w:val="clear" w:color="auto"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6"/>
        <w:shd w:val="clear" w:color="auto" w:fill="FFFFFF"/>
        <w:spacing w:line="560" w:lineRule="exact"/>
        <w:rPr>
          <w:sz w:val="27"/>
          <w:szCs w:val="27"/>
          <w:shd w:val="clear" w:color="auto" w:fill="FFFFFF"/>
        </w:rPr>
      </w:pPr>
      <w:r>
        <w:rPr>
          <w:rFonts w:hint="eastAsia"/>
          <w:b/>
          <w:bCs/>
          <w:shd w:val="clear" w:color="auto" w:fill="FFFFFF"/>
        </w:rPr>
        <w:t>（十）项目支出</w:t>
      </w:r>
      <w:r>
        <w:rPr>
          <w:rFonts w:hint="eastAsia"/>
          <w:sz w:val="27"/>
          <w:szCs w:val="27"/>
          <w:shd w:val="clear" w:color="auto" w:fill="FFFFFF"/>
        </w:rPr>
        <w:t>：指在基本支出之外为完成特定行政任务和事业发展目标所发生的支出。</w:t>
      </w:r>
    </w:p>
    <w:p>
      <w:pPr>
        <w:pStyle w:val="26"/>
        <w:shd w:val="clear" w:color="auto" w:fill="FFFFFF"/>
        <w:spacing w:line="560" w:lineRule="exact"/>
        <w:rPr>
          <w:sz w:val="27"/>
          <w:szCs w:val="27"/>
          <w:shd w:val="clear" w:color="auto" w:fill="FFFFFF"/>
        </w:rPr>
      </w:pPr>
      <w:r>
        <w:rPr>
          <w:rFonts w:hint="eastAsia"/>
          <w:b/>
          <w:bCs/>
          <w:shd w:val="clear" w:color="auto" w:fill="FFFFFF"/>
        </w:rPr>
        <w:t>（十一）经营支出</w:t>
      </w:r>
      <w:r>
        <w:rPr>
          <w:rFonts w:hint="eastAsia"/>
          <w:sz w:val="27"/>
          <w:szCs w:val="27"/>
          <w:shd w:val="clear" w:color="auto" w:fill="FFFFFF"/>
        </w:rPr>
        <w:t>：指事业单位在专业业务活动及其辅助活动之外开展非独立核算经营活动发生的支出。</w:t>
      </w:r>
    </w:p>
    <w:p>
      <w:pPr>
        <w:pStyle w:val="26"/>
        <w:shd w:val="clear" w:color="auto" w:fill="FFFFFF"/>
        <w:spacing w:line="560" w:lineRule="exact"/>
        <w:rPr>
          <w:sz w:val="27"/>
          <w:szCs w:val="27"/>
          <w:shd w:val="clear" w:color="auto" w:fill="FFFFFF"/>
        </w:rPr>
      </w:pPr>
      <w:r>
        <w:rPr>
          <w:rFonts w:hint="eastAsia"/>
          <w:b/>
          <w:bCs/>
          <w:shd w:val="clear" w:color="auto" w:fill="FFFFFF"/>
        </w:rPr>
        <w:t>（十二）“三公”经费</w:t>
      </w:r>
      <w:r>
        <w:rPr>
          <w:rFonts w:hint="eastAsia"/>
          <w:sz w:val="27"/>
          <w:szCs w:val="27"/>
          <w:shd w:val="clear" w:color="auto"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6"/>
        <w:shd w:val="clear" w:color="auto" w:fill="FFFFFF"/>
        <w:spacing w:line="560" w:lineRule="exact"/>
        <w:rPr>
          <w:sz w:val="27"/>
          <w:szCs w:val="27"/>
          <w:shd w:val="clear" w:color="auto" w:fill="FFFFFF"/>
        </w:rPr>
      </w:pPr>
      <w:r>
        <w:rPr>
          <w:rFonts w:hint="eastAsia"/>
          <w:b/>
          <w:bCs/>
          <w:shd w:val="clear" w:color="auto" w:fill="FFFFFF"/>
        </w:rPr>
        <w:t>（十三）机关运行经费</w:t>
      </w:r>
      <w:r>
        <w:rPr>
          <w:rFonts w:hint="eastAsia"/>
          <w:sz w:val="27"/>
          <w:szCs w:val="27"/>
          <w:shd w:val="clear" w:color="auto" w:fill="FFFFFF"/>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26"/>
        <w:shd w:val="clear" w:color="auto" w:fill="FFFFFF"/>
        <w:spacing w:line="560" w:lineRule="exact"/>
        <w:rPr>
          <w:sz w:val="27"/>
          <w:szCs w:val="27"/>
          <w:shd w:val="clear" w:color="auto" w:fill="FFFFFF"/>
        </w:rPr>
      </w:pPr>
      <w:r>
        <w:rPr>
          <w:rFonts w:hint="eastAsia"/>
          <w:b/>
          <w:bCs/>
          <w:shd w:val="clear" w:color="auto" w:fill="FFFFFF"/>
        </w:rPr>
        <w:t>（十四）工资福利支出（支出经济分类科目类级）</w:t>
      </w:r>
      <w:r>
        <w:rPr>
          <w:rFonts w:hint="eastAsia"/>
          <w:sz w:val="27"/>
          <w:szCs w:val="27"/>
          <w:shd w:val="clear" w:color="auto" w:fill="FFFFFF"/>
        </w:rPr>
        <w:t>：反映单位开支的在职职工和编制外长期聘用人员的各类劳动报酬，以及为上述人员缴纳的各项社会保险费等。</w:t>
      </w:r>
    </w:p>
    <w:p>
      <w:pPr>
        <w:pStyle w:val="26"/>
        <w:shd w:val="clear" w:color="auto" w:fill="FFFFFF"/>
        <w:spacing w:line="560" w:lineRule="exact"/>
        <w:rPr>
          <w:sz w:val="27"/>
          <w:szCs w:val="27"/>
          <w:shd w:val="clear" w:color="auto" w:fill="FFFFFF"/>
        </w:rPr>
      </w:pPr>
      <w:r>
        <w:rPr>
          <w:rFonts w:hint="eastAsia"/>
          <w:b/>
          <w:bCs/>
          <w:shd w:val="clear" w:color="auto" w:fill="FFFFFF"/>
        </w:rPr>
        <w:t>（十五）商品和服务支出（支出经济分类科目类级）</w:t>
      </w:r>
      <w:r>
        <w:rPr>
          <w:rFonts w:hint="eastAsia"/>
          <w:sz w:val="27"/>
          <w:szCs w:val="27"/>
          <w:shd w:val="clear" w:color="auto" w:fill="FFFFFF"/>
        </w:rPr>
        <w:t>：反映单位购买商品和服务的支出（不包括用于购置固定资产的支出、战略性和应急储备支出）。</w:t>
      </w:r>
    </w:p>
    <w:p>
      <w:pPr>
        <w:pStyle w:val="26"/>
        <w:shd w:val="clear" w:color="auto" w:fill="FFFFFF"/>
        <w:spacing w:line="560" w:lineRule="exact"/>
        <w:rPr>
          <w:sz w:val="27"/>
          <w:szCs w:val="27"/>
          <w:shd w:val="clear" w:color="auto" w:fill="FFFFFF"/>
        </w:rPr>
      </w:pPr>
      <w:r>
        <w:rPr>
          <w:rFonts w:hint="eastAsia"/>
          <w:b/>
          <w:bCs/>
          <w:shd w:val="clear" w:color="auto" w:fill="FFFFFF"/>
        </w:rPr>
        <w:t>（十六）对个人和家庭的补助（支出经济分类科目类级）</w:t>
      </w:r>
      <w:r>
        <w:rPr>
          <w:rFonts w:hint="eastAsia"/>
          <w:sz w:val="27"/>
          <w:szCs w:val="27"/>
          <w:shd w:val="clear" w:color="auto" w:fill="FFFFFF"/>
        </w:rPr>
        <w:t>：反映用于对个人和家庭的补助支出。</w:t>
      </w:r>
    </w:p>
    <w:p>
      <w:pPr>
        <w:pStyle w:val="26"/>
        <w:shd w:val="clear" w:color="auto" w:fill="FFFFFF"/>
        <w:spacing w:line="560" w:lineRule="exact"/>
        <w:rPr>
          <w:sz w:val="27"/>
          <w:szCs w:val="27"/>
          <w:shd w:val="clear" w:color="auto" w:fill="FFFFFF"/>
        </w:rPr>
      </w:pPr>
      <w:r>
        <w:rPr>
          <w:rFonts w:hint="eastAsia"/>
          <w:b/>
          <w:bCs/>
          <w:shd w:val="clear" w:color="auto" w:fill="FFFFFF"/>
        </w:rPr>
        <w:t>（十七）其他资本性支出（支出经济分类科目类级）</w:t>
      </w:r>
      <w:r>
        <w:rPr>
          <w:rFonts w:hint="eastAsia"/>
          <w:sz w:val="27"/>
          <w:szCs w:val="27"/>
          <w:shd w:val="clear" w:color="auto" w:fill="FFFFFF"/>
        </w:rPr>
        <w:t>：反映非各级发展与改革部门集中安排的用于购置固定资产、战略性和应急性储备、土地和无形资产，以及构建基础设施、大型修缮和财政支持企业更新改造所发生的支出。</w:t>
      </w:r>
    </w:p>
    <w:p>
      <w:pPr>
        <w:pStyle w:val="26"/>
        <w:shd w:val="clear" w:color="auto" w:fill="FFFFFF"/>
        <w:spacing w:line="560" w:lineRule="exact"/>
        <w:rPr>
          <w:sz w:val="27"/>
          <w:szCs w:val="27"/>
          <w:shd w:val="clear" w:color="auto" w:fill="FFFFFF"/>
        </w:rPr>
      </w:pPr>
      <w:r>
        <w:rPr>
          <w:rFonts w:hint="eastAsia"/>
          <w:b/>
          <w:bCs/>
          <w:sz w:val="27"/>
          <w:szCs w:val="27"/>
          <w:shd w:val="clear" w:color="auto" w:fill="FFFFFF"/>
        </w:rPr>
        <w:t>七、决算公开联系方式及信息反馈渠道</w:t>
      </w:r>
    </w:p>
    <w:p>
      <w:pPr>
        <w:pStyle w:val="26"/>
        <w:shd w:val="clear" w:color="auto" w:fill="FFFFFF"/>
        <w:spacing w:line="560" w:lineRule="exact"/>
        <w:rPr>
          <w:sz w:val="27"/>
          <w:szCs w:val="27"/>
          <w:shd w:val="clear" w:color="auto" w:fill="FFFFFF"/>
        </w:rPr>
      </w:pPr>
      <w:r>
        <w:rPr>
          <w:rFonts w:hint="eastAsia"/>
          <w:sz w:val="27"/>
          <w:szCs w:val="27"/>
          <w:shd w:val="clear" w:color="auto" w:fill="FFFFFF"/>
        </w:rPr>
        <w:t>本单位决算公开信息反馈和联系方式：电话（023）74598282</w:t>
      </w:r>
    </w:p>
    <w:p>
      <w:pPr>
        <w:pStyle w:val="26"/>
        <w:shd w:val="clear" w:color="auto" w:fill="FFFFFF"/>
        <w:spacing w:line="560" w:lineRule="exact"/>
        <w:rPr>
          <w:sz w:val="27"/>
          <w:szCs w:val="27"/>
          <w:shd w:val="clear" w:color="auto" w:fill="FFFFFF"/>
        </w:rPr>
      </w:pPr>
      <w:r>
        <w:rPr>
          <w:rFonts w:hint="eastAsia"/>
          <w:sz w:val="27"/>
          <w:szCs w:val="27"/>
          <w:shd w:val="clear" w:color="auto" w:fill="FFFFFF"/>
        </w:rPr>
        <w:t>附件</w:t>
      </w:r>
    </w:p>
    <w:p>
      <w:pPr>
        <w:pStyle w:val="26"/>
        <w:shd w:val="clear" w:color="auto" w:fill="FFFFFF"/>
        <w:rPr>
          <w:sz w:val="27"/>
          <w:szCs w:val="27"/>
          <w:shd w:val="clear" w:color="auto" w:fill="FFFFFF"/>
        </w:rPr>
      </w:pPr>
      <w:r>
        <w:drawing>
          <wp:inline distT="0" distB="0" distL="0" distR="0">
            <wp:extent cx="6162675" cy="8896350"/>
            <wp:effectExtent l="19050" t="0" r="9525" b="0"/>
            <wp:docPr id="3" name="图片 3" descr="C:\Users\ADMINI~1\AppData\Local\Temp\~tmp1631865404622394656.files\~tmp163186540462239465667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tmp1631865404622394656.files\~tmp16318654046223946566724.png"/>
                    <pic:cNvPicPr>
                      <a:picLocks noChangeAspect="1" noChangeArrowheads="1"/>
                    </pic:cNvPicPr>
                  </pic:nvPicPr>
                  <pic:blipFill>
                    <a:blip r:embed="rId8"/>
                    <a:srcRect/>
                    <a:stretch>
                      <a:fillRect/>
                    </a:stretch>
                  </pic:blipFill>
                  <pic:spPr>
                    <a:xfrm>
                      <a:off x="0" y="0"/>
                      <a:ext cx="6162675" cy="8896350"/>
                    </a:xfrm>
                    <a:prstGeom prst="rect">
                      <a:avLst/>
                    </a:prstGeom>
                    <a:noFill/>
                    <a:ln w="9525">
                      <a:noFill/>
                      <a:miter lim="800000"/>
                      <a:headEnd/>
                      <a:tailEnd/>
                    </a:ln>
                  </pic:spPr>
                </pic:pic>
              </a:graphicData>
            </a:graphic>
          </wp:inline>
        </w:drawing>
      </w:r>
      <w:r>
        <w:drawing>
          <wp:inline distT="0" distB="0" distL="0" distR="0">
            <wp:extent cx="6000750" cy="8724900"/>
            <wp:effectExtent l="19050" t="0" r="0" b="0"/>
            <wp:docPr id="4" name="图片 4" descr="C:\Users\ADMINI~1\AppData\Local\Temp\~tmp1631865404622394656.files\~tmp163186540462239465669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tmp1631865404622394656.files\~tmp16318654046223946566928.png"/>
                    <pic:cNvPicPr>
                      <a:picLocks noChangeAspect="1" noChangeArrowheads="1"/>
                    </pic:cNvPicPr>
                  </pic:nvPicPr>
                  <pic:blipFill>
                    <a:blip r:embed="rId9"/>
                    <a:srcRect/>
                    <a:stretch>
                      <a:fillRect/>
                    </a:stretch>
                  </pic:blipFill>
                  <pic:spPr>
                    <a:xfrm>
                      <a:off x="0" y="0"/>
                      <a:ext cx="6000750" cy="8724900"/>
                    </a:xfrm>
                    <a:prstGeom prst="rect">
                      <a:avLst/>
                    </a:prstGeom>
                    <a:noFill/>
                    <a:ln w="9525">
                      <a:noFill/>
                      <a:miter lim="800000"/>
                      <a:headEnd/>
                      <a:tailEnd/>
                    </a:ln>
                  </pic:spPr>
                </pic:pic>
              </a:graphicData>
            </a:graphic>
          </wp:inline>
        </w:drawing>
      </w:r>
    </w:p>
    <w:p>
      <w:pPr>
        <w:pStyle w:val="26"/>
        <w:shd w:val="clear" w:color="auto" w:fill="FFFFFF"/>
        <w:rPr>
          <w:sz w:val="27"/>
          <w:szCs w:val="27"/>
          <w:shd w:val="clear" w:color="auto" w:fill="FFFFFF"/>
        </w:rPr>
      </w:pPr>
      <w:r>
        <w:drawing>
          <wp:inline distT="0" distB="0" distL="0" distR="0">
            <wp:extent cx="5619750" cy="7524750"/>
            <wp:effectExtent l="19050" t="0" r="0" b="0"/>
            <wp:docPr id="5" name="图片 5" descr="C:\Users\ADMINI~1\AppData\Local\Temp\~tmp1631865404622394656.files\~tmp16318654046223946567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tmp1631865404622394656.files\~tmp16318654046223946567133.png"/>
                    <pic:cNvPicPr>
                      <a:picLocks noChangeAspect="1" noChangeArrowheads="1"/>
                    </pic:cNvPicPr>
                  </pic:nvPicPr>
                  <pic:blipFill>
                    <a:blip r:embed="rId10"/>
                    <a:srcRect/>
                    <a:stretch>
                      <a:fillRect/>
                    </a:stretch>
                  </pic:blipFill>
                  <pic:spPr>
                    <a:xfrm>
                      <a:off x="0" y="0"/>
                      <a:ext cx="5619750" cy="7524750"/>
                    </a:xfrm>
                    <a:prstGeom prst="rect">
                      <a:avLst/>
                    </a:prstGeom>
                    <a:noFill/>
                    <a:ln w="9525">
                      <a:noFill/>
                      <a:miter lim="800000"/>
                      <a:headEnd/>
                      <a:tailEnd/>
                    </a:ln>
                  </pic:spPr>
                </pic:pic>
              </a:graphicData>
            </a:graphic>
          </wp:inline>
        </w:drawing>
      </w:r>
    </w:p>
    <w:p>
      <w:pPr>
        <w:pStyle w:val="26"/>
        <w:shd w:val="clear" w:color="auto" w:fill="FFFFFF"/>
        <w:rPr>
          <w:sz w:val="27"/>
          <w:szCs w:val="27"/>
          <w:shd w:val="clear" w:color="auto" w:fill="FFFFFF"/>
        </w:rPr>
      </w:pPr>
      <w:r>
        <w:drawing>
          <wp:inline distT="0" distB="0" distL="0" distR="0">
            <wp:extent cx="5972175" cy="8734425"/>
            <wp:effectExtent l="19050" t="0" r="9525" b="0"/>
            <wp:docPr id="6" name="图片 6" descr="C:\Users\ADMINI~1\AppData\Local\Temp\~tmp1631865404622394656.files\~tmp16318654046223946567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1\AppData\Local\Temp\~tmp1631865404622394656.files\~tmp16318654046223946567338.png"/>
                    <pic:cNvPicPr>
                      <a:picLocks noChangeAspect="1" noChangeArrowheads="1"/>
                    </pic:cNvPicPr>
                  </pic:nvPicPr>
                  <pic:blipFill>
                    <a:blip r:embed="rId11"/>
                    <a:srcRect/>
                    <a:stretch>
                      <a:fillRect/>
                    </a:stretch>
                  </pic:blipFill>
                  <pic:spPr>
                    <a:xfrm>
                      <a:off x="0" y="0"/>
                      <a:ext cx="5972175" cy="8734425"/>
                    </a:xfrm>
                    <a:prstGeom prst="rect">
                      <a:avLst/>
                    </a:prstGeom>
                    <a:noFill/>
                    <a:ln w="9525">
                      <a:noFill/>
                      <a:miter lim="800000"/>
                      <a:headEnd/>
                      <a:tailEnd/>
                    </a:ln>
                  </pic:spPr>
                </pic:pic>
              </a:graphicData>
            </a:graphic>
          </wp:inline>
        </w:drawing>
      </w:r>
      <w:r>
        <w:drawing>
          <wp:inline distT="0" distB="0" distL="0" distR="0">
            <wp:extent cx="6029325" cy="7896225"/>
            <wp:effectExtent l="19050" t="0" r="9525" b="0"/>
            <wp:docPr id="7" name="图片 7" descr="C:\Users\ADMINI~1\AppData\Local\Temp\~tmp1631865404622394656.files\~tmp16318654046223946567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tmp1631865404622394656.files\~tmp16318654046223946567542.png"/>
                    <pic:cNvPicPr>
                      <a:picLocks noChangeAspect="1" noChangeArrowheads="1"/>
                    </pic:cNvPicPr>
                  </pic:nvPicPr>
                  <pic:blipFill>
                    <a:blip r:embed="rId12"/>
                    <a:srcRect/>
                    <a:stretch>
                      <a:fillRect/>
                    </a:stretch>
                  </pic:blipFill>
                  <pic:spPr>
                    <a:xfrm>
                      <a:off x="0" y="0"/>
                      <a:ext cx="6029325" cy="7896225"/>
                    </a:xfrm>
                    <a:prstGeom prst="rect">
                      <a:avLst/>
                    </a:prstGeom>
                    <a:noFill/>
                    <a:ln w="9525">
                      <a:noFill/>
                      <a:miter lim="800000"/>
                      <a:headEnd/>
                      <a:tailEnd/>
                    </a:ln>
                  </pic:spPr>
                </pic:pic>
              </a:graphicData>
            </a:graphic>
          </wp:inline>
        </w:drawing>
      </w:r>
    </w:p>
    <w:p>
      <w:pPr>
        <w:pStyle w:val="26"/>
        <w:shd w:val="clear" w:color="auto" w:fill="FFFFFF"/>
        <w:rPr>
          <w:sz w:val="27"/>
          <w:szCs w:val="27"/>
          <w:shd w:val="clear" w:color="auto" w:fill="FFFFFF"/>
        </w:rPr>
      </w:pPr>
      <w:r>
        <w:rPr>
          <w:rFonts w:hint="eastAsia"/>
          <w:sz w:val="27"/>
          <w:szCs w:val="27"/>
          <w:shd w:val="clear" w:color="auto" w:fill="FFFFFF"/>
        </w:rPr>
        <w:t xml:space="preserve"> </w:t>
      </w:r>
    </w:p>
    <w:p>
      <w:pPr>
        <w:pStyle w:val="26"/>
        <w:shd w:val="clear" w:color="auto" w:fill="FFFFFF"/>
        <w:rPr>
          <w:sz w:val="27"/>
          <w:szCs w:val="27"/>
          <w:shd w:val="clear" w:color="auto" w:fill="FFFFFF"/>
        </w:rPr>
      </w:pPr>
      <w:r>
        <w:drawing>
          <wp:inline distT="0" distB="0" distL="0" distR="0">
            <wp:extent cx="6153150" cy="8915400"/>
            <wp:effectExtent l="19050" t="0" r="0" b="0"/>
            <wp:docPr id="8" name="图片 8" descr="C:\Users\ADMINI~1\AppData\Local\Temp\~tmp1631865404622394656.files\~tmp163186540462239465677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1\AppData\Local\Temp\~tmp1631865404622394656.files\~tmp16318654046223946567749.png"/>
                    <pic:cNvPicPr>
                      <a:picLocks noChangeAspect="1" noChangeArrowheads="1"/>
                    </pic:cNvPicPr>
                  </pic:nvPicPr>
                  <pic:blipFill>
                    <a:blip r:embed="rId13"/>
                    <a:srcRect/>
                    <a:stretch>
                      <a:fillRect/>
                    </a:stretch>
                  </pic:blipFill>
                  <pic:spPr>
                    <a:xfrm>
                      <a:off x="0" y="0"/>
                      <a:ext cx="6153150" cy="8915400"/>
                    </a:xfrm>
                    <a:prstGeom prst="rect">
                      <a:avLst/>
                    </a:prstGeom>
                    <a:noFill/>
                    <a:ln w="9525">
                      <a:noFill/>
                      <a:miter lim="800000"/>
                      <a:headEnd/>
                      <a:tailEnd/>
                    </a:ln>
                  </pic:spPr>
                </pic:pic>
              </a:graphicData>
            </a:graphic>
          </wp:inline>
        </w:drawing>
      </w:r>
      <w:r>
        <w:drawing>
          <wp:inline distT="0" distB="0" distL="0" distR="0">
            <wp:extent cx="6153150" cy="6705600"/>
            <wp:effectExtent l="19050" t="0" r="0" b="0"/>
            <wp:docPr id="9" name="图片 9" descr="C:\Users\ADMINI~1\AppData\Local\Temp\~tmp1631865404622394656.files\~tmp163186540462239465679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I~1\AppData\Local\Temp\~tmp1631865404622394656.files\~tmp16318654046223946567953.png"/>
                    <pic:cNvPicPr>
                      <a:picLocks noChangeAspect="1" noChangeArrowheads="1"/>
                    </pic:cNvPicPr>
                  </pic:nvPicPr>
                  <pic:blipFill>
                    <a:blip r:embed="rId14"/>
                    <a:srcRect/>
                    <a:stretch>
                      <a:fillRect/>
                    </a:stretch>
                  </pic:blipFill>
                  <pic:spPr>
                    <a:xfrm>
                      <a:off x="0" y="0"/>
                      <a:ext cx="6153150" cy="6705600"/>
                    </a:xfrm>
                    <a:prstGeom prst="rect">
                      <a:avLst/>
                    </a:prstGeom>
                    <a:noFill/>
                    <a:ln w="9525">
                      <a:noFill/>
                      <a:miter lim="800000"/>
                      <a:headEnd/>
                      <a:tailEnd/>
                    </a:ln>
                  </pic:spPr>
                </pic:pic>
              </a:graphicData>
            </a:graphic>
          </wp:inline>
        </w:drawing>
      </w:r>
    </w:p>
    <w:p>
      <w:pPr>
        <w:pStyle w:val="26"/>
        <w:shd w:val="clear" w:color="auto" w:fill="FFFFFF"/>
        <w:rPr>
          <w:sz w:val="27"/>
          <w:szCs w:val="27"/>
          <w:shd w:val="clear" w:color="auto" w:fill="FFFFFF"/>
        </w:rPr>
      </w:pPr>
      <w:r>
        <w:rPr>
          <w:rFonts w:hint="eastAsia"/>
          <w:sz w:val="27"/>
          <w:szCs w:val="27"/>
          <w:shd w:val="clear" w:color="auto" w:fill="FFFFFF"/>
        </w:rPr>
        <w:t xml:space="preserve"> </w:t>
      </w:r>
    </w:p>
    <w:p>
      <w:pPr>
        <w:pStyle w:val="26"/>
        <w:shd w:val="clear" w:color="auto" w:fill="FFFFFF"/>
        <w:rPr>
          <w:sz w:val="27"/>
          <w:szCs w:val="27"/>
          <w:shd w:val="clear" w:color="auto" w:fill="FFFFFF"/>
        </w:rPr>
      </w:pPr>
      <w:r>
        <w:rPr>
          <w:rFonts w:hint="eastAsia"/>
          <w:sz w:val="27"/>
          <w:szCs w:val="27"/>
          <w:shd w:val="clear" w:color="auto" w:fill="FFFFFF"/>
        </w:rPr>
        <w:t xml:space="preserve"> </w:t>
      </w:r>
    </w:p>
    <w:p>
      <w:pPr>
        <w:pStyle w:val="26"/>
        <w:shd w:val="clear" w:color="auto" w:fill="FFFFFF"/>
        <w:rPr>
          <w:sz w:val="27"/>
          <w:szCs w:val="27"/>
          <w:shd w:val="clear" w:color="auto" w:fill="FFFFFF"/>
        </w:rPr>
      </w:pPr>
      <w:r>
        <w:rPr>
          <w:rFonts w:hint="eastAsia"/>
          <w:sz w:val="27"/>
          <w:szCs w:val="27"/>
          <w:shd w:val="clear" w:color="auto" w:fill="FFFFFF"/>
        </w:rPr>
        <w:t xml:space="preserve"> </w:t>
      </w:r>
    </w:p>
    <w:p>
      <w:pPr>
        <w:pStyle w:val="26"/>
        <w:shd w:val="clear" w:color="auto" w:fill="FFFFFF"/>
        <w:rPr>
          <w:sz w:val="27"/>
          <w:szCs w:val="27"/>
          <w:shd w:val="clear" w:color="auto" w:fill="FFFFFF"/>
        </w:rPr>
      </w:pPr>
      <w:r>
        <w:drawing>
          <wp:inline distT="0" distB="0" distL="0" distR="0">
            <wp:extent cx="5953125" cy="8524875"/>
            <wp:effectExtent l="19050" t="0" r="9525" b="0"/>
            <wp:docPr id="10" name="图片 10" descr="C:\Users\ADMINI~1\AppData\Local\Temp\~tmp1631865404622394656.files\~tmp16318654046223946568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DMINI~1\AppData\Local\Temp\~tmp1631865404622394656.files\~tmp16318654046223946568164.png"/>
                    <pic:cNvPicPr>
                      <a:picLocks noChangeAspect="1" noChangeArrowheads="1"/>
                    </pic:cNvPicPr>
                  </pic:nvPicPr>
                  <pic:blipFill>
                    <a:blip r:embed="rId15"/>
                    <a:srcRect/>
                    <a:stretch>
                      <a:fillRect/>
                    </a:stretch>
                  </pic:blipFill>
                  <pic:spPr>
                    <a:xfrm>
                      <a:off x="0" y="0"/>
                      <a:ext cx="5953125" cy="8524875"/>
                    </a:xfrm>
                    <a:prstGeom prst="rect">
                      <a:avLst/>
                    </a:prstGeom>
                    <a:noFill/>
                    <a:ln w="9525">
                      <a:noFill/>
                      <a:miter lim="800000"/>
                      <a:headEnd/>
                      <a:tailEnd/>
                    </a:ln>
                  </pic:spPr>
                </pic:pic>
              </a:graphicData>
            </a:graphic>
          </wp:inline>
        </w:drawing>
      </w:r>
      <w:r>
        <w:drawing>
          <wp:inline distT="0" distB="0" distL="0" distR="0">
            <wp:extent cx="5886450" cy="7419975"/>
            <wp:effectExtent l="19050" t="0" r="0" b="0"/>
            <wp:docPr id="11" name="图片 11" descr="C:\Users\ADMINI~1\AppData\Local\Temp\~tmp1631865404622394656.files\~tmp163186540462239465683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1\AppData\Local\Temp\~tmp1631865404622394656.files\~tmp16318654046223946568368.png"/>
                    <pic:cNvPicPr>
                      <a:picLocks noChangeAspect="1" noChangeArrowheads="1"/>
                    </pic:cNvPicPr>
                  </pic:nvPicPr>
                  <pic:blipFill>
                    <a:blip r:embed="rId16"/>
                    <a:srcRect/>
                    <a:stretch>
                      <a:fillRect/>
                    </a:stretch>
                  </pic:blipFill>
                  <pic:spPr>
                    <a:xfrm>
                      <a:off x="0" y="0"/>
                      <a:ext cx="5886450" cy="7419975"/>
                    </a:xfrm>
                    <a:prstGeom prst="rect">
                      <a:avLst/>
                    </a:prstGeom>
                    <a:noFill/>
                    <a:ln w="9525">
                      <a:noFill/>
                      <a:miter lim="800000"/>
                      <a:headEnd/>
                      <a:tailEnd/>
                    </a:ln>
                  </pic:spPr>
                </pic:pic>
              </a:graphicData>
            </a:graphic>
          </wp:inline>
        </w:drawing>
      </w:r>
      <w:r>
        <w:rPr>
          <w:rFonts w:hint="eastAsia"/>
          <w:lang w:val="en-US" w:eastAsia="zh-CN"/>
        </w:rPr>
        <w:t xml:space="preserve">       </w:t>
      </w:r>
      <w:r>
        <w:rPr>
          <w:rFonts w:ascii="Times New Roman" w:hAnsi="Times New Roman" w:eastAsia="方正仿宋_GBK" w:cs="Times New Roman"/>
          <w:sz w:val="18"/>
          <w:szCs w:val="18"/>
        </w:rPr>
        <w:t>本单位2020</w:t>
      </w:r>
      <w:r>
        <w:rPr>
          <w:rFonts w:hint="eastAsia" w:ascii="方正仿宋_GBK" w:eastAsia="方正仿宋_GBK" w:cs="Times New Roman"/>
          <w:sz w:val="18"/>
          <w:szCs w:val="18"/>
        </w:rPr>
        <w:t>年度无</w:t>
      </w:r>
      <w:r>
        <w:rPr>
          <w:rFonts w:ascii="Times New Roman" w:hAnsi="Times New Roman" w:eastAsia="方正仿宋_GBK" w:cs="Times New Roman"/>
          <w:sz w:val="18"/>
          <w:szCs w:val="18"/>
        </w:rPr>
        <w:t>国有资本经营预算财政拨款收支，故此表无数据。</w:t>
      </w:r>
    </w:p>
    <w:sectPr>
      <w:pgSz w:w="11915"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C3C"/>
    <w:rsid w:val="00076624"/>
    <w:rsid w:val="00155758"/>
    <w:rsid w:val="002A6B97"/>
    <w:rsid w:val="00323845"/>
    <w:rsid w:val="005149C5"/>
    <w:rsid w:val="005B4EE6"/>
    <w:rsid w:val="00756C4F"/>
    <w:rsid w:val="007F0C3C"/>
    <w:rsid w:val="00B77106"/>
    <w:rsid w:val="00D510A6"/>
    <w:rsid w:val="00F7641F"/>
    <w:rsid w:val="00FE172F"/>
    <w:rsid w:val="00FF7927"/>
    <w:rsid w:val="132549D3"/>
    <w:rsid w:val="56D97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99" w:semiHidden="0" w:name="Normal Indent"/>
    <w:lsdException w:unhideWhenUsed="0" w:uiPriority="99" w:semiHidden="0" w:name="footnote text"/>
    <w:lsdException w:unhideWhenUsed="0" w:uiPriority="99" w:semiHidden="0" w:name="annotation text"/>
    <w:lsdException w:unhideWhenUsed="0" w:uiPriority="99" w:semiHidden="0" w:name="header"/>
    <w:lsdException w:unhideWhenUsed="0" w:uiPriority="99" w:semiHidden="0" w:name="footer"/>
    <w:lsdException w:unhideWhenUsed="0" w:uiPriority="99" w:semiHidden="0" w:name="index heading"/>
    <w:lsdException w:qFormat="1" w:uiPriority="35"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unhideWhenUsed="0" w:uiPriority="99"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unhideWhenUsed="0" w:uiPriority="99"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qFormat="1" w:unhideWhenUsed="0" w:uiPriority="10" w:semiHidden="0" w:name="Title"/>
    <w:lsdException w:unhideWhenUsed="0" w:uiPriority="99" w:semiHidden="0" w:name="Closing"/>
    <w:lsdException w:unhideWhenUsed="0" w:uiPriority="99" w:semiHidden="0" w:name="Signature"/>
    <w:lsdException w:uiPriority="1" w:semiHidden="0" w:name="Default Paragraph Font"/>
    <w:lsdException w:unhideWhenUsed="0" w:uiPriority="99" w:semiHidden="0" w:name="Body Text"/>
    <w:lsdException w:unhideWhenUsed="0" w:uiPriority="99"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qFormat="1" w:unhideWhenUsed="0" w:uiPriority="11" w:semiHidden="0" w:name="Subtitle"/>
    <w:lsdException w:unhideWhenUsed="0" w:uiPriority="99" w:semiHidden="0" w:name="Salutation"/>
    <w:lsdException w:unhideWhenUsed="0" w:uiPriority="99" w:semiHidden="0" w:name="Date"/>
    <w:lsdException w:unhideWhenUsed="0" w:uiPriority="99" w:semiHidden="0" w:name="Body Text First Indent"/>
    <w:lsdException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nhideWhenUsed="0" w:uiPriority="99" w:semiHidden="0" w:name="Document Map"/>
    <w:lsdException w:unhideWhenUsed="0" w:uiPriority="99" w:semiHidden="0" w:name="Plain Text"/>
    <w:lsdException w:unhideWhenUsed="0" w:uiPriority="99" w:semiHidden="0" w:name="E-mail Signature"/>
    <w:lsdException w:qFormat="1" w:unhideWhenUsed="0" w:uiPriority="99"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qFormat="1" w:uiPriority="99" w:semiHidden="0" w:name="Normal Table"/>
    <w:lsdException w:unhideWhenUsed="0" w:uiPriority="99" w:semiHidden="0" w:name="annotation subject"/>
    <w:lsdException w:uiPriority="99" w:semiHidden="0" w:name="Table Simple 1"/>
    <w:lsdException w:uiPriority="99" w:semiHidden="0" w:name="Table Simple 2"/>
    <w:lsdException w:uiPriority="99" w:semiHidden="0" w:name="Table Simple 3"/>
    <w:lsdException w:uiPriority="99" w:semiHidden="0" w:name="Table Classic 1"/>
    <w:lsdException w:uiPriority="99" w:semiHidden="0" w:name="Table Classic 2"/>
    <w:lsdException w:uiPriority="99" w:semiHidden="0" w:name="Table Classic 3"/>
    <w:lsdException w:uiPriority="99" w:semiHidden="0" w:name="Table Classic 4"/>
    <w:lsdException w:uiPriority="99" w:semiHidden="0" w:name="Table Colorful 1"/>
    <w:lsdException w:uiPriority="99" w:semiHidden="0" w:name="Table Colorful 2"/>
    <w:lsdException w:uiPriority="99" w:semiHidden="0" w:name="Table Colorful 3"/>
    <w:lsdException w:uiPriority="99" w:semiHidden="0" w:name="Table Columns 1"/>
    <w:lsdException w:uiPriority="99" w:semiHidden="0" w:name="Table Columns 2"/>
    <w:lsdException w:uiPriority="99" w:semiHidden="0" w:name="Table Columns 3"/>
    <w:lsdException w:uiPriority="99" w:semiHidden="0" w:name="Table Columns 4"/>
    <w:lsdException w:uiPriority="99" w:semiHidden="0" w:name="Table Columns 5"/>
    <w:lsdException w:uiPriority="99" w:semiHidden="0" w:name="Table Grid 1"/>
    <w:lsdException w:uiPriority="99" w:semiHidden="0" w:name="Table Grid 2"/>
    <w:lsdException w:uiPriority="99" w:semiHidden="0" w:name="Table Grid 3"/>
    <w:lsdException w:uiPriority="99" w:semiHidden="0" w:name="Table Grid 4"/>
    <w:lsdException w:uiPriority="99" w:semiHidden="0" w:name="Table Grid 5"/>
    <w:lsdException w:uiPriority="99" w:semiHidden="0" w:name="Table Grid 6"/>
    <w:lsdException w:uiPriority="99" w:semiHidden="0" w:name="Table Grid 7"/>
    <w:lsdException w:uiPriority="99" w:semiHidden="0" w:name="Table Grid 8"/>
    <w:lsdException w:uiPriority="99" w:semiHidden="0" w:name="Table List 1"/>
    <w:lsdException w:uiPriority="99" w:semiHidden="0" w:name="Table List 2"/>
    <w:lsdException w:uiPriority="99" w:semiHidden="0" w:name="Table List 3"/>
    <w:lsdException w:uiPriority="99" w:semiHidden="0" w:name="Table List 4"/>
    <w:lsdException w:uiPriority="99" w:semiHidden="0" w:name="Table List 5"/>
    <w:lsdException w:uiPriority="99" w:semiHidden="0" w:name="Table List 6"/>
    <w:lsdException w:uiPriority="99" w:semiHidden="0" w:name="Table List 7"/>
    <w:lsdException w:uiPriority="99" w:semiHidden="0" w:name="Table List 8"/>
    <w:lsdException w:uiPriority="99" w:semiHidden="0" w:name="Table 3D effects 1"/>
    <w:lsdException w:uiPriority="99" w:semiHidden="0" w:name="Table 3D effects 2"/>
    <w:lsdException w:uiPriority="99" w:semiHidden="0" w:name="Table 3D effects 3"/>
    <w:lsdException w:uiPriority="99" w:semiHidden="0" w:name="Table Contemporary"/>
    <w:lsdException w:uiPriority="99" w:semiHidden="0" w:name="Table Elegant"/>
    <w:lsdException w:uiPriority="99" w:semiHidden="0" w:name="Table Professional"/>
    <w:lsdException w:uiPriority="99" w:semiHidden="0" w:name="Table Subtle 1"/>
    <w:lsdException w:uiPriority="99" w:semiHidden="0" w:name="Table Subtle 2"/>
    <w:lsdException w:uiPriority="99" w:semiHidden="0" w:name="Table Web 1"/>
    <w:lsdException w:uiPriority="99" w:semiHidden="0" w:name="Table Web 2"/>
    <w:lsdException w:uiPriority="99" w:semiHidden="0" w:name="Table Web 3"/>
    <w:lsdException w:qFormat="1" w:unhideWhenUsed="0" w:uiPriority="99" w:semiHidden="0" w:name="Balloon Text"/>
    <w:lsdException w:uiPriority="99" w:semiHidden="0" w:name="Table Grid"/>
    <w:lsdException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6"/>
    <w:qFormat/>
    <w:uiPriority w:val="9"/>
    <w:pPr>
      <w:spacing w:before="100" w:beforeAutospacing="1" w:after="100" w:afterAutospacing="1"/>
      <w:outlineLvl w:val="0"/>
    </w:pPr>
    <w:rPr>
      <w:b/>
      <w:bCs/>
      <w:kern w:val="44"/>
      <w:sz w:val="48"/>
      <w:szCs w:val="48"/>
    </w:rPr>
  </w:style>
  <w:style w:type="paragraph" w:styleId="3">
    <w:name w:val="heading 2"/>
    <w:basedOn w:val="1"/>
    <w:next w:val="1"/>
    <w:link w:val="17"/>
    <w:qFormat/>
    <w:uiPriority w:val="9"/>
    <w:pPr>
      <w:spacing w:before="100" w:beforeAutospacing="1" w:after="100" w:afterAutospacing="1"/>
      <w:outlineLvl w:val="1"/>
    </w:pPr>
    <w:rPr>
      <w:b/>
      <w:bCs/>
      <w:sz w:val="36"/>
      <w:szCs w:val="36"/>
    </w:rPr>
  </w:style>
  <w:style w:type="paragraph" w:styleId="4">
    <w:name w:val="heading 3"/>
    <w:basedOn w:val="1"/>
    <w:next w:val="1"/>
    <w:link w:val="18"/>
    <w:qFormat/>
    <w:uiPriority w:val="9"/>
    <w:pPr>
      <w:spacing w:before="100" w:beforeAutospacing="1" w:after="100" w:afterAutospacing="1"/>
      <w:outlineLvl w:val="2"/>
    </w:pPr>
    <w:rPr>
      <w:b/>
      <w:bCs/>
      <w:sz w:val="27"/>
      <w:szCs w:val="27"/>
    </w:rPr>
  </w:style>
  <w:style w:type="paragraph" w:styleId="5">
    <w:name w:val="heading 4"/>
    <w:basedOn w:val="1"/>
    <w:next w:val="1"/>
    <w:link w:val="19"/>
    <w:qFormat/>
    <w:uiPriority w:val="9"/>
    <w:pPr>
      <w:spacing w:before="100" w:beforeAutospacing="1" w:after="100" w:afterAutospacing="1"/>
      <w:outlineLvl w:val="3"/>
    </w:pPr>
    <w:rPr>
      <w:b/>
      <w:bCs/>
    </w:rPr>
  </w:style>
  <w:style w:type="paragraph" w:styleId="6">
    <w:name w:val="heading 5"/>
    <w:basedOn w:val="1"/>
    <w:next w:val="1"/>
    <w:link w:val="20"/>
    <w:qFormat/>
    <w:uiPriority w:val="9"/>
    <w:pPr>
      <w:spacing w:before="100" w:beforeAutospacing="1" w:after="100" w:afterAutospacing="1"/>
      <w:outlineLvl w:val="4"/>
    </w:pPr>
    <w:rPr>
      <w:b/>
      <w:bCs/>
      <w:sz w:val="20"/>
      <w:szCs w:val="20"/>
    </w:rPr>
  </w:style>
  <w:style w:type="paragraph" w:styleId="7">
    <w:name w:val="heading 6"/>
    <w:basedOn w:val="1"/>
    <w:next w:val="1"/>
    <w:link w:val="21"/>
    <w:qFormat/>
    <w:uiPriority w:val="9"/>
    <w:pPr>
      <w:spacing w:before="100" w:beforeAutospacing="1" w:after="100" w:afterAutospacing="1"/>
      <w:outlineLvl w:val="5"/>
    </w:pPr>
    <w:rPr>
      <w:b/>
      <w:bCs/>
      <w:sz w:val="15"/>
      <w:szCs w:val="15"/>
    </w:rPr>
  </w:style>
  <w:style w:type="character" w:default="1" w:styleId="15">
    <w:name w:val="Default Paragraph Font"/>
    <w:unhideWhenUsed/>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8">
    <w:name w:val="Normal Indent"/>
    <w:basedOn w:val="1"/>
    <w:next w:val="1"/>
    <w:uiPriority w:val="99"/>
    <w:pPr>
      <w:spacing w:line="425" w:lineRule="atLeast"/>
      <w:ind w:firstLine="420"/>
      <w:textAlignment w:val="baseline"/>
    </w:pPr>
    <w:rPr>
      <w:rFonts w:ascii="Calibri" w:hAnsi="Calibri"/>
      <w:color w:val="000000"/>
      <w:sz w:val="21"/>
      <w:szCs w:val="21"/>
    </w:rPr>
  </w:style>
  <w:style w:type="paragraph" w:styleId="9">
    <w:name w:val="Balloon Text"/>
    <w:basedOn w:val="1"/>
    <w:link w:val="24"/>
    <w:qFormat/>
    <w:uiPriority w:val="99"/>
    <w:rPr>
      <w:sz w:val="18"/>
      <w:szCs w:val="18"/>
    </w:rPr>
  </w:style>
  <w:style w:type="paragraph" w:styleId="10">
    <w:name w:val="footer"/>
    <w:basedOn w:val="1"/>
    <w:link w:val="22"/>
    <w:uiPriority w:val="99"/>
    <w:pPr>
      <w:snapToGrid w:val="0"/>
    </w:pPr>
    <w:rPr>
      <w:sz w:val="18"/>
      <w:szCs w:val="18"/>
    </w:rPr>
  </w:style>
  <w:style w:type="paragraph" w:styleId="11">
    <w:name w:val="header"/>
    <w:basedOn w:val="1"/>
    <w:link w:val="25"/>
    <w:uiPriority w:val="99"/>
    <w:pPr>
      <w:pBdr>
        <w:bottom w:val="single" w:color="auto" w:sz="6" w:space="1"/>
      </w:pBdr>
      <w:snapToGrid w:val="0"/>
      <w:jc w:val="center"/>
    </w:pPr>
    <w:rPr>
      <w:sz w:val="18"/>
      <w:szCs w:val="18"/>
    </w:rPr>
  </w:style>
  <w:style w:type="paragraph" w:styleId="12">
    <w:name w:val="HTML Preformatted"/>
    <w:basedOn w:val="1"/>
    <w:link w:val="23"/>
    <w:uiPriority w:val="99"/>
    <w:rPr>
      <w:rFonts w:ascii="Courier New" w:hAnsi="Courier New" w:cs="Courier New"/>
      <w:sz w:val="20"/>
      <w:szCs w:val="20"/>
    </w:rPr>
  </w:style>
  <w:style w:type="paragraph" w:styleId="13">
    <w:name w:val="Normal (Web)"/>
    <w:basedOn w:val="1"/>
    <w:qFormat/>
    <w:uiPriority w:val="99"/>
    <w:pPr>
      <w:spacing w:before="100" w:beforeAutospacing="1" w:after="100" w:afterAutospacing="1"/>
    </w:pPr>
  </w:style>
  <w:style w:type="character" w:customStyle="1" w:styleId="16">
    <w:name w:val="标题 1 Char"/>
    <w:basedOn w:val="15"/>
    <w:link w:val="2"/>
    <w:qFormat/>
    <w:uiPriority w:val="9"/>
    <w:rPr>
      <w:rFonts w:ascii="宋体" w:hAnsi="宋体" w:eastAsia="宋体" w:cs="宋体"/>
      <w:b/>
      <w:bCs/>
      <w:kern w:val="44"/>
      <w:sz w:val="44"/>
      <w:szCs w:val="44"/>
    </w:rPr>
  </w:style>
  <w:style w:type="character" w:customStyle="1" w:styleId="17">
    <w:name w:val="标题 2 Char"/>
    <w:basedOn w:val="15"/>
    <w:link w:val="3"/>
    <w:qFormat/>
    <w:uiPriority w:val="9"/>
    <w:rPr>
      <w:rFonts w:asciiTheme="majorHAnsi" w:hAnsiTheme="majorHAnsi" w:eastAsiaTheme="majorEastAsia" w:cstheme="majorBidi"/>
      <w:b/>
      <w:bCs/>
      <w:sz w:val="32"/>
      <w:szCs w:val="32"/>
    </w:rPr>
  </w:style>
  <w:style w:type="character" w:customStyle="1" w:styleId="18">
    <w:name w:val="标题 3 Char"/>
    <w:basedOn w:val="15"/>
    <w:link w:val="4"/>
    <w:uiPriority w:val="9"/>
    <w:rPr>
      <w:rFonts w:ascii="宋体" w:hAnsi="宋体" w:eastAsia="宋体" w:cs="宋体"/>
      <w:b/>
      <w:bCs/>
      <w:sz w:val="32"/>
      <w:szCs w:val="32"/>
    </w:rPr>
  </w:style>
  <w:style w:type="character" w:customStyle="1" w:styleId="19">
    <w:name w:val="标题 4 Char"/>
    <w:basedOn w:val="15"/>
    <w:link w:val="5"/>
    <w:uiPriority w:val="9"/>
    <w:rPr>
      <w:rFonts w:asciiTheme="majorHAnsi" w:hAnsiTheme="majorHAnsi" w:eastAsiaTheme="majorEastAsia" w:cstheme="majorBidi"/>
      <w:b/>
      <w:bCs/>
      <w:sz w:val="28"/>
      <w:szCs w:val="28"/>
    </w:rPr>
  </w:style>
  <w:style w:type="character" w:customStyle="1" w:styleId="20">
    <w:name w:val="标题 5 Char"/>
    <w:basedOn w:val="15"/>
    <w:link w:val="6"/>
    <w:uiPriority w:val="9"/>
    <w:rPr>
      <w:rFonts w:ascii="宋体" w:hAnsi="宋体" w:eastAsia="宋体" w:cs="宋体"/>
      <w:b/>
      <w:bCs/>
      <w:sz w:val="28"/>
      <w:szCs w:val="28"/>
    </w:rPr>
  </w:style>
  <w:style w:type="character" w:customStyle="1" w:styleId="21">
    <w:name w:val="标题 6 Char"/>
    <w:basedOn w:val="15"/>
    <w:link w:val="7"/>
    <w:uiPriority w:val="9"/>
    <w:rPr>
      <w:rFonts w:asciiTheme="majorHAnsi" w:hAnsiTheme="majorHAnsi" w:eastAsiaTheme="majorEastAsia" w:cstheme="majorBidi"/>
      <w:b/>
      <w:bCs/>
      <w:sz w:val="24"/>
      <w:szCs w:val="24"/>
    </w:rPr>
  </w:style>
  <w:style w:type="character" w:customStyle="1" w:styleId="22">
    <w:name w:val="页脚 Char"/>
    <w:basedOn w:val="15"/>
    <w:link w:val="10"/>
    <w:uiPriority w:val="99"/>
    <w:rPr>
      <w:rFonts w:ascii="宋体" w:hAnsi="宋体" w:eastAsia="宋体" w:cs="宋体"/>
      <w:sz w:val="18"/>
      <w:szCs w:val="18"/>
    </w:rPr>
  </w:style>
  <w:style w:type="character" w:customStyle="1" w:styleId="23">
    <w:name w:val="HTML 预设格式 Char"/>
    <w:basedOn w:val="15"/>
    <w:link w:val="12"/>
    <w:uiPriority w:val="99"/>
    <w:rPr>
      <w:rFonts w:ascii="Courier New" w:hAnsi="Courier New" w:eastAsia="宋体" w:cs="Courier New"/>
    </w:rPr>
  </w:style>
  <w:style w:type="character" w:customStyle="1" w:styleId="24">
    <w:name w:val="批注框文本 Char"/>
    <w:basedOn w:val="15"/>
    <w:link w:val="9"/>
    <w:uiPriority w:val="99"/>
    <w:rPr>
      <w:rFonts w:ascii="宋体" w:hAnsi="宋体" w:eastAsia="宋体" w:cs="宋体"/>
      <w:sz w:val="18"/>
      <w:szCs w:val="18"/>
    </w:rPr>
  </w:style>
  <w:style w:type="character" w:customStyle="1" w:styleId="25">
    <w:name w:val="页眉 Char"/>
    <w:basedOn w:val="15"/>
    <w:link w:val="11"/>
    <w:uiPriority w:val="99"/>
    <w:rPr>
      <w:rFonts w:ascii="宋体" w:hAnsi="宋体" w:eastAsia="宋体" w:cs="宋体"/>
      <w:sz w:val="18"/>
      <w:szCs w:val="18"/>
    </w:rPr>
  </w:style>
  <w:style w:type="paragraph" w:customStyle="1" w:styleId="26">
    <w:name w:val="普通(网站) Char"/>
    <w:basedOn w:val="1"/>
    <w:qFormat/>
    <w:uiPriority w:val="0"/>
    <w:pPr>
      <w:spacing w:before="100" w:beforeAutospacing="1" w:after="100" w:afterAutospacing="1"/>
    </w:pPr>
  </w:style>
  <w:style w:type="paragraph" w:customStyle="1" w:styleId="27">
    <w:name w:val="HTML 预设格式 Char1"/>
    <w:basedOn w:val="1"/>
    <w:uiPriority w:val="0"/>
    <w:rPr>
      <w:rFonts w:ascii="Courier New" w:hAnsi="Courier New" w:cs="Courier New"/>
      <w:sz w:val="20"/>
      <w:szCs w:val="20"/>
    </w:rPr>
  </w:style>
  <w:style w:type="paragraph" w:customStyle="1" w:styleId="28">
    <w:name w:val="普通(网站) Char Char"/>
    <w:basedOn w:val="1"/>
    <w:uiPriority w:val="0"/>
    <w:pPr>
      <w:spacing w:before="100" w:beforeAutospacing="1" w:after="100" w:afterAutospacing="1"/>
    </w:pPr>
  </w:style>
  <w:style w:type="paragraph" w:customStyle="1" w:styleId="29">
    <w:name w:val="HTML 预设格式 Char Char"/>
    <w:basedOn w:val="1"/>
    <w:qFormat/>
    <w:uiPriority w:val="0"/>
    <w:rPr>
      <w:rFonts w:ascii="Courier New" w:hAnsi="Courier New" w:cs="Courier New"/>
      <w:sz w:val="20"/>
      <w:szCs w:val="20"/>
    </w:rPr>
  </w:style>
  <w:style w:type="character" w:customStyle="1" w:styleId="30">
    <w:name w:val="10"/>
    <w:basedOn w:val="15"/>
    <w:qFormat/>
    <w:uiPriority w:val="0"/>
    <w:rPr>
      <w:rFonts w:hint="default" w:ascii="Times New Roman" w:hAnsi="Times New Roman" w:cs="Times New Roman"/>
    </w:rPr>
  </w:style>
  <w:style w:type="character" w:customStyle="1" w:styleId="31">
    <w:name w:val="15"/>
    <w:basedOn w:val="15"/>
    <w:uiPriority w:val="0"/>
    <w:rPr>
      <w:rFonts w:hint="default" w:ascii="Times New Roman" w:hAnsi="Times New Roman" w:cs="Times New Roman"/>
    </w:rPr>
  </w:style>
  <w:style w:type="character" w:customStyle="1" w:styleId="32">
    <w:name w:val="16"/>
    <w:basedOn w:val="15"/>
    <w:qFormat/>
    <w:uiPriority w:val="0"/>
    <w:rPr>
      <w:rFonts w:hint="default" w:ascii="Times New Roman" w:hAnsi="Times New Roman" w:cs="Times New Roman"/>
    </w:rPr>
  </w:style>
  <w:style w:type="character" w:customStyle="1" w:styleId="33">
    <w:name w:val="17"/>
    <w:basedOn w:val="15"/>
    <w:qFormat/>
    <w:uiPriority w:val="0"/>
    <w:rPr>
      <w:rFonts w:hint="eastAsia" w:ascii="宋体" w:hAnsi="宋体" w:eastAsia="宋体"/>
      <w:sz w:val="18"/>
      <w:szCs w:val="18"/>
    </w:rPr>
  </w:style>
  <w:style w:type="character" w:customStyle="1" w:styleId="34">
    <w:name w:val="18"/>
    <w:basedOn w:val="15"/>
    <w:uiPriority w:val="0"/>
    <w:rPr>
      <w:rFonts w:hint="eastAsia" w:ascii="宋体" w:hAnsi="宋体" w:eastAsia="宋体"/>
      <w:sz w:val="18"/>
      <w:szCs w:val="18"/>
    </w:rPr>
  </w:style>
  <w:style w:type="character" w:customStyle="1" w:styleId="35">
    <w:name w:val="19"/>
    <w:basedOn w:val="15"/>
    <w:qFormat/>
    <w:uiPriority w:val="0"/>
    <w:rPr>
      <w:rFonts w:hint="eastAsia" w:ascii="宋体" w:hAnsi="宋体" w:eastAsia="宋体"/>
      <w:sz w:val="18"/>
      <w:szCs w:val="18"/>
    </w:rPr>
  </w:style>
  <w:style w:type="paragraph" w:customStyle="1" w:styleId="36">
    <w:name w:val="List Paragraph"/>
    <w:basedOn w:val="1"/>
    <w:qFormat/>
    <w:uiPriority w:val="99"/>
    <w:pPr>
      <w:ind w:firstLine="420" w:firstLineChars="200"/>
    </w:pPr>
  </w:style>
  <w:style w:type="character" w:customStyle="1" w:styleId="37">
    <w:name w:val="26"/>
    <w:basedOn w:val="15"/>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23</Pages>
  <Words>815</Words>
  <Characters>4650</Characters>
  <Lines>38</Lines>
  <Paragraphs>10</Paragraphs>
  <TotalTime>0</TotalTime>
  <ScaleCrop>false</ScaleCrop>
  <LinksUpToDate>false</LinksUpToDate>
  <CharactersWithSpaces>5455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2021-09-29T02:23:00Z</dcterms:created>
  <dc:creator>微软用户</dc:creator>
  <cp:lastModifiedBy>交委刘玲</cp:lastModifiedBy>
  <dcterms:modified xsi:type="dcterms:W3CDTF">2022-01-20T06:57:28Z</dcterms:modified>
  <dc:title> 重庆市垫江县邮政业发展服务中心</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