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autoSpaceDE w:val="0"/>
        <w:spacing w:before="0" w:beforeAutospacing="0" w:after="0" w:afterAutospacing="0" w:line="594" w:lineRule="exact"/>
        <w:jc w:val="center"/>
        <w:rPr>
          <w:rFonts w:ascii="Times New Roman" w:hAnsi="Times New Roman" w:cs="Times New Roman"/>
          <w:b/>
          <w:bCs/>
          <w:sz w:val="44"/>
          <w:szCs w:val="44"/>
        </w:rPr>
      </w:pPr>
      <w:r>
        <w:rPr>
          <w:rFonts w:hint="eastAsia"/>
          <w:b/>
          <w:bCs/>
          <w:sz w:val="44"/>
          <w:szCs w:val="44"/>
          <w:shd w:val="clear" w:color="auto" w:fill="FFFFFF"/>
        </w:rPr>
        <w:t>重庆市垫江县交通建设工程服务中心</w:t>
      </w:r>
    </w:p>
    <w:p>
      <w:pPr>
        <w:pStyle w:val="25"/>
        <w:autoSpaceDE w:val="0"/>
        <w:spacing w:before="0" w:beforeAutospacing="0" w:after="0" w:afterAutospacing="0" w:line="594" w:lineRule="exact"/>
        <w:jc w:val="center"/>
        <w:rPr>
          <w:rFonts w:ascii="Times New Roman" w:hAnsi="Times New Roman" w:cs="Times New Roman"/>
          <w:b/>
          <w:bCs/>
          <w:sz w:val="44"/>
          <w:szCs w:val="44"/>
        </w:rPr>
      </w:pPr>
      <w:r>
        <w:rPr>
          <w:rFonts w:ascii="Times New Roman" w:hAnsi="Times New Roman" w:cs="Times New Roman"/>
          <w:b/>
          <w:bCs/>
          <w:sz w:val="44"/>
          <w:szCs w:val="44"/>
          <w:shd w:val="clear" w:color="auto" w:fill="FFFFFF"/>
        </w:rPr>
        <w:t>2020</w:t>
      </w:r>
      <w:r>
        <w:rPr>
          <w:rFonts w:hint="eastAsia"/>
          <w:b/>
          <w:bCs/>
          <w:sz w:val="44"/>
          <w:szCs w:val="44"/>
          <w:shd w:val="clear" w:color="auto" w:fill="FFFFFF"/>
        </w:rPr>
        <w:t>年度部门决算情况说明</w:t>
      </w:r>
    </w:p>
    <w:p>
      <w:pPr>
        <w:pStyle w:val="25"/>
        <w:autoSpaceDE w:val="0"/>
        <w:spacing w:before="0" w:beforeAutospacing="0" w:after="0" w:afterAutospacing="0" w:line="594" w:lineRule="exact"/>
        <w:ind w:firstLine="480" w:firstLineChars="200"/>
        <w:jc w:val="center"/>
        <w:rPr>
          <w:rFonts w:ascii="Times New Roman" w:hAnsi="Times New Roman" w:eastAsia="仿宋" w:cs="Times New Roman"/>
        </w:rPr>
      </w:pPr>
      <w:r>
        <w:rPr>
          <w:rFonts w:ascii="Times New Roman" w:hAnsi="Times New Roman" w:eastAsia="仿宋" w:cs="Times New Roman"/>
        </w:rPr>
        <w:t xml:space="preserve"> </w:t>
      </w:r>
    </w:p>
    <w:p>
      <w:pPr>
        <w:pStyle w:val="25"/>
        <w:numPr>
          <w:ilvl w:val="0"/>
          <w:numId w:val="1"/>
        </w:numPr>
        <w:autoSpaceDE w:val="0"/>
        <w:spacing w:before="0" w:beforeAutospacing="0" w:after="0" w:afterAutospacing="0" w:line="594" w:lineRule="exact"/>
        <w:ind w:firstLine="643" w:firstLineChars="200"/>
        <w:rPr>
          <w:rFonts w:ascii="Times New Roman" w:hAnsi="Times New Roman" w:eastAsia="仿宋" w:cs="Times New Roman"/>
          <w:b/>
          <w:bCs/>
          <w:sz w:val="32"/>
          <w:szCs w:val="32"/>
          <w:shd w:val="clear" w:color="auto" w:fill="FFFFFF"/>
        </w:rPr>
      </w:pPr>
      <w:r>
        <w:rPr>
          <w:rStyle w:val="45"/>
          <w:rFonts w:hint="eastAsia" w:ascii="仿宋" w:hAnsi="仿宋" w:eastAsia="仿宋"/>
          <w:sz w:val="32"/>
          <w:szCs w:val="32"/>
          <w:shd w:val="clear" w:color="auto" w:fill="FFFFFF"/>
        </w:rPr>
        <w:t>部门基本情况</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（一）职能职责</w:t>
      </w:r>
    </w:p>
    <w:p>
      <w:pPr>
        <w:autoSpaceDE w:val="0"/>
        <w:spacing w:line="594" w:lineRule="exact"/>
        <w:ind w:firstLine="640" w:firstLineChars="200"/>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1.</w:t>
      </w:r>
      <w:r>
        <w:rPr>
          <w:rFonts w:hint="eastAsia" w:ascii="仿宋" w:hAnsi="仿宋" w:eastAsia="仿宋"/>
          <w:sz w:val="32"/>
          <w:szCs w:val="32"/>
          <w:shd w:val="clear" w:color="auto" w:fill="FFFFFF"/>
        </w:rPr>
        <w:t>承担全县交通建设工程施工质量技术咨询。</w:t>
      </w:r>
    </w:p>
    <w:p>
      <w:pPr>
        <w:autoSpaceDE w:val="0"/>
        <w:spacing w:line="594" w:lineRule="exact"/>
        <w:ind w:firstLine="640" w:firstLineChars="200"/>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2.</w:t>
      </w:r>
      <w:r>
        <w:rPr>
          <w:rFonts w:hint="eastAsia" w:ascii="仿宋" w:hAnsi="仿宋" w:eastAsia="仿宋"/>
          <w:sz w:val="32"/>
          <w:szCs w:val="32"/>
          <w:shd w:val="clear" w:color="auto" w:fill="FFFFFF"/>
        </w:rPr>
        <w:t>承担全县交通建设工程质量的经验交流、技术培训。</w:t>
      </w:r>
    </w:p>
    <w:p>
      <w:pPr>
        <w:autoSpaceDE w:val="0"/>
        <w:spacing w:line="594" w:lineRule="exact"/>
        <w:ind w:firstLine="640" w:firstLineChars="200"/>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3.</w:t>
      </w:r>
      <w:r>
        <w:rPr>
          <w:rFonts w:hint="eastAsia" w:ascii="仿宋" w:hAnsi="仿宋" w:eastAsia="仿宋"/>
          <w:sz w:val="32"/>
          <w:szCs w:val="32"/>
          <w:shd w:val="clear" w:color="auto" w:fill="FFFFFF"/>
        </w:rPr>
        <w:t>承担公路、水路建设工程质量安全技术保障服务。</w:t>
      </w:r>
    </w:p>
    <w:p>
      <w:pPr>
        <w:autoSpaceDE w:val="0"/>
        <w:spacing w:line="594" w:lineRule="exact"/>
        <w:ind w:firstLine="640" w:firstLineChars="200"/>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4.</w:t>
      </w:r>
      <w:r>
        <w:rPr>
          <w:rFonts w:hint="eastAsia" w:ascii="仿宋" w:hAnsi="仿宋" w:eastAsia="仿宋"/>
          <w:sz w:val="32"/>
          <w:szCs w:val="32"/>
          <w:shd w:val="clear" w:color="auto" w:fill="FFFFFF"/>
        </w:rPr>
        <w:t>承担本地区公路、水路工程建设各方建立健全质量保证体系和质量责任制度，及公路、水路工程从业单位资质资信、质量工作和工程实体质量等监督管理的事务工作。</w:t>
      </w:r>
    </w:p>
    <w:p>
      <w:pPr>
        <w:autoSpaceDE w:val="0"/>
        <w:spacing w:line="594" w:lineRule="exact"/>
        <w:ind w:firstLine="640" w:firstLineChars="200"/>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5.</w:t>
      </w:r>
      <w:r>
        <w:rPr>
          <w:rFonts w:hint="eastAsia" w:ascii="仿宋" w:hAnsi="仿宋" w:eastAsia="仿宋"/>
          <w:sz w:val="32"/>
          <w:szCs w:val="32"/>
          <w:shd w:val="clear" w:color="auto" w:fill="FFFFFF"/>
        </w:rPr>
        <w:t>承担交通建设公路、水路工程交工验收质量核验的事务工作。</w:t>
      </w:r>
    </w:p>
    <w:p>
      <w:pPr>
        <w:autoSpaceDE w:val="0"/>
        <w:spacing w:line="594" w:lineRule="exact"/>
        <w:ind w:firstLine="640" w:firstLineChars="200"/>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6.</w:t>
      </w:r>
      <w:r>
        <w:rPr>
          <w:rFonts w:hint="eastAsia" w:ascii="仿宋" w:hAnsi="仿宋" w:eastAsia="仿宋"/>
          <w:sz w:val="32"/>
          <w:szCs w:val="32"/>
          <w:shd w:val="clear" w:color="auto" w:fill="FFFFFF"/>
        </w:rPr>
        <w:t>承担本地区交通建设受监工程竣工质量鉴定的事务工作。</w:t>
      </w:r>
    </w:p>
    <w:p>
      <w:pPr>
        <w:autoSpaceDE w:val="0"/>
        <w:spacing w:line="594" w:lineRule="exact"/>
        <w:ind w:firstLine="640" w:firstLineChars="200"/>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7.</w:t>
      </w:r>
      <w:r>
        <w:rPr>
          <w:rFonts w:hint="eastAsia" w:ascii="仿宋" w:hAnsi="仿宋" w:eastAsia="仿宋"/>
          <w:sz w:val="32"/>
          <w:szCs w:val="32"/>
          <w:shd w:val="clear" w:color="auto" w:fill="FFFFFF"/>
        </w:rPr>
        <w:t>承担本地区公路工程监理、试验检测机构等监督管理的事务工作。</w:t>
      </w:r>
    </w:p>
    <w:p>
      <w:pPr>
        <w:autoSpaceDE w:val="0"/>
        <w:spacing w:line="594" w:lineRule="exact"/>
        <w:ind w:firstLine="640" w:firstLineChars="200"/>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9.</w:t>
      </w:r>
      <w:r>
        <w:rPr>
          <w:rFonts w:hint="eastAsia" w:ascii="仿宋" w:hAnsi="仿宋" w:eastAsia="仿宋"/>
          <w:sz w:val="32"/>
          <w:szCs w:val="32"/>
          <w:shd w:val="clear" w:color="auto" w:fill="FFFFFF"/>
        </w:rPr>
        <w:t>承担本地区交通建设工程质量、安全事故调查处理的事务工作。</w:t>
      </w:r>
    </w:p>
    <w:p>
      <w:pPr>
        <w:pStyle w:val="25"/>
        <w:autoSpaceDE w:val="0"/>
        <w:spacing w:before="0" w:beforeAutospacing="0" w:after="0" w:afterAutospacing="0" w:line="594" w:lineRule="exact"/>
        <w:ind w:firstLine="643" w:firstLineChars="200"/>
        <w:rPr>
          <w:rFonts w:ascii="仿宋" w:hAnsi="仿宋" w:eastAsia="仿宋"/>
          <w:b/>
          <w:bCs/>
          <w:sz w:val="32"/>
          <w:szCs w:val="32"/>
          <w:shd w:val="clear" w:color="auto" w:fill="FFFFFF"/>
        </w:rPr>
      </w:pPr>
      <w:r>
        <w:rPr>
          <w:rStyle w:val="45"/>
          <w:rFonts w:hint="eastAsia" w:ascii="仿宋" w:hAnsi="仿宋" w:eastAsia="仿宋"/>
          <w:sz w:val="32"/>
          <w:szCs w:val="32"/>
          <w:shd w:val="clear" w:color="auto" w:fill="FFFFFF"/>
        </w:rPr>
        <w:t>（二）机构设置</w:t>
      </w:r>
    </w:p>
    <w:p>
      <w:pPr>
        <w:autoSpaceDE w:val="0"/>
        <w:spacing w:line="594" w:lineRule="exact"/>
        <w:ind w:firstLine="640" w:firstLineChars="200"/>
        <w:rPr>
          <w:rFonts w:hint="eastAsia"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1.</w:t>
      </w:r>
      <w:r>
        <w:rPr>
          <w:rFonts w:hint="eastAsia" w:ascii="仿宋" w:hAnsi="仿宋" w:eastAsia="仿宋"/>
          <w:sz w:val="32"/>
          <w:szCs w:val="32"/>
        </w:rPr>
        <w:t>机构设置。</w:t>
      </w:r>
      <w:r>
        <w:rPr>
          <w:rFonts w:hint="eastAsia" w:ascii="仿宋" w:hAnsi="仿宋" w:eastAsia="仿宋"/>
          <w:sz w:val="32"/>
          <w:szCs w:val="32"/>
          <w:shd w:val="clear" w:color="auto" w:fill="FFFFFF"/>
        </w:rPr>
        <w:t>本单位内设</w:t>
      </w:r>
      <w:r>
        <w:rPr>
          <w:rFonts w:ascii="Times New Roman" w:hAnsi="Times New Roman" w:eastAsia="仿宋" w:cs="Times New Roman"/>
          <w:sz w:val="32"/>
          <w:szCs w:val="32"/>
          <w:shd w:val="clear" w:color="auto" w:fill="FFFFFF"/>
        </w:rPr>
        <w:t xml:space="preserve">3 </w:t>
      </w:r>
      <w:r>
        <w:rPr>
          <w:rFonts w:hint="eastAsia" w:ascii="仿宋" w:hAnsi="仿宋" w:eastAsia="仿宋"/>
          <w:sz w:val="32"/>
          <w:szCs w:val="32"/>
          <w:shd w:val="clear" w:color="auto" w:fill="FFFFFF"/>
        </w:rPr>
        <w:t>个机构科室，分别是办公室、质量监督科、安全监督科。</w:t>
      </w:r>
    </w:p>
    <w:p>
      <w:pPr>
        <w:autoSpaceDE w:val="0"/>
        <w:spacing w:line="594" w:lineRule="exact"/>
        <w:ind w:firstLine="640" w:firstLineChars="200"/>
        <w:rPr>
          <w:rFonts w:ascii="仿宋" w:hAnsi="仿宋" w:eastAsia="仿宋"/>
          <w:sz w:val="32"/>
          <w:szCs w:val="32"/>
          <w:shd w:val="clear" w:color="auto" w:fill="FFFFFF"/>
        </w:rPr>
      </w:pPr>
      <w:r>
        <w:rPr>
          <w:rFonts w:ascii="Times New Roman" w:hAnsi="Times New Roman" w:eastAsia="仿宋" w:cs="Times New Roman"/>
          <w:sz w:val="32"/>
          <w:szCs w:val="32"/>
          <w:shd w:val="clear" w:color="auto" w:fill="FFFFFF"/>
        </w:rPr>
        <w:t>2.</w:t>
      </w:r>
      <w:r>
        <w:rPr>
          <w:rFonts w:hint="eastAsia" w:ascii="仿宋" w:hAnsi="仿宋" w:eastAsia="仿宋"/>
          <w:sz w:val="32"/>
          <w:szCs w:val="32"/>
          <w:shd w:val="clear" w:color="auto" w:fill="FFFFFF"/>
        </w:rPr>
        <w:t>财政供养人数。本单位</w:t>
      </w: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年在职职工</w:t>
      </w:r>
      <w:r>
        <w:rPr>
          <w:rFonts w:ascii="Times New Roman" w:hAnsi="Times New Roman" w:eastAsia="仿宋" w:cs="Times New Roman"/>
          <w:sz w:val="32"/>
          <w:szCs w:val="32"/>
          <w:shd w:val="clear" w:color="auto" w:fill="FFFFFF"/>
        </w:rPr>
        <w:t>14</w:t>
      </w:r>
      <w:r>
        <w:rPr>
          <w:rFonts w:hint="eastAsia" w:ascii="仿宋" w:hAnsi="仿宋" w:eastAsia="仿宋"/>
          <w:sz w:val="32"/>
          <w:szCs w:val="32"/>
          <w:shd w:val="clear" w:color="auto" w:fill="FFFFFF"/>
        </w:rPr>
        <w:t>人、临时工</w:t>
      </w:r>
      <w:r>
        <w:rPr>
          <w:rFonts w:ascii="Times New Roman" w:hAnsi="Times New Roman" w:eastAsia="仿宋" w:cs="Times New Roman"/>
          <w:sz w:val="32"/>
          <w:szCs w:val="32"/>
          <w:shd w:val="clear" w:color="auto" w:fill="FFFFFF"/>
        </w:rPr>
        <w:t>1</w:t>
      </w:r>
      <w:r>
        <w:rPr>
          <w:rFonts w:hint="eastAsia" w:ascii="仿宋" w:hAnsi="仿宋" w:eastAsia="仿宋"/>
          <w:sz w:val="32"/>
          <w:szCs w:val="32"/>
          <w:shd w:val="clear" w:color="auto" w:fill="FFFFFF"/>
        </w:rPr>
        <w:t>人、退休职工</w:t>
      </w:r>
      <w:r>
        <w:rPr>
          <w:rFonts w:ascii="Times New Roman" w:hAnsi="Times New Roman" w:eastAsia="仿宋" w:cs="Times New Roman"/>
          <w:sz w:val="32"/>
          <w:szCs w:val="32"/>
          <w:shd w:val="clear" w:color="auto" w:fill="FFFFFF"/>
        </w:rPr>
        <w:t>1</w:t>
      </w:r>
      <w:r>
        <w:rPr>
          <w:rFonts w:hint="eastAsia" w:ascii="仿宋" w:hAnsi="仿宋" w:eastAsia="仿宋"/>
          <w:sz w:val="32"/>
          <w:szCs w:val="32"/>
          <w:shd w:val="clear" w:color="auto" w:fill="FFFFFF"/>
        </w:rPr>
        <w:t>人。</w:t>
      </w:r>
    </w:p>
    <w:p>
      <w:pPr>
        <w:pStyle w:val="25"/>
        <w:autoSpaceDE w:val="0"/>
        <w:spacing w:before="0" w:beforeAutospacing="0" w:after="0" w:afterAutospacing="0" w:line="594" w:lineRule="exact"/>
        <w:ind w:firstLine="643" w:firstLineChars="200"/>
        <w:rPr>
          <w:rFonts w:hint="eastAsia" w:ascii="仿宋" w:hAnsi="仿宋" w:eastAsia="仿宋"/>
          <w:b/>
          <w:bCs/>
          <w:sz w:val="32"/>
          <w:szCs w:val="32"/>
          <w:shd w:val="clear" w:color="auto" w:fill="FFFFFF"/>
        </w:rPr>
      </w:pPr>
      <w:r>
        <w:rPr>
          <w:rStyle w:val="45"/>
          <w:rFonts w:hint="eastAsia" w:ascii="仿宋" w:hAnsi="仿宋" w:eastAsia="仿宋"/>
          <w:sz w:val="32"/>
          <w:szCs w:val="32"/>
          <w:shd w:val="clear" w:color="auto" w:fill="FFFFFF"/>
        </w:rPr>
        <w:t>（三）单位构成</w:t>
      </w:r>
    </w:p>
    <w:p>
      <w:pPr>
        <w:pStyle w:val="25"/>
        <w:autoSpaceDE w:val="0"/>
        <w:spacing w:before="0" w:beforeAutospacing="0" w:after="0" w:afterAutospacing="0" w:line="594" w:lineRule="exact"/>
        <w:ind w:firstLine="640" w:firstLineChars="200"/>
        <w:rPr>
          <w:rFonts w:hint="eastAsia" w:ascii="Times New Roman" w:hAnsi="Times New Roman" w:cs="Times New Roman"/>
        </w:rPr>
      </w:pPr>
      <w:r>
        <w:rPr>
          <w:rFonts w:hint="eastAsia" w:ascii="仿宋" w:hAnsi="仿宋" w:eastAsia="仿宋"/>
          <w:sz w:val="32"/>
          <w:szCs w:val="32"/>
          <w:shd w:val="clear" w:color="auto" w:fill="FFFFFF"/>
        </w:rPr>
        <w:t>从预算单位构成看，本单位为</w:t>
      </w: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年度决算编制的二级预算单位。</w:t>
      </w:r>
    </w:p>
    <w:p>
      <w:pPr>
        <w:pStyle w:val="25"/>
        <w:autoSpaceDE w:val="0"/>
        <w:spacing w:before="0" w:beforeAutospacing="0" w:after="0" w:afterAutospacing="0" w:line="594" w:lineRule="exact"/>
        <w:ind w:firstLine="643" w:firstLineChars="200"/>
        <w:rPr>
          <w:rFonts w:hint="eastAsia" w:ascii="Times New Roman" w:hAnsi="Times New Roman" w:eastAsia="仿宋" w:cs="Times New Roman"/>
          <w:sz w:val="32"/>
          <w:szCs w:val="32"/>
        </w:rPr>
      </w:pPr>
      <w:r>
        <w:rPr>
          <w:rStyle w:val="45"/>
          <w:rFonts w:hint="eastAsia" w:ascii="仿宋" w:hAnsi="仿宋" w:eastAsia="仿宋"/>
          <w:sz w:val="32"/>
          <w:szCs w:val="32"/>
          <w:shd w:val="clear" w:color="auto" w:fill="FFFFFF"/>
        </w:rPr>
        <w:t>二、部门决算情况说明</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（一）收入支出决算总体情况说明</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shd w:val="clear" w:color="auto" w:fill="FFFFFF"/>
        </w:rPr>
      </w:pPr>
      <w:r>
        <w:rPr>
          <w:rStyle w:val="45"/>
          <w:rFonts w:eastAsia="仿宋"/>
          <w:sz w:val="32"/>
          <w:szCs w:val="32"/>
          <w:shd w:val="clear" w:color="auto" w:fill="FFFFFF"/>
        </w:rPr>
        <w:t>1.</w:t>
      </w:r>
      <w:r>
        <w:rPr>
          <w:rStyle w:val="45"/>
          <w:rFonts w:hint="eastAsia" w:ascii="仿宋" w:hAnsi="仿宋" w:eastAsia="仿宋"/>
          <w:sz w:val="32"/>
          <w:szCs w:val="32"/>
          <w:shd w:val="clear" w:color="auto" w:fill="FFFFFF"/>
        </w:rPr>
        <w:t>总体情况</w:t>
      </w:r>
      <w:r>
        <w:rPr>
          <w:rFonts w:hint="eastAsia" w:ascii="仿宋" w:hAnsi="仿宋" w:eastAsia="仿宋"/>
          <w:sz w:val="32"/>
          <w:szCs w:val="32"/>
          <w:shd w:val="clear" w:color="auto" w:fill="FFFFFF"/>
        </w:rPr>
        <w:t>。</w:t>
      </w: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年度收入总计</w:t>
      </w:r>
      <w:r>
        <w:rPr>
          <w:rFonts w:ascii="Times New Roman" w:hAnsi="Times New Roman" w:eastAsia="仿宋" w:cs="Times New Roman"/>
          <w:sz w:val="32"/>
          <w:szCs w:val="32"/>
          <w:shd w:val="clear" w:color="auto" w:fill="FFFFFF"/>
        </w:rPr>
        <w:t>289.81</w:t>
      </w:r>
      <w:r>
        <w:rPr>
          <w:rFonts w:hint="eastAsia" w:ascii="仿宋" w:hAnsi="仿宋" w:eastAsia="仿宋"/>
          <w:sz w:val="32"/>
          <w:szCs w:val="32"/>
          <w:shd w:val="clear" w:color="auto" w:fill="FFFFFF"/>
        </w:rPr>
        <w:t>万元，支出总计</w:t>
      </w:r>
      <w:r>
        <w:rPr>
          <w:rFonts w:ascii="Times New Roman" w:hAnsi="Times New Roman" w:eastAsia="仿宋" w:cs="Times New Roman"/>
          <w:sz w:val="32"/>
          <w:szCs w:val="32"/>
          <w:shd w:val="clear" w:color="auto" w:fill="FFFFFF"/>
        </w:rPr>
        <w:t>289.81</w:t>
      </w:r>
      <w:r>
        <w:rPr>
          <w:rFonts w:hint="eastAsia" w:ascii="仿宋" w:hAnsi="仿宋" w:eastAsia="仿宋"/>
          <w:sz w:val="32"/>
          <w:szCs w:val="32"/>
          <w:shd w:val="clear" w:color="auto" w:fill="FFFFFF"/>
        </w:rPr>
        <w:t>万元。收支较上年决算数增加</w:t>
      </w:r>
      <w:r>
        <w:rPr>
          <w:rFonts w:ascii="Times New Roman" w:hAnsi="Times New Roman" w:eastAsia="仿宋" w:cs="Times New Roman"/>
          <w:sz w:val="32"/>
          <w:szCs w:val="32"/>
          <w:shd w:val="clear" w:color="auto" w:fill="FFFFFF"/>
        </w:rPr>
        <w:t>1.89</w:t>
      </w:r>
      <w:r>
        <w:rPr>
          <w:rFonts w:hint="eastAsia" w:ascii="仿宋" w:hAnsi="仿宋" w:eastAsia="仿宋"/>
          <w:sz w:val="32"/>
          <w:szCs w:val="32"/>
          <w:shd w:val="clear" w:color="auto" w:fill="FFFFFF"/>
        </w:rPr>
        <w:t>万元，增长</w:t>
      </w:r>
      <w:r>
        <w:rPr>
          <w:rFonts w:ascii="Times New Roman" w:hAnsi="Times New Roman" w:eastAsia="仿宋" w:cs="Times New Roman"/>
          <w:vanish/>
          <w:sz w:val="32"/>
          <w:szCs w:val="32"/>
          <w:shd w:val="clear" w:color="auto" w:fill="FFFFFF"/>
        </w:rPr>
        <w:t xml:space="preserve"> </w:t>
      </w:r>
      <w:r>
        <w:rPr>
          <w:rFonts w:ascii="Times New Roman" w:hAnsi="Times New Roman" w:eastAsia="仿宋" w:cs="Times New Roman"/>
          <w:sz w:val="32"/>
          <w:szCs w:val="32"/>
          <w:shd w:val="clear" w:color="auto" w:fill="FFFFFF"/>
        </w:rPr>
        <w:t>0.7%</w:t>
      </w:r>
      <w:r>
        <w:rPr>
          <w:rFonts w:hint="eastAsia" w:ascii="仿宋" w:hAnsi="仿宋" w:eastAsia="仿宋"/>
          <w:sz w:val="32"/>
          <w:szCs w:val="32"/>
          <w:shd w:val="clear" w:color="auto" w:fill="FFFFFF"/>
        </w:rPr>
        <w:t>，主要原因是本单位本年收入减少</w:t>
      </w:r>
      <w:r>
        <w:rPr>
          <w:rFonts w:ascii="Times New Roman" w:hAnsi="Times New Roman" w:eastAsia="仿宋" w:cs="Times New Roman"/>
          <w:sz w:val="32"/>
          <w:szCs w:val="32"/>
          <w:shd w:val="clear" w:color="auto" w:fill="FFFFFF"/>
        </w:rPr>
        <w:t>38.52</w:t>
      </w:r>
      <w:r>
        <w:rPr>
          <w:rFonts w:hint="eastAsia" w:ascii="仿宋" w:hAnsi="仿宋" w:eastAsia="仿宋"/>
          <w:sz w:val="32"/>
          <w:szCs w:val="32"/>
          <w:shd w:val="clear" w:color="auto" w:fill="FFFFFF"/>
        </w:rPr>
        <w:t>万元，年初结转结余增加</w:t>
      </w:r>
      <w:r>
        <w:rPr>
          <w:rFonts w:ascii="Times New Roman" w:hAnsi="Times New Roman" w:eastAsia="仿宋" w:cs="Times New Roman"/>
          <w:sz w:val="32"/>
          <w:szCs w:val="32"/>
          <w:shd w:val="clear" w:color="auto" w:fill="FFFFFF"/>
        </w:rPr>
        <w:t>40.41</w:t>
      </w:r>
      <w:r>
        <w:rPr>
          <w:rFonts w:hint="eastAsia" w:ascii="仿宋" w:hAnsi="仿宋" w:eastAsia="仿宋"/>
          <w:sz w:val="32"/>
          <w:szCs w:val="32"/>
          <w:shd w:val="clear" w:color="auto" w:fill="FFFFFF"/>
        </w:rPr>
        <w:t>万元。</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shd w:val="clear" w:color="auto" w:fill="FFFFFF"/>
        </w:rPr>
      </w:pPr>
      <w:r>
        <w:rPr>
          <w:rStyle w:val="45"/>
          <w:rFonts w:eastAsia="仿宋"/>
          <w:sz w:val="32"/>
          <w:szCs w:val="32"/>
          <w:shd w:val="clear" w:color="auto" w:fill="FFFFFF"/>
        </w:rPr>
        <w:t>2.</w:t>
      </w:r>
      <w:r>
        <w:rPr>
          <w:rStyle w:val="45"/>
          <w:rFonts w:hint="eastAsia" w:ascii="仿宋" w:hAnsi="仿宋" w:eastAsia="仿宋"/>
          <w:sz w:val="32"/>
          <w:szCs w:val="32"/>
          <w:shd w:val="clear" w:color="auto" w:fill="FFFFFF"/>
        </w:rPr>
        <w:t>收入情况。</w:t>
      </w: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年度收入合计</w:t>
      </w:r>
      <w:r>
        <w:rPr>
          <w:rFonts w:ascii="Times New Roman" w:hAnsi="Times New Roman" w:eastAsia="仿宋" w:cs="Times New Roman"/>
          <w:sz w:val="32"/>
          <w:szCs w:val="32"/>
          <w:shd w:val="clear" w:color="auto" w:fill="FFFFFF"/>
        </w:rPr>
        <w:t>241.25</w:t>
      </w:r>
      <w:r>
        <w:rPr>
          <w:rFonts w:hint="eastAsia" w:ascii="仿宋" w:hAnsi="仿宋" w:eastAsia="仿宋"/>
          <w:sz w:val="32"/>
          <w:szCs w:val="32"/>
          <w:shd w:val="clear" w:color="auto" w:fill="FFFFFF"/>
        </w:rPr>
        <w:t>万元，较上年决算数减少</w:t>
      </w:r>
      <w:r>
        <w:rPr>
          <w:rFonts w:ascii="Times New Roman" w:hAnsi="Times New Roman" w:eastAsia="仿宋" w:cs="Times New Roman"/>
          <w:sz w:val="32"/>
          <w:szCs w:val="32"/>
          <w:shd w:val="clear" w:color="auto" w:fill="FFFFFF"/>
        </w:rPr>
        <w:t>38.52</w:t>
      </w:r>
      <w:r>
        <w:rPr>
          <w:rFonts w:hint="eastAsia" w:ascii="仿宋" w:hAnsi="仿宋" w:eastAsia="仿宋"/>
          <w:sz w:val="32"/>
          <w:szCs w:val="32"/>
          <w:shd w:val="clear" w:color="auto" w:fill="FFFFFF"/>
        </w:rPr>
        <w:t>万元，下降</w:t>
      </w:r>
      <w:r>
        <w:rPr>
          <w:rFonts w:ascii="Times New Roman" w:hAnsi="Times New Roman" w:eastAsia="仿宋" w:cs="Times New Roman"/>
          <w:sz w:val="32"/>
          <w:szCs w:val="32"/>
          <w:shd w:val="clear" w:color="auto" w:fill="FFFFFF"/>
        </w:rPr>
        <w:t>13.8%</w:t>
      </w:r>
      <w:r>
        <w:rPr>
          <w:rFonts w:hint="eastAsia" w:ascii="仿宋" w:hAnsi="仿宋" w:eastAsia="仿宋"/>
          <w:sz w:val="32"/>
          <w:szCs w:val="32"/>
          <w:shd w:val="clear" w:color="auto" w:fill="FFFFFF"/>
        </w:rPr>
        <w:t>，主要原因是本单位本年社会保障和就业支出减少</w:t>
      </w:r>
      <w:r>
        <w:rPr>
          <w:rFonts w:ascii="Times New Roman" w:hAnsi="Times New Roman" w:eastAsia="仿宋" w:cs="Times New Roman"/>
          <w:sz w:val="32"/>
          <w:szCs w:val="32"/>
          <w:shd w:val="clear" w:color="auto" w:fill="FFFFFF"/>
        </w:rPr>
        <w:t>1.8</w:t>
      </w:r>
      <w:r>
        <w:rPr>
          <w:rFonts w:hint="eastAsia" w:ascii="仿宋" w:hAnsi="仿宋" w:eastAsia="仿宋"/>
          <w:sz w:val="32"/>
          <w:szCs w:val="32"/>
          <w:shd w:val="clear" w:color="auto" w:fill="FFFFFF"/>
        </w:rPr>
        <w:t>万元，日常公用经费及人员经费减少</w:t>
      </w:r>
      <w:r>
        <w:rPr>
          <w:rFonts w:ascii="Times New Roman" w:hAnsi="Times New Roman" w:eastAsia="仿宋" w:cs="Times New Roman"/>
          <w:sz w:val="32"/>
          <w:szCs w:val="32"/>
          <w:shd w:val="clear" w:color="auto" w:fill="FFFFFF"/>
        </w:rPr>
        <w:t>36.63</w:t>
      </w:r>
      <w:r>
        <w:rPr>
          <w:rFonts w:hint="eastAsia" w:ascii="仿宋" w:hAnsi="仿宋" w:eastAsia="仿宋"/>
          <w:sz w:val="32"/>
          <w:szCs w:val="32"/>
          <w:shd w:val="clear" w:color="auto" w:fill="FFFFFF"/>
        </w:rPr>
        <w:t>万元等。其中：财政拨款收入</w:t>
      </w:r>
      <w:r>
        <w:rPr>
          <w:rFonts w:ascii="Times New Roman" w:hAnsi="Times New Roman" w:eastAsia="仿宋" w:cs="Times New Roman"/>
          <w:sz w:val="32"/>
          <w:szCs w:val="32"/>
          <w:shd w:val="clear" w:color="auto" w:fill="FFFFFF"/>
        </w:rPr>
        <w:t>241.25</w:t>
      </w:r>
      <w:r>
        <w:rPr>
          <w:rFonts w:hint="eastAsia" w:ascii="仿宋" w:hAnsi="仿宋" w:eastAsia="仿宋"/>
          <w:sz w:val="32"/>
          <w:szCs w:val="32"/>
          <w:shd w:val="clear" w:color="auto" w:fill="FFFFFF"/>
        </w:rPr>
        <w:t>万元，占</w:t>
      </w:r>
      <w:r>
        <w:rPr>
          <w:rFonts w:ascii="Times New Roman" w:hAnsi="Times New Roman" w:eastAsia="仿宋" w:cs="Times New Roman"/>
          <w:sz w:val="32"/>
          <w:szCs w:val="32"/>
          <w:shd w:val="clear" w:color="auto" w:fill="FFFFFF"/>
        </w:rPr>
        <w:t>100.0%</w:t>
      </w:r>
      <w:r>
        <w:rPr>
          <w:rFonts w:hint="eastAsia" w:ascii="仿宋" w:hAnsi="仿宋" w:eastAsia="仿宋"/>
          <w:sz w:val="32"/>
          <w:szCs w:val="32"/>
          <w:shd w:val="clear" w:color="auto" w:fill="FFFFFF"/>
        </w:rPr>
        <w:t>。此外，使用年初结转和结余</w:t>
      </w:r>
      <w:r>
        <w:rPr>
          <w:rFonts w:ascii="Times New Roman" w:hAnsi="Times New Roman" w:eastAsia="仿宋" w:cs="Times New Roman"/>
          <w:sz w:val="32"/>
          <w:szCs w:val="32"/>
          <w:shd w:val="clear" w:color="auto" w:fill="FFFFFF"/>
        </w:rPr>
        <w:t>48.56</w:t>
      </w:r>
      <w:r>
        <w:rPr>
          <w:rFonts w:hint="eastAsia" w:ascii="仿宋" w:hAnsi="仿宋" w:eastAsia="仿宋"/>
          <w:sz w:val="32"/>
          <w:szCs w:val="32"/>
          <w:shd w:val="clear" w:color="auto" w:fill="FFFFFF"/>
        </w:rPr>
        <w:t>万元。</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shd w:val="clear" w:color="auto" w:fill="FFFFFF"/>
        </w:rPr>
      </w:pPr>
      <w:r>
        <w:rPr>
          <w:rStyle w:val="45"/>
          <w:rFonts w:eastAsia="仿宋"/>
          <w:sz w:val="32"/>
          <w:szCs w:val="32"/>
          <w:shd w:val="clear" w:color="auto" w:fill="FFFFFF"/>
        </w:rPr>
        <w:t>3.</w:t>
      </w:r>
      <w:r>
        <w:rPr>
          <w:rStyle w:val="45"/>
          <w:rFonts w:hint="eastAsia" w:ascii="仿宋" w:hAnsi="仿宋" w:eastAsia="仿宋"/>
          <w:sz w:val="32"/>
          <w:szCs w:val="32"/>
          <w:shd w:val="clear" w:color="auto" w:fill="FFFFFF"/>
        </w:rPr>
        <w:t>支出情况。</w:t>
      </w: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年度支出合计</w:t>
      </w:r>
      <w:r>
        <w:rPr>
          <w:rFonts w:ascii="Times New Roman" w:hAnsi="Times New Roman" w:eastAsia="仿宋" w:cs="Times New Roman"/>
          <w:sz w:val="32"/>
          <w:szCs w:val="32"/>
          <w:shd w:val="clear" w:color="auto" w:fill="FFFFFF"/>
        </w:rPr>
        <w:t>288.59</w:t>
      </w:r>
      <w:r>
        <w:rPr>
          <w:rFonts w:hint="eastAsia" w:ascii="仿宋" w:hAnsi="仿宋" w:eastAsia="仿宋"/>
          <w:sz w:val="32"/>
          <w:szCs w:val="32"/>
          <w:shd w:val="clear" w:color="auto" w:fill="FFFFFF"/>
        </w:rPr>
        <w:t>万元，较上年决算数增加</w:t>
      </w:r>
      <w:r>
        <w:rPr>
          <w:rFonts w:ascii="Times New Roman" w:hAnsi="Times New Roman" w:eastAsia="仿宋" w:cs="Times New Roman"/>
          <w:sz w:val="32"/>
          <w:szCs w:val="32"/>
          <w:shd w:val="clear" w:color="auto" w:fill="FFFFFF"/>
        </w:rPr>
        <w:t>2.61</w:t>
      </w:r>
      <w:r>
        <w:rPr>
          <w:rFonts w:hint="eastAsia" w:ascii="仿宋" w:hAnsi="仿宋" w:eastAsia="仿宋"/>
          <w:sz w:val="32"/>
          <w:szCs w:val="32"/>
          <w:shd w:val="clear" w:color="auto" w:fill="FFFFFF"/>
        </w:rPr>
        <w:t>万元，增长</w:t>
      </w:r>
      <w:r>
        <w:rPr>
          <w:rFonts w:ascii="Times New Roman" w:hAnsi="Times New Roman" w:eastAsia="仿宋" w:cs="Times New Roman"/>
          <w:sz w:val="32"/>
          <w:szCs w:val="32"/>
          <w:shd w:val="clear" w:color="auto" w:fill="FFFFFF"/>
        </w:rPr>
        <w:t>0.9%</w:t>
      </w:r>
      <w:r>
        <w:rPr>
          <w:rFonts w:hint="eastAsia" w:ascii="仿宋" w:hAnsi="仿宋" w:eastAsia="仿宋"/>
          <w:sz w:val="32"/>
          <w:szCs w:val="32"/>
          <w:shd w:val="clear" w:color="auto" w:fill="FFFFFF"/>
        </w:rPr>
        <w:t>，主要原因是人员基本支出减少</w:t>
      </w:r>
      <w:r>
        <w:rPr>
          <w:rFonts w:ascii="Times New Roman" w:hAnsi="Times New Roman" w:eastAsia="仿宋" w:cs="Times New Roman"/>
          <w:sz w:val="32"/>
          <w:szCs w:val="32"/>
          <w:shd w:val="clear" w:color="auto" w:fill="FFFFFF"/>
        </w:rPr>
        <w:t>5.99</w:t>
      </w:r>
      <w:r>
        <w:rPr>
          <w:rFonts w:hint="eastAsia" w:ascii="仿宋" w:hAnsi="仿宋" w:eastAsia="仿宋"/>
          <w:sz w:val="32"/>
          <w:szCs w:val="32"/>
          <w:shd w:val="clear" w:color="auto" w:fill="FFFFFF"/>
        </w:rPr>
        <w:t>万元，项目支出（公路质量安全检查工作经费）增加</w:t>
      </w:r>
      <w:r>
        <w:rPr>
          <w:rFonts w:ascii="Times New Roman" w:hAnsi="Times New Roman" w:eastAsia="仿宋" w:cs="Times New Roman"/>
          <w:sz w:val="32"/>
          <w:szCs w:val="32"/>
          <w:shd w:val="clear" w:color="auto" w:fill="FFFFFF"/>
        </w:rPr>
        <w:t>10.18</w:t>
      </w:r>
      <w:r>
        <w:rPr>
          <w:rFonts w:hint="eastAsia" w:ascii="仿宋" w:hAnsi="仿宋" w:eastAsia="仿宋"/>
          <w:sz w:val="32"/>
          <w:szCs w:val="32"/>
          <w:shd w:val="clear" w:color="auto" w:fill="FFFFFF"/>
        </w:rPr>
        <w:t>万元等。其中：基本支出</w:t>
      </w:r>
      <w:r>
        <w:rPr>
          <w:rFonts w:ascii="Times New Roman" w:hAnsi="Times New Roman" w:eastAsia="仿宋" w:cs="Times New Roman"/>
          <w:sz w:val="32"/>
          <w:szCs w:val="32"/>
          <w:shd w:val="clear" w:color="auto" w:fill="FFFFFF"/>
        </w:rPr>
        <w:t xml:space="preserve"> 268.59</w:t>
      </w:r>
      <w:r>
        <w:rPr>
          <w:rFonts w:hint="eastAsia" w:ascii="仿宋" w:hAnsi="仿宋" w:eastAsia="仿宋"/>
          <w:sz w:val="32"/>
          <w:szCs w:val="32"/>
          <w:shd w:val="clear" w:color="auto" w:fill="FFFFFF"/>
        </w:rPr>
        <w:t>万元，占</w:t>
      </w:r>
      <w:r>
        <w:rPr>
          <w:rFonts w:ascii="Times New Roman" w:hAnsi="Times New Roman" w:eastAsia="仿宋" w:cs="Times New Roman"/>
          <w:sz w:val="32"/>
          <w:szCs w:val="32"/>
          <w:shd w:val="clear" w:color="auto" w:fill="FFFFFF"/>
        </w:rPr>
        <w:t>93.1%</w:t>
      </w:r>
      <w:r>
        <w:rPr>
          <w:rFonts w:hint="eastAsia" w:ascii="仿宋" w:hAnsi="仿宋" w:eastAsia="仿宋"/>
          <w:sz w:val="32"/>
          <w:szCs w:val="32"/>
          <w:shd w:val="clear" w:color="auto" w:fill="FFFFFF"/>
        </w:rPr>
        <w:t>；项目支出</w:t>
      </w:r>
      <w:r>
        <w:rPr>
          <w:rFonts w:ascii="Times New Roman" w:hAnsi="Times New Roman" w:eastAsia="仿宋" w:cs="Times New Roman"/>
          <w:sz w:val="32"/>
          <w:szCs w:val="32"/>
          <w:shd w:val="clear" w:color="auto" w:fill="FFFFFF"/>
        </w:rPr>
        <w:t>20</w:t>
      </w:r>
      <w:r>
        <w:rPr>
          <w:rFonts w:hint="eastAsia" w:ascii="仿宋" w:hAnsi="仿宋" w:eastAsia="仿宋"/>
          <w:sz w:val="32"/>
          <w:szCs w:val="32"/>
          <w:shd w:val="clear" w:color="auto" w:fill="FFFFFF"/>
        </w:rPr>
        <w:t>万元，占</w:t>
      </w:r>
      <w:r>
        <w:rPr>
          <w:rFonts w:ascii="Times New Roman" w:hAnsi="Times New Roman" w:eastAsia="仿宋" w:cs="Times New Roman"/>
          <w:sz w:val="32"/>
          <w:szCs w:val="32"/>
          <w:shd w:val="clear" w:color="auto" w:fill="FFFFFF"/>
        </w:rPr>
        <w:t>6.9%</w:t>
      </w:r>
      <w:r>
        <w:rPr>
          <w:rFonts w:hint="eastAsia" w:ascii="仿宋" w:hAnsi="仿宋" w:eastAsia="仿宋"/>
          <w:sz w:val="32"/>
          <w:szCs w:val="32"/>
          <w:shd w:val="clear" w:color="auto" w:fill="FFFFFF"/>
        </w:rPr>
        <w:t>。</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shd w:val="clear" w:color="auto" w:fill="FFFFFF"/>
        </w:rPr>
      </w:pPr>
      <w:r>
        <w:rPr>
          <w:rStyle w:val="45"/>
          <w:rFonts w:eastAsia="仿宋"/>
          <w:sz w:val="32"/>
          <w:szCs w:val="32"/>
          <w:shd w:val="clear" w:color="auto" w:fill="FFFFFF"/>
        </w:rPr>
        <w:t>4.</w:t>
      </w:r>
      <w:r>
        <w:rPr>
          <w:rStyle w:val="45"/>
          <w:rFonts w:hint="eastAsia" w:ascii="仿宋" w:hAnsi="仿宋" w:eastAsia="仿宋"/>
          <w:sz w:val="32"/>
          <w:szCs w:val="32"/>
          <w:shd w:val="clear" w:color="auto" w:fill="FFFFFF"/>
        </w:rPr>
        <w:t>结转结余情况。</w:t>
      </w: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年度年末结转和结余</w:t>
      </w:r>
      <w:r>
        <w:rPr>
          <w:rFonts w:ascii="Times New Roman" w:hAnsi="Times New Roman" w:eastAsia="仿宋" w:cs="Times New Roman"/>
          <w:sz w:val="32"/>
          <w:szCs w:val="32"/>
          <w:shd w:val="clear" w:color="auto" w:fill="FFFFFF"/>
        </w:rPr>
        <w:t>1.22</w:t>
      </w:r>
      <w:r>
        <w:rPr>
          <w:rFonts w:hint="eastAsia" w:ascii="仿宋" w:hAnsi="仿宋" w:eastAsia="仿宋"/>
          <w:sz w:val="32"/>
          <w:szCs w:val="32"/>
          <w:shd w:val="clear" w:color="auto" w:fill="FFFFFF"/>
        </w:rPr>
        <w:t>万元，较上年决算数减少</w:t>
      </w:r>
      <w:r>
        <w:rPr>
          <w:rFonts w:ascii="Times New Roman" w:hAnsi="Times New Roman" w:eastAsia="仿宋" w:cs="Times New Roman"/>
          <w:sz w:val="32"/>
          <w:szCs w:val="32"/>
          <w:shd w:val="clear" w:color="auto" w:fill="FFFFFF"/>
        </w:rPr>
        <w:t>0.72</w:t>
      </w:r>
      <w:r>
        <w:rPr>
          <w:rFonts w:hint="eastAsia" w:ascii="仿宋" w:hAnsi="仿宋" w:eastAsia="仿宋"/>
          <w:sz w:val="32"/>
          <w:szCs w:val="32"/>
          <w:shd w:val="clear" w:color="auto" w:fill="FFFFFF"/>
        </w:rPr>
        <w:t>万元，下降</w:t>
      </w:r>
      <w:r>
        <w:rPr>
          <w:rFonts w:ascii="Times New Roman" w:hAnsi="Times New Roman" w:eastAsia="仿宋" w:cs="Times New Roman"/>
          <w:sz w:val="32"/>
          <w:szCs w:val="32"/>
          <w:shd w:val="clear" w:color="auto" w:fill="FFFFFF"/>
        </w:rPr>
        <w:t>37.1%</w:t>
      </w:r>
      <w:r>
        <w:rPr>
          <w:rFonts w:hint="eastAsia" w:ascii="仿宋" w:hAnsi="仿宋" w:eastAsia="仿宋"/>
          <w:sz w:val="32"/>
          <w:szCs w:val="32"/>
          <w:shd w:val="clear" w:color="auto" w:fill="FFFFFF"/>
        </w:rPr>
        <w:t>，主要原因是本年收入减少，使用了年初结转结余。</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（二）财政拨款收入支出决算总体情况说明</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年度财政拨款收、支总计</w:t>
      </w:r>
      <w:r>
        <w:rPr>
          <w:rFonts w:ascii="Times New Roman" w:hAnsi="Times New Roman" w:eastAsia="仿宋" w:cs="Times New Roman"/>
          <w:sz w:val="32"/>
          <w:szCs w:val="32"/>
          <w:shd w:val="clear" w:color="auto" w:fill="FFFFFF"/>
        </w:rPr>
        <w:t>269.81</w:t>
      </w:r>
      <w:r>
        <w:rPr>
          <w:rFonts w:hint="eastAsia" w:ascii="仿宋" w:hAnsi="仿宋" w:eastAsia="仿宋"/>
          <w:sz w:val="32"/>
          <w:szCs w:val="32"/>
          <w:shd w:val="clear" w:color="auto" w:fill="FFFFFF"/>
        </w:rPr>
        <w:t>万元。与</w:t>
      </w:r>
      <w:r>
        <w:rPr>
          <w:rFonts w:ascii="Times New Roman" w:hAnsi="Times New Roman" w:eastAsia="仿宋" w:cs="Times New Roman"/>
          <w:sz w:val="32"/>
          <w:szCs w:val="32"/>
          <w:shd w:val="clear" w:color="auto" w:fill="FFFFFF"/>
        </w:rPr>
        <w:t>2019</w:t>
      </w:r>
      <w:r>
        <w:rPr>
          <w:rFonts w:hint="eastAsia" w:ascii="仿宋" w:hAnsi="仿宋" w:eastAsia="仿宋"/>
          <w:sz w:val="32"/>
          <w:szCs w:val="32"/>
          <w:shd w:val="clear" w:color="auto" w:fill="FFFFFF"/>
        </w:rPr>
        <w:t>年相比，财政拨款收、支总计各减少</w:t>
      </w:r>
      <w:r>
        <w:rPr>
          <w:rFonts w:ascii="Times New Roman" w:hAnsi="Times New Roman" w:eastAsia="仿宋" w:cs="Times New Roman"/>
          <w:sz w:val="32"/>
          <w:szCs w:val="32"/>
          <w:shd w:val="clear" w:color="auto" w:fill="FFFFFF"/>
        </w:rPr>
        <w:t>18.11</w:t>
      </w:r>
      <w:r>
        <w:rPr>
          <w:rFonts w:hint="eastAsia" w:ascii="仿宋" w:hAnsi="仿宋" w:eastAsia="仿宋"/>
          <w:sz w:val="32"/>
          <w:szCs w:val="32"/>
          <w:shd w:val="clear" w:color="auto" w:fill="FFFFFF"/>
        </w:rPr>
        <w:t>万元，下降</w:t>
      </w:r>
      <w:r>
        <w:rPr>
          <w:rFonts w:ascii="Times New Roman" w:hAnsi="Times New Roman" w:eastAsia="仿宋" w:cs="Times New Roman"/>
          <w:sz w:val="32"/>
          <w:szCs w:val="32"/>
          <w:shd w:val="clear" w:color="auto" w:fill="FFFFFF"/>
        </w:rPr>
        <w:t>6.3%</w:t>
      </w:r>
      <w:r>
        <w:rPr>
          <w:rFonts w:hint="eastAsia" w:ascii="仿宋" w:hAnsi="仿宋" w:eastAsia="仿宋"/>
          <w:sz w:val="32"/>
          <w:szCs w:val="32"/>
          <w:shd w:val="clear" w:color="auto" w:fill="FFFFFF"/>
        </w:rPr>
        <w:t>。主要原因是本年社会保障和就业支出减少</w:t>
      </w:r>
      <w:r>
        <w:rPr>
          <w:rFonts w:ascii="Times New Roman" w:hAnsi="Times New Roman" w:eastAsia="仿宋" w:cs="Times New Roman"/>
          <w:sz w:val="32"/>
          <w:szCs w:val="32"/>
          <w:shd w:val="clear" w:color="auto" w:fill="FFFFFF"/>
        </w:rPr>
        <w:t>1.8</w:t>
      </w:r>
      <w:r>
        <w:rPr>
          <w:rFonts w:hint="eastAsia" w:ascii="仿宋" w:hAnsi="仿宋" w:eastAsia="仿宋"/>
          <w:sz w:val="32"/>
          <w:szCs w:val="32"/>
          <w:shd w:val="clear" w:color="auto" w:fill="FFFFFF"/>
        </w:rPr>
        <w:t>万元，公路水路运输支出减少</w:t>
      </w:r>
      <w:r>
        <w:rPr>
          <w:rFonts w:ascii="Times New Roman" w:hAnsi="Times New Roman" w:eastAsia="仿宋" w:cs="Times New Roman"/>
          <w:sz w:val="32"/>
          <w:szCs w:val="32"/>
          <w:shd w:val="clear" w:color="auto" w:fill="FFFFFF"/>
        </w:rPr>
        <w:t>15.81</w:t>
      </w:r>
      <w:r>
        <w:rPr>
          <w:rFonts w:hint="eastAsia" w:ascii="仿宋" w:hAnsi="仿宋" w:eastAsia="仿宋"/>
          <w:sz w:val="32"/>
          <w:szCs w:val="32"/>
          <w:shd w:val="clear" w:color="auto" w:fill="FFFFFF"/>
        </w:rPr>
        <w:t>万元等。</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（三）一般公共预算财政拨款收入支出决算情况说明</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eastAsia="仿宋"/>
          <w:sz w:val="32"/>
          <w:szCs w:val="32"/>
          <w:shd w:val="clear" w:color="auto" w:fill="FFFFFF"/>
        </w:rPr>
        <w:t>1.</w:t>
      </w:r>
      <w:r>
        <w:rPr>
          <w:rStyle w:val="45"/>
          <w:rFonts w:hint="eastAsia" w:ascii="仿宋" w:hAnsi="仿宋" w:eastAsia="仿宋"/>
          <w:sz w:val="32"/>
          <w:szCs w:val="32"/>
          <w:shd w:val="clear" w:color="auto" w:fill="FFFFFF"/>
        </w:rPr>
        <w:t>收入情况。</w:t>
      </w: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年度一般公共预算财政拨款收入</w:t>
      </w:r>
      <w:r>
        <w:rPr>
          <w:rFonts w:ascii="Times New Roman" w:hAnsi="Times New Roman" w:eastAsia="仿宋" w:cs="Times New Roman"/>
          <w:sz w:val="32"/>
          <w:szCs w:val="32"/>
          <w:shd w:val="clear" w:color="auto" w:fill="FFFFFF"/>
        </w:rPr>
        <w:t>241.25</w:t>
      </w:r>
      <w:r>
        <w:rPr>
          <w:rFonts w:hint="eastAsia" w:ascii="仿宋" w:hAnsi="仿宋" w:eastAsia="仿宋"/>
          <w:sz w:val="32"/>
          <w:szCs w:val="32"/>
          <w:shd w:val="clear" w:color="auto" w:fill="FFFFFF"/>
        </w:rPr>
        <w:t>万元，较上年决算数减少</w:t>
      </w:r>
      <w:r>
        <w:rPr>
          <w:rFonts w:ascii="Times New Roman" w:hAnsi="Times New Roman" w:eastAsia="仿宋" w:cs="Times New Roman"/>
          <w:sz w:val="32"/>
          <w:szCs w:val="32"/>
          <w:shd w:val="clear" w:color="auto" w:fill="FFFFFF"/>
        </w:rPr>
        <w:t>38.52</w:t>
      </w:r>
      <w:r>
        <w:rPr>
          <w:rFonts w:hint="eastAsia" w:ascii="仿宋" w:hAnsi="仿宋" w:eastAsia="仿宋"/>
          <w:sz w:val="32"/>
          <w:szCs w:val="32"/>
          <w:shd w:val="clear" w:color="auto" w:fill="FFFFFF"/>
        </w:rPr>
        <w:t>万元，下降</w:t>
      </w:r>
      <w:r>
        <w:rPr>
          <w:rFonts w:ascii="Times New Roman" w:hAnsi="Times New Roman" w:eastAsia="仿宋" w:cs="Times New Roman"/>
          <w:sz w:val="32"/>
          <w:szCs w:val="32"/>
          <w:shd w:val="clear" w:color="auto" w:fill="FFFFFF"/>
        </w:rPr>
        <w:t>13.8%</w:t>
      </w:r>
      <w:r>
        <w:rPr>
          <w:rFonts w:hint="eastAsia" w:ascii="仿宋" w:hAnsi="仿宋" w:eastAsia="仿宋"/>
          <w:sz w:val="32"/>
          <w:szCs w:val="32"/>
          <w:shd w:val="clear" w:color="auto" w:fill="FFFFFF"/>
        </w:rPr>
        <w:t>。主要原因是本年度公路水路运输支出减少</w:t>
      </w:r>
      <w:r>
        <w:rPr>
          <w:rFonts w:ascii="Times New Roman" w:hAnsi="Times New Roman" w:eastAsia="仿宋" w:cs="Times New Roman"/>
          <w:sz w:val="32"/>
          <w:szCs w:val="32"/>
          <w:shd w:val="clear" w:color="auto" w:fill="FFFFFF"/>
        </w:rPr>
        <w:t>36.63</w:t>
      </w:r>
      <w:r>
        <w:rPr>
          <w:rFonts w:hint="eastAsia" w:ascii="仿宋" w:hAnsi="仿宋" w:eastAsia="仿宋"/>
          <w:sz w:val="32"/>
          <w:szCs w:val="32"/>
          <w:shd w:val="clear" w:color="auto" w:fill="FFFFFF"/>
        </w:rPr>
        <w:t>万元等。较年初预算数增加</w:t>
      </w:r>
      <w:r>
        <w:rPr>
          <w:rFonts w:ascii="Times New Roman" w:hAnsi="Times New Roman" w:eastAsia="仿宋" w:cs="Times New Roman"/>
          <w:sz w:val="32"/>
          <w:szCs w:val="32"/>
          <w:shd w:val="clear" w:color="auto" w:fill="FFFFFF"/>
        </w:rPr>
        <w:t>10.54</w:t>
      </w:r>
      <w:r>
        <w:rPr>
          <w:rFonts w:hint="eastAsia" w:ascii="仿宋" w:hAnsi="仿宋" w:eastAsia="仿宋"/>
          <w:sz w:val="32"/>
          <w:szCs w:val="32"/>
          <w:shd w:val="clear" w:color="auto" w:fill="FFFFFF"/>
        </w:rPr>
        <w:t>万元，增长</w:t>
      </w:r>
      <w:r>
        <w:rPr>
          <w:rFonts w:ascii="Times New Roman" w:hAnsi="Times New Roman" w:eastAsia="仿宋" w:cs="Times New Roman"/>
          <w:sz w:val="32"/>
          <w:szCs w:val="32"/>
          <w:shd w:val="clear" w:color="auto" w:fill="FFFFFF"/>
        </w:rPr>
        <w:t>4.6%</w:t>
      </w:r>
      <w:r>
        <w:rPr>
          <w:rFonts w:hint="eastAsia" w:ascii="仿宋" w:hAnsi="仿宋" w:eastAsia="仿宋"/>
          <w:sz w:val="32"/>
          <w:szCs w:val="32"/>
          <w:shd w:val="clear" w:color="auto" w:fill="FFFFFF"/>
        </w:rPr>
        <w:t>。主要原因是财政追加了基本出经费。此外，年初财政拨款结转和结余</w:t>
      </w:r>
      <w:r>
        <w:rPr>
          <w:rFonts w:ascii="Times New Roman" w:hAnsi="Times New Roman" w:eastAsia="仿宋" w:cs="Times New Roman"/>
          <w:sz w:val="32"/>
          <w:szCs w:val="32"/>
          <w:shd w:val="clear" w:color="auto" w:fill="FFFFFF"/>
        </w:rPr>
        <w:t>28.56</w:t>
      </w:r>
      <w:r>
        <w:rPr>
          <w:rFonts w:hint="eastAsia" w:ascii="仿宋" w:hAnsi="仿宋" w:eastAsia="仿宋"/>
          <w:sz w:val="32"/>
          <w:szCs w:val="32"/>
          <w:shd w:val="clear" w:color="auto" w:fill="FFFFFF"/>
        </w:rPr>
        <w:t>万元。</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eastAsia="仿宋"/>
          <w:sz w:val="32"/>
          <w:szCs w:val="32"/>
          <w:shd w:val="clear" w:color="auto" w:fill="FFFFFF"/>
        </w:rPr>
        <w:t>2.</w:t>
      </w:r>
      <w:r>
        <w:rPr>
          <w:rStyle w:val="45"/>
          <w:rFonts w:hint="eastAsia" w:ascii="仿宋" w:hAnsi="仿宋" w:eastAsia="仿宋"/>
          <w:sz w:val="32"/>
          <w:szCs w:val="32"/>
          <w:shd w:val="clear" w:color="auto" w:fill="FFFFFF"/>
        </w:rPr>
        <w:t>支出情况。</w:t>
      </w: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年度一般公共预算财政拨款支出</w:t>
      </w:r>
      <w:r>
        <w:rPr>
          <w:rFonts w:ascii="Times New Roman" w:hAnsi="Times New Roman" w:eastAsia="仿宋" w:cs="Times New Roman"/>
          <w:sz w:val="32"/>
          <w:szCs w:val="32"/>
          <w:shd w:val="clear" w:color="auto" w:fill="FFFFFF"/>
        </w:rPr>
        <w:t>268.59</w:t>
      </w:r>
      <w:r>
        <w:rPr>
          <w:rFonts w:hint="eastAsia" w:ascii="仿宋" w:hAnsi="仿宋" w:eastAsia="仿宋"/>
          <w:sz w:val="32"/>
          <w:szCs w:val="32"/>
          <w:shd w:val="clear" w:color="auto" w:fill="FFFFFF"/>
        </w:rPr>
        <w:t>万元，较上年决算数减少</w:t>
      </w:r>
      <w:r>
        <w:rPr>
          <w:rFonts w:ascii="Times New Roman" w:hAnsi="Times New Roman" w:eastAsia="仿宋" w:cs="Times New Roman"/>
          <w:sz w:val="32"/>
          <w:szCs w:val="32"/>
          <w:shd w:val="clear" w:color="auto" w:fill="FFFFFF"/>
        </w:rPr>
        <w:t>17.39</w:t>
      </w:r>
      <w:r>
        <w:rPr>
          <w:rFonts w:hint="eastAsia" w:ascii="仿宋" w:hAnsi="仿宋" w:eastAsia="仿宋"/>
          <w:sz w:val="32"/>
          <w:szCs w:val="32"/>
          <w:shd w:val="clear" w:color="auto" w:fill="FFFFFF"/>
        </w:rPr>
        <w:t>万元，下降</w:t>
      </w:r>
      <w:r>
        <w:rPr>
          <w:rFonts w:ascii="Times New Roman" w:hAnsi="Times New Roman" w:eastAsia="仿宋" w:cs="Times New Roman"/>
          <w:sz w:val="32"/>
          <w:szCs w:val="32"/>
          <w:shd w:val="clear" w:color="auto" w:fill="FFFFFF"/>
        </w:rPr>
        <w:t>6.1%</w:t>
      </w:r>
      <w:r>
        <w:rPr>
          <w:rFonts w:hint="eastAsia" w:ascii="仿宋" w:hAnsi="仿宋" w:eastAsia="仿宋"/>
          <w:sz w:val="32"/>
          <w:szCs w:val="32"/>
          <w:shd w:val="clear" w:color="auto" w:fill="FFFFFF"/>
        </w:rPr>
        <w:t>。主要原因是人员基本支出减少</w:t>
      </w:r>
      <w:r>
        <w:rPr>
          <w:rFonts w:ascii="Times New Roman" w:hAnsi="Times New Roman" w:eastAsia="仿宋" w:cs="Times New Roman"/>
          <w:sz w:val="32"/>
          <w:szCs w:val="32"/>
          <w:shd w:val="clear" w:color="auto" w:fill="FFFFFF"/>
        </w:rPr>
        <w:t>5.99</w:t>
      </w:r>
      <w:r>
        <w:rPr>
          <w:rFonts w:hint="eastAsia" w:ascii="仿宋" w:hAnsi="仿宋" w:eastAsia="仿宋"/>
          <w:sz w:val="32"/>
          <w:szCs w:val="32"/>
          <w:shd w:val="clear" w:color="auto" w:fill="FFFFFF"/>
        </w:rPr>
        <w:t>万元，项目支出减少</w:t>
      </w:r>
      <w:r>
        <w:rPr>
          <w:rFonts w:ascii="Times New Roman" w:hAnsi="Times New Roman" w:eastAsia="仿宋" w:cs="Times New Roman"/>
          <w:sz w:val="32"/>
          <w:szCs w:val="32"/>
          <w:shd w:val="clear" w:color="auto" w:fill="FFFFFF"/>
        </w:rPr>
        <w:t>9.82</w:t>
      </w:r>
      <w:r>
        <w:rPr>
          <w:rFonts w:hint="eastAsia" w:ascii="仿宋" w:hAnsi="仿宋" w:eastAsia="仿宋"/>
          <w:sz w:val="32"/>
          <w:szCs w:val="32"/>
          <w:shd w:val="clear" w:color="auto" w:fill="FFFFFF"/>
        </w:rPr>
        <w:t>万元等。较年初预算数增加</w:t>
      </w:r>
      <w:r>
        <w:rPr>
          <w:rFonts w:ascii="Times New Roman" w:hAnsi="Times New Roman" w:eastAsia="仿宋" w:cs="Times New Roman"/>
          <w:sz w:val="32"/>
          <w:szCs w:val="32"/>
          <w:shd w:val="clear" w:color="auto" w:fill="FFFFFF"/>
        </w:rPr>
        <w:t>35.94</w:t>
      </w:r>
      <w:r>
        <w:rPr>
          <w:rFonts w:hint="eastAsia" w:ascii="仿宋" w:hAnsi="仿宋" w:eastAsia="仿宋"/>
          <w:sz w:val="32"/>
          <w:szCs w:val="32"/>
          <w:shd w:val="clear" w:color="auto" w:fill="FFFFFF"/>
        </w:rPr>
        <w:t>万元，增长</w:t>
      </w:r>
      <w:r>
        <w:rPr>
          <w:rFonts w:ascii="Times New Roman" w:hAnsi="Times New Roman" w:eastAsia="仿宋" w:cs="Times New Roman"/>
          <w:sz w:val="32"/>
          <w:szCs w:val="32"/>
          <w:shd w:val="clear" w:color="auto" w:fill="FFFFFF"/>
        </w:rPr>
        <w:t>15.4%</w:t>
      </w:r>
      <w:r>
        <w:rPr>
          <w:rFonts w:hint="eastAsia" w:ascii="仿宋" w:hAnsi="仿宋" w:eastAsia="仿宋"/>
          <w:sz w:val="32"/>
          <w:szCs w:val="32"/>
          <w:shd w:val="clear" w:color="auto" w:fill="FFFFFF"/>
        </w:rPr>
        <w:t>。主要原因是本年度使用了年初财政拨款结转和结余</w:t>
      </w:r>
      <w:r>
        <w:rPr>
          <w:rFonts w:ascii="Times New Roman" w:hAnsi="Times New Roman" w:eastAsia="仿宋" w:cs="Times New Roman"/>
          <w:sz w:val="32"/>
          <w:szCs w:val="32"/>
          <w:shd w:val="clear" w:color="auto" w:fill="FFFFFF"/>
        </w:rPr>
        <w:t>28.56</w:t>
      </w:r>
      <w:r>
        <w:rPr>
          <w:rFonts w:hint="eastAsia" w:ascii="仿宋" w:hAnsi="仿宋" w:eastAsia="仿宋"/>
          <w:sz w:val="32"/>
          <w:szCs w:val="32"/>
          <w:shd w:val="clear" w:color="auto" w:fill="FFFFFF"/>
        </w:rPr>
        <w:t>万元等。</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shd w:val="clear" w:color="auto" w:fill="FFFFFF"/>
        </w:rPr>
      </w:pPr>
      <w:r>
        <w:rPr>
          <w:rStyle w:val="45"/>
          <w:rFonts w:eastAsia="仿宋"/>
          <w:sz w:val="32"/>
          <w:szCs w:val="32"/>
          <w:shd w:val="clear" w:color="auto" w:fill="FFFFFF"/>
        </w:rPr>
        <w:t>3.</w:t>
      </w:r>
      <w:r>
        <w:rPr>
          <w:rStyle w:val="45"/>
          <w:rFonts w:hint="eastAsia" w:ascii="仿宋" w:hAnsi="仿宋" w:eastAsia="仿宋"/>
          <w:sz w:val="32"/>
          <w:szCs w:val="32"/>
          <w:shd w:val="clear" w:color="auto" w:fill="FFFFFF"/>
        </w:rPr>
        <w:t>结转结余情况。</w:t>
      </w: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年度年末一般公共预算财政拨款结转和结余</w:t>
      </w:r>
      <w:r>
        <w:rPr>
          <w:rFonts w:ascii="Times New Roman" w:hAnsi="Times New Roman" w:eastAsia="仿宋" w:cs="Times New Roman"/>
          <w:sz w:val="32"/>
          <w:szCs w:val="32"/>
          <w:shd w:val="clear" w:color="auto" w:fill="FFFFFF"/>
        </w:rPr>
        <w:t>1.22</w:t>
      </w:r>
      <w:r>
        <w:rPr>
          <w:rFonts w:hint="eastAsia" w:ascii="仿宋" w:hAnsi="仿宋" w:eastAsia="仿宋"/>
          <w:sz w:val="32"/>
          <w:szCs w:val="32"/>
          <w:shd w:val="clear" w:color="auto" w:fill="FFFFFF"/>
        </w:rPr>
        <w:t>万元，较上年决算数减少</w:t>
      </w:r>
      <w:r>
        <w:rPr>
          <w:rFonts w:ascii="Times New Roman" w:hAnsi="Times New Roman" w:eastAsia="仿宋" w:cs="Times New Roman"/>
          <w:sz w:val="32"/>
          <w:szCs w:val="32"/>
          <w:shd w:val="clear" w:color="auto" w:fill="FFFFFF"/>
        </w:rPr>
        <w:t>0.72</w:t>
      </w:r>
      <w:r>
        <w:rPr>
          <w:rFonts w:hint="eastAsia" w:ascii="仿宋" w:hAnsi="仿宋" w:eastAsia="仿宋"/>
          <w:sz w:val="32"/>
          <w:szCs w:val="32"/>
          <w:shd w:val="clear" w:color="auto" w:fill="FFFFFF"/>
        </w:rPr>
        <w:t>万元，下降</w:t>
      </w:r>
      <w:r>
        <w:rPr>
          <w:rFonts w:ascii="Times New Roman" w:hAnsi="Times New Roman" w:eastAsia="仿宋" w:cs="Times New Roman"/>
          <w:sz w:val="32"/>
          <w:szCs w:val="32"/>
          <w:shd w:val="clear" w:color="auto" w:fill="FFFFFF"/>
        </w:rPr>
        <w:t>37.1%</w:t>
      </w:r>
      <w:r>
        <w:rPr>
          <w:rFonts w:hint="eastAsia" w:ascii="仿宋" w:hAnsi="仿宋" w:eastAsia="仿宋"/>
          <w:sz w:val="32"/>
          <w:szCs w:val="32"/>
          <w:shd w:val="clear" w:color="auto" w:fill="FFFFFF"/>
        </w:rPr>
        <w:t>，主要原因是本年度收入减少，使用了年初结转结余。</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shd w:val="clear" w:color="auto" w:fill="FFFFFF"/>
        </w:rPr>
      </w:pPr>
      <w:r>
        <w:rPr>
          <w:rStyle w:val="45"/>
          <w:rFonts w:eastAsia="仿宋"/>
          <w:sz w:val="32"/>
          <w:szCs w:val="32"/>
          <w:shd w:val="clear" w:color="auto" w:fill="FFFFFF"/>
        </w:rPr>
        <w:t>4.</w:t>
      </w:r>
      <w:r>
        <w:rPr>
          <w:rStyle w:val="45"/>
          <w:rFonts w:hint="eastAsia" w:ascii="仿宋" w:hAnsi="仿宋" w:eastAsia="仿宋"/>
          <w:sz w:val="32"/>
          <w:szCs w:val="32"/>
          <w:shd w:val="clear" w:color="auto" w:fill="FFFFFF"/>
        </w:rPr>
        <w:t>比较情况</w:t>
      </w:r>
      <w:r>
        <w:rPr>
          <w:rFonts w:hint="eastAsia" w:ascii="仿宋" w:hAnsi="仿宋" w:eastAsia="仿宋"/>
          <w:sz w:val="32"/>
          <w:szCs w:val="32"/>
          <w:shd w:val="clear" w:color="auto" w:fill="FFFFFF"/>
        </w:rPr>
        <w:t>。本部门</w:t>
      </w: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年度一般公共预算财政拨款支出主要用于以下几个方面：</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rPr>
      </w:pPr>
      <w:r>
        <w:rPr>
          <w:rFonts w:hint="eastAsia" w:ascii="仿宋" w:hAnsi="仿宋" w:eastAsia="仿宋"/>
          <w:sz w:val="32"/>
          <w:szCs w:val="32"/>
          <w:shd w:val="clear" w:color="auto" w:fill="FFFFFF"/>
        </w:rPr>
        <w:t>（</w:t>
      </w:r>
      <w:r>
        <w:rPr>
          <w:rFonts w:ascii="Times New Roman" w:hAnsi="Times New Roman" w:eastAsia="仿宋" w:cs="Times New Roman"/>
          <w:sz w:val="32"/>
          <w:szCs w:val="32"/>
          <w:shd w:val="clear" w:color="auto" w:fill="FFFFFF"/>
        </w:rPr>
        <w:t>1</w:t>
      </w:r>
      <w:r>
        <w:rPr>
          <w:rFonts w:hint="eastAsia" w:ascii="仿宋" w:hAnsi="仿宋" w:eastAsia="仿宋"/>
          <w:sz w:val="32"/>
          <w:szCs w:val="32"/>
          <w:shd w:val="clear" w:color="auto" w:fill="FFFFFF"/>
        </w:rPr>
        <w:t>）教育支出</w:t>
      </w:r>
      <w:r>
        <w:rPr>
          <w:rFonts w:ascii="Times New Roman" w:hAnsi="Times New Roman" w:eastAsia="仿宋" w:cs="Times New Roman"/>
          <w:sz w:val="32"/>
          <w:szCs w:val="32"/>
          <w:shd w:val="clear" w:color="auto" w:fill="FFFFFF"/>
        </w:rPr>
        <w:t>0.72</w:t>
      </w:r>
      <w:r>
        <w:rPr>
          <w:rFonts w:hint="eastAsia" w:ascii="仿宋" w:hAnsi="仿宋" w:eastAsia="仿宋"/>
          <w:sz w:val="32"/>
          <w:szCs w:val="32"/>
          <w:shd w:val="clear" w:color="auto" w:fill="FFFFFF"/>
        </w:rPr>
        <w:t>万元，占</w:t>
      </w:r>
      <w:r>
        <w:rPr>
          <w:rFonts w:ascii="Times New Roman" w:hAnsi="Times New Roman" w:eastAsia="仿宋" w:cs="Times New Roman"/>
          <w:sz w:val="32"/>
          <w:szCs w:val="32"/>
          <w:shd w:val="clear" w:color="auto" w:fill="FFFFFF"/>
        </w:rPr>
        <w:t>0.3%</w:t>
      </w:r>
      <w:r>
        <w:rPr>
          <w:rFonts w:hint="eastAsia" w:ascii="仿宋" w:hAnsi="仿宋" w:eastAsia="仿宋"/>
          <w:sz w:val="32"/>
          <w:szCs w:val="32"/>
          <w:shd w:val="clear" w:color="auto" w:fill="FFFFFF"/>
        </w:rPr>
        <w:t>，较年初预算数增加</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万元，增长</w:t>
      </w:r>
      <w:r>
        <w:rPr>
          <w:rFonts w:ascii="Times New Roman" w:hAnsi="Times New Roman" w:eastAsia="仿宋" w:cs="Times New Roman"/>
          <w:sz w:val="32"/>
          <w:szCs w:val="32"/>
          <w:shd w:val="clear" w:color="auto" w:fill="FFFFFF"/>
        </w:rPr>
        <w:t>0.0%</w:t>
      </w:r>
      <w:r>
        <w:rPr>
          <w:rFonts w:hint="eastAsia" w:ascii="仿宋" w:hAnsi="仿宋" w:eastAsia="仿宋"/>
          <w:sz w:val="32"/>
          <w:szCs w:val="32"/>
          <w:shd w:val="clear" w:color="auto" w:fill="FFFFFF"/>
        </w:rPr>
        <w:t>。</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shd w:val="clear" w:color="auto" w:fill="FFFFFF"/>
        </w:rPr>
      </w:pPr>
      <w:r>
        <w:rPr>
          <w:rFonts w:hint="eastAsia" w:ascii="仿宋" w:hAnsi="仿宋" w:eastAsia="仿宋"/>
          <w:sz w:val="32"/>
          <w:szCs w:val="32"/>
          <w:shd w:val="clear" w:color="auto" w:fill="FFFFFF"/>
        </w:rPr>
        <w:t>（</w:t>
      </w:r>
      <w:r>
        <w:rPr>
          <w:rFonts w:ascii="Times New Roman" w:hAnsi="Times New Roman" w:eastAsia="仿宋" w:cs="Times New Roman"/>
          <w:sz w:val="32"/>
          <w:szCs w:val="32"/>
          <w:shd w:val="clear" w:color="auto" w:fill="FFFFFF"/>
        </w:rPr>
        <w:t>2</w:t>
      </w:r>
      <w:r>
        <w:rPr>
          <w:rFonts w:hint="eastAsia" w:ascii="仿宋" w:hAnsi="仿宋" w:eastAsia="仿宋"/>
          <w:sz w:val="32"/>
          <w:szCs w:val="32"/>
          <w:shd w:val="clear" w:color="auto" w:fill="FFFFFF"/>
        </w:rPr>
        <w:t>）社会保障与就业支出</w:t>
      </w:r>
      <w:r>
        <w:rPr>
          <w:rFonts w:ascii="Times New Roman" w:hAnsi="Times New Roman" w:eastAsia="仿宋" w:cs="Times New Roman"/>
          <w:sz w:val="32"/>
          <w:szCs w:val="32"/>
          <w:shd w:val="clear" w:color="auto" w:fill="FFFFFF"/>
        </w:rPr>
        <w:t>25.70</w:t>
      </w:r>
      <w:r>
        <w:rPr>
          <w:rFonts w:hint="eastAsia" w:ascii="仿宋" w:hAnsi="仿宋" w:eastAsia="仿宋"/>
          <w:sz w:val="32"/>
          <w:szCs w:val="32"/>
          <w:shd w:val="clear" w:color="auto" w:fill="FFFFFF"/>
        </w:rPr>
        <w:t>万元，占</w:t>
      </w:r>
      <w:r>
        <w:rPr>
          <w:rFonts w:ascii="Times New Roman" w:hAnsi="Times New Roman" w:eastAsia="仿宋" w:cs="Times New Roman"/>
          <w:sz w:val="32"/>
          <w:szCs w:val="32"/>
          <w:shd w:val="clear" w:color="auto" w:fill="FFFFFF"/>
        </w:rPr>
        <w:t>9.6%</w:t>
      </w:r>
      <w:r>
        <w:rPr>
          <w:rFonts w:hint="eastAsia" w:ascii="仿宋" w:hAnsi="仿宋" w:eastAsia="仿宋"/>
          <w:sz w:val="32"/>
          <w:szCs w:val="32"/>
          <w:shd w:val="clear" w:color="auto" w:fill="FFFFFF"/>
        </w:rPr>
        <w:t>，较年初预算数增加</w:t>
      </w:r>
      <w:r>
        <w:rPr>
          <w:rFonts w:ascii="Times New Roman" w:hAnsi="Times New Roman" w:eastAsia="仿宋" w:cs="Times New Roman"/>
          <w:sz w:val="32"/>
          <w:szCs w:val="32"/>
          <w:shd w:val="clear" w:color="auto" w:fill="FFFFFF"/>
        </w:rPr>
        <w:t>0.29</w:t>
      </w:r>
      <w:r>
        <w:rPr>
          <w:rFonts w:hint="eastAsia" w:ascii="仿宋" w:hAnsi="仿宋" w:eastAsia="仿宋"/>
          <w:sz w:val="32"/>
          <w:szCs w:val="32"/>
          <w:shd w:val="clear" w:color="auto" w:fill="FFFFFF"/>
        </w:rPr>
        <w:t>万元，增长</w:t>
      </w:r>
      <w:r>
        <w:rPr>
          <w:rFonts w:ascii="Times New Roman" w:hAnsi="Times New Roman" w:eastAsia="仿宋" w:cs="Times New Roman"/>
          <w:sz w:val="32"/>
          <w:szCs w:val="32"/>
          <w:shd w:val="clear" w:color="auto" w:fill="FFFFFF"/>
        </w:rPr>
        <w:t>1.1%</w:t>
      </w:r>
      <w:r>
        <w:rPr>
          <w:rFonts w:hint="eastAsia" w:ascii="仿宋" w:hAnsi="仿宋" w:eastAsia="仿宋"/>
          <w:sz w:val="32"/>
          <w:szCs w:val="32"/>
          <w:shd w:val="clear" w:color="auto" w:fill="FFFFFF"/>
        </w:rPr>
        <w:t>，主要原因是退休职工健康休养费标准提高。</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rPr>
      </w:pPr>
      <w:r>
        <w:rPr>
          <w:rFonts w:hint="eastAsia" w:ascii="仿宋" w:hAnsi="仿宋" w:eastAsia="仿宋"/>
          <w:sz w:val="32"/>
          <w:szCs w:val="32"/>
          <w:shd w:val="clear" w:color="auto" w:fill="FFFFFF"/>
        </w:rPr>
        <w:t>（</w:t>
      </w:r>
      <w:r>
        <w:rPr>
          <w:rFonts w:ascii="Times New Roman" w:hAnsi="Times New Roman" w:eastAsia="仿宋" w:cs="Times New Roman"/>
          <w:sz w:val="32"/>
          <w:szCs w:val="32"/>
          <w:shd w:val="clear" w:color="auto" w:fill="FFFFFF"/>
        </w:rPr>
        <w:t>3</w:t>
      </w:r>
      <w:r>
        <w:rPr>
          <w:rFonts w:hint="eastAsia" w:ascii="仿宋" w:hAnsi="仿宋" w:eastAsia="仿宋"/>
          <w:sz w:val="32"/>
          <w:szCs w:val="32"/>
          <w:shd w:val="clear" w:color="auto" w:fill="FFFFFF"/>
        </w:rPr>
        <w:t>）卫生健康支出</w:t>
      </w:r>
      <w:r>
        <w:rPr>
          <w:rFonts w:ascii="Times New Roman" w:hAnsi="Times New Roman" w:eastAsia="仿宋" w:cs="Times New Roman"/>
          <w:sz w:val="32"/>
          <w:szCs w:val="32"/>
          <w:shd w:val="clear" w:color="auto" w:fill="FFFFFF"/>
        </w:rPr>
        <w:t>9.91</w:t>
      </w:r>
      <w:r>
        <w:rPr>
          <w:rFonts w:hint="eastAsia" w:ascii="仿宋" w:hAnsi="仿宋" w:eastAsia="仿宋"/>
          <w:sz w:val="32"/>
          <w:szCs w:val="32"/>
          <w:shd w:val="clear" w:color="auto" w:fill="FFFFFF"/>
        </w:rPr>
        <w:t>万元，占</w:t>
      </w:r>
      <w:r>
        <w:rPr>
          <w:rFonts w:ascii="Times New Roman" w:hAnsi="Times New Roman" w:eastAsia="仿宋" w:cs="Times New Roman"/>
          <w:sz w:val="32"/>
          <w:szCs w:val="32"/>
          <w:shd w:val="clear" w:color="auto" w:fill="FFFFFF"/>
        </w:rPr>
        <w:t>3.7%</w:t>
      </w:r>
      <w:r>
        <w:rPr>
          <w:rFonts w:hint="eastAsia" w:ascii="仿宋" w:hAnsi="仿宋" w:eastAsia="仿宋"/>
          <w:sz w:val="32"/>
          <w:szCs w:val="32"/>
          <w:shd w:val="clear" w:color="auto" w:fill="FFFFFF"/>
        </w:rPr>
        <w:t>，较年初预算数增加</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万元，增长</w:t>
      </w:r>
      <w:r>
        <w:rPr>
          <w:rFonts w:ascii="Times New Roman" w:hAnsi="Times New Roman" w:eastAsia="仿宋" w:cs="Times New Roman"/>
          <w:sz w:val="32"/>
          <w:szCs w:val="32"/>
          <w:shd w:val="clear" w:color="auto" w:fill="FFFFFF"/>
        </w:rPr>
        <w:t>0.0%</w:t>
      </w:r>
      <w:r>
        <w:rPr>
          <w:rFonts w:hint="eastAsia" w:ascii="仿宋" w:hAnsi="仿宋" w:eastAsia="仿宋"/>
          <w:sz w:val="32"/>
          <w:szCs w:val="32"/>
          <w:shd w:val="clear" w:color="auto" w:fill="FFFFFF"/>
        </w:rPr>
        <w:t>。</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rPr>
      </w:pPr>
      <w:r>
        <w:rPr>
          <w:rFonts w:hint="eastAsia" w:ascii="仿宋" w:hAnsi="仿宋" w:eastAsia="仿宋"/>
          <w:sz w:val="32"/>
          <w:szCs w:val="32"/>
          <w:shd w:val="clear" w:color="auto" w:fill="FFFFFF"/>
        </w:rPr>
        <w:t>（</w:t>
      </w:r>
      <w:r>
        <w:rPr>
          <w:rFonts w:ascii="Times New Roman" w:hAnsi="Times New Roman" w:eastAsia="仿宋" w:cs="Times New Roman"/>
          <w:sz w:val="32"/>
          <w:szCs w:val="32"/>
          <w:shd w:val="clear" w:color="auto" w:fill="FFFFFF"/>
        </w:rPr>
        <w:t>4</w:t>
      </w:r>
      <w:r>
        <w:rPr>
          <w:rFonts w:hint="eastAsia" w:ascii="仿宋" w:hAnsi="仿宋" w:eastAsia="仿宋"/>
          <w:sz w:val="32"/>
          <w:szCs w:val="32"/>
          <w:shd w:val="clear" w:color="auto" w:fill="FFFFFF"/>
        </w:rPr>
        <w:t>）交通运输支出</w:t>
      </w:r>
      <w:r>
        <w:rPr>
          <w:rFonts w:ascii="Times New Roman" w:hAnsi="Times New Roman" w:eastAsia="仿宋" w:cs="Times New Roman"/>
          <w:sz w:val="32"/>
          <w:szCs w:val="32"/>
          <w:shd w:val="clear" w:color="auto" w:fill="FFFFFF"/>
        </w:rPr>
        <w:t>220.51</w:t>
      </w:r>
      <w:r>
        <w:rPr>
          <w:rFonts w:hint="eastAsia" w:ascii="仿宋" w:hAnsi="仿宋" w:eastAsia="仿宋"/>
          <w:sz w:val="32"/>
          <w:szCs w:val="32"/>
          <w:shd w:val="clear" w:color="auto" w:fill="FFFFFF"/>
        </w:rPr>
        <w:t>万元，占</w:t>
      </w:r>
      <w:r>
        <w:rPr>
          <w:rFonts w:ascii="Times New Roman" w:hAnsi="Times New Roman" w:eastAsia="仿宋" w:cs="Times New Roman"/>
          <w:sz w:val="32"/>
          <w:szCs w:val="32"/>
          <w:shd w:val="clear" w:color="auto" w:fill="FFFFFF"/>
        </w:rPr>
        <w:t>82.1%</w:t>
      </w:r>
      <w:r>
        <w:rPr>
          <w:rFonts w:hint="eastAsia" w:ascii="仿宋" w:hAnsi="仿宋" w:eastAsia="仿宋"/>
          <w:sz w:val="32"/>
          <w:szCs w:val="32"/>
          <w:shd w:val="clear" w:color="auto" w:fill="FFFFFF"/>
        </w:rPr>
        <w:t>，较年初预算数增加</w:t>
      </w:r>
      <w:r>
        <w:rPr>
          <w:rFonts w:ascii="Times New Roman" w:hAnsi="Times New Roman" w:eastAsia="仿宋" w:cs="Times New Roman"/>
          <w:sz w:val="32"/>
          <w:szCs w:val="32"/>
          <w:shd w:val="clear" w:color="auto" w:fill="FFFFFF"/>
        </w:rPr>
        <w:t>35.65</w:t>
      </w:r>
      <w:r>
        <w:rPr>
          <w:rFonts w:hint="eastAsia" w:ascii="仿宋" w:hAnsi="仿宋" w:eastAsia="仿宋"/>
          <w:sz w:val="32"/>
          <w:szCs w:val="32"/>
          <w:shd w:val="clear" w:color="auto" w:fill="FFFFFF"/>
        </w:rPr>
        <w:t>万元，增长</w:t>
      </w:r>
      <w:r>
        <w:rPr>
          <w:rFonts w:ascii="Times New Roman" w:hAnsi="Times New Roman" w:eastAsia="仿宋" w:cs="Times New Roman"/>
          <w:sz w:val="32"/>
          <w:szCs w:val="32"/>
          <w:shd w:val="clear" w:color="auto" w:fill="FFFFFF"/>
        </w:rPr>
        <w:t>19.3%</w:t>
      </w:r>
      <w:r>
        <w:rPr>
          <w:rFonts w:hint="eastAsia" w:ascii="仿宋" w:hAnsi="仿宋" w:eastAsia="仿宋"/>
          <w:sz w:val="32"/>
          <w:szCs w:val="32"/>
          <w:shd w:val="clear" w:color="auto" w:fill="FFFFFF"/>
        </w:rPr>
        <w:t>，主要原因是人员经费增加</w:t>
      </w:r>
      <w:r>
        <w:rPr>
          <w:rFonts w:ascii="Times New Roman" w:hAnsi="Times New Roman" w:eastAsia="仿宋" w:cs="Times New Roman"/>
          <w:sz w:val="32"/>
          <w:szCs w:val="32"/>
          <w:shd w:val="clear" w:color="auto" w:fill="FFFFFF"/>
        </w:rPr>
        <w:t>25.57</w:t>
      </w:r>
      <w:r>
        <w:rPr>
          <w:rFonts w:hint="eastAsia" w:ascii="仿宋" w:hAnsi="仿宋" w:eastAsia="仿宋"/>
          <w:sz w:val="32"/>
          <w:szCs w:val="32"/>
          <w:shd w:val="clear" w:color="auto" w:fill="FFFFFF"/>
        </w:rPr>
        <w:t>万元，公用经费增加</w:t>
      </w:r>
      <w:r>
        <w:rPr>
          <w:rFonts w:ascii="Times New Roman" w:hAnsi="Times New Roman" w:eastAsia="仿宋" w:cs="Times New Roman"/>
          <w:sz w:val="32"/>
          <w:szCs w:val="32"/>
          <w:shd w:val="clear" w:color="auto" w:fill="FFFFFF"/>
        </w:rPr>
        <w:t>10.08</w:t>
      </w:r>
      <w:r>
        <w:rPr>
          <w:rFonts w:hint="eastAsia" w:ascii="仿宋" w:hAnsi="仿宋" w:eastAsia="仿宋"/>
          <w:sz w:val="32"/>
          <w:szCs w:val="32"/>
          <w:shd w:val="clear" w:color="auto" w:fill="FFFFFF"/>
        </w:rPr>
        <w:t>万元等。</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rPr>
      </w:pPr>
      <w:r>
        <w:rPr>
          <w:rFonts w:hint="eastAsia" w:ascii="仿宋" w:hAnsi="仿宋" w:eastAsia="仿宋"/>
          <w:sz w:val="32"/>
          <w:szCs w:val="32"/>
          <w:shd w:val="clear" w:color="auto" w:fill="FFFFFF"/>
        </w:rPr>
        <w:t>（</w:t>
      </w:r>
      <w:r>
        <w:rPr>
          <w:rFonts w:ascii="Times New Roman" w:hAnsi="Times New Roman" w:eastAsia="仿宋" w:cs="Times New Roman"/>
          <w:sz w:val="32"/>
          <w:szCs w:val="32"/>
          <w:shd w:val="clear" w:color="auto" w:fill="FFFFFF"/>
        </w:rPr>
        <w:t>5</w:t>
      </w:r>
      <w:r>
        <w:rPr>
          <w:rFonts w:hint="eastAsia" w:ascii="仿宋" w:hAnsi="仿宋" w:eastAsia="仿宋"/>
          <w:sz w:val="32"/>
          <w:szCs w:val="32"/>
          <w:shd w:val="clear" w:color="auto" w:fill="FFFFFF"/>
        </w:rPr>
        <w:t>）住房保障支出</w:t>
      </w:r>
      <w:r>
        <w:rPr>
          <w:rFonts w:ascii="Times New Roman" w:hAnsi="Times New Roman" w:eastAsia="仿宋" w:cs="Times New Roman"/>
          <w:sz w:val="32"/>
          <w:szCs w:val="32"/>
          <w:shd w:val="clear" w:color="auto" w:fill="FFFFFF"/>
        </w:rPr>
        <w:t>11.75</w:t>
      </w:r>
      <w:r>
        <w:rPr>
          <w:rFonts w:hint="eastAsia" w:ascii="仿宋" w:hAnsi="仿宋" w:eastAsia="仿宋"/>
          <w:sz w:val="32"/>
          <w:szCs w:val="32"/>
          <w:shd w:val="clear" w:color="auto" w:fill="FFFFFF"/>
        </w:rPr>
        <w:t>万元，占</w:t>
      </w:r>
      <w:r>
        <w:rPr>
          <w:rFonts w:ascii="Times New Roman" w:hAnsi="Times New Roman" w:eastAsia="仿宋" w:cs="Times New Roman"/>
          <w:sz w:val="32"/>
          <w:szCs w:val="32"/>
          <w:shd w:val="clear" w:color="auto" w:fill="FFFFFF"/>
        </w:rPr>
        <w:t>4.4%</w:t>
      </w:r>
      <w:r>
        <w:rPr>
          <w:rFonts w:hint="eastAsia" w:ascii="仿宋" w:hAnsi="仿宋" w:eastAsia="仿宋"/>
          <w:sz w:val="32"/>
          <w:szCs w:val="32"/>
          <w:shd w:val="clear" w:color="auto" w:fill="FFFFFF"/>
        </w:rPr>
        <w:t>，较年初预算数增加</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万元，增长</w:t>
      </w:r>
      <w:r>
        <w:rPr>
          <w:rFonts w:ascii="Times New Roman" w:hAnsi="Times New Roman" w:eastAsia="仿宋" w:cs="Times New Roman"/>
          <w:sz w:val="32"/>
          <w:szCs w:val="32"/>
          <w:shd w:val="clear" w:color="auto" w:fill="FFFFFF"/>
        </w:rPr>
        <w:t>0.0%</w:t>
      </w:r>
      <w:r>
        <w:rPr>
          <w:rFonts w:hint="eastAsia" w:ascii="仿宋" w:hAnsi="仿宋" w:eastAsia="仿宋"/>
          <w:sz w:val="32"/>
          <w:szCs w:val="32"/>
          <w:shd w:val="clear" w:color="auto" w:fill="FFFFFF"/>
        </w:rPr>
        <w:t>。</w:t>
      </w:r>
    </w:p>
    <w:p>
      <w:pPr>
        <w:pStyle w:val="25"/>
        <w:autoSpaceDE w:val="0"/>
        <w:spacing w:before="0" w:beforeAutospacing="0" w:after="0" w:afterAutospacing="0" w:line="594" w:lineRule="exact"/>
        <w:ind w:firstLine="643" w:firstLineChars="200"/>
        <w:rPr>
          <w:rFonts w:ascii="Times New Roman" w:hAnsi="Times New Roman" w:eastAsia="仿宋" w:cs="Times New Roman"/>
          <w:b/>
          <w:bCs/>
          <w:sz w:val="32"/>
          <w:szCs w:val="32"/>
          <w:shd w:val="clear" w:color="auto" w:fill="FFFFFF"/>
        </w:rPr>
      </w:pPr>
      <w:r>
        <w:rPr>
          <w:rStyle w:val="45"/>
          <w:rFonts w:hint="eastAsia" w:ascii="仿宋" w:hAnsi="仿宋" w:eastAsia="仿宋"/>
          <w:sz w:val="32"/>
          <w:szCs w:val="32"/>
          <w:shd w:val="clear" w:color="auto" w:fill="FFFFFF"/>
        </w:rPr>
        <w:t>（四）一般公共预算财政拨款基本支出决算情况说明</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年度一般公共财政拨款基本支出</w:t>
      </w:r>
      <w:r>
        <w:rPr>
          <w:rFonts w:ascii="Times New Roman" w:hAnsi="Times New Roman" w:eastAsia="仿宋" w:cs="Times New Roman"/>
          <w:sz w:val="32"/>
          <w:szCs w:val="32"/>
          <w:shd w:val="clear" w:color="auto" w:fill="FFFFFF"/>
        </w:rPr>
        <w:t>268.59</w:t>
      </w:r>
      <w:r>
        <w:rPr>
          <w:rFonts w:hint="eastAsia" w:ascii="仿宋" w:hAnsi="仿宋" w:eastAsia="仿宋"/>
          <w:sz w:val="32"/>
          <w:szCs w:val="32"/>
          <w:shd w:val="clear" w:color="auto" w:fill="FFFFFF"/>
        </w:rPr>
        <w:t>万元。其中：人员经费</w:t>
      </w:r>
      <w:r>
        <w:rPr>
          <w:rFonts w:ascii="Times New Roman" w:hAnsi="Times New Roman" w:eastAsia="仿宋" w:cs="Times New Roman"/>
          <w:sz w:val="32"/>
          <w:szCs w:val="32"/>
          <w:shd w:val="clear" w:color="auto" w:fill="FFFFFF"/>
        </w:rPr>
        <w:t>249.24</w:t>
      </w:r>
      <w:r>
        <w:rPr>
          <w:rFonts w:hint="eastAsia" w:ascii="仿宋" w:hAnsi="仿宋" w:eastAsia="仿宋"/>
          <w:sz w:val="32"/>
          <w:szCs w:val="32"/>
          <w:shd w:val="clear" w:color="auto" w:fill="FFFFFF"/>
        </w:rPr>
        <w:t>万元，较上年决算数增加</w:t>
      </w:r>
      <w:r>
        <w:rPr>
          <w:rFonts w:ascii="Times New Roman" w:hAnsi="Times New Roman" w:eastAsia="仿宋" w:cs="Times New Roman"/>
          <w:sz w:val="32"/>
          <w:szCs w:val="32"/>
          <w:shd w:val="clear" w:color="auto" w:fill="FFFFFF"/>
        </w:rPr>
        <w:t>6.43</w:t>
      </w:r>
      <w:r>
        <w:rPr>
          <w:rFonts w:hint="eastAsia" w:ascii="仿宋" w:hAnsi="仿宋" w:eastAsia="仿宋"/>
          <w:sz w:val="32"/>
          <w:szCs w:val="32"/>
          <w:shd w:val="clear" w:color="auto" w:fill="FFFFFF"/>
        </w:rPr>
        <w:t>万元，增长</w:t>
      </w:r>
      <w:r>
        <w:rPr>
          <w:rFonts w:ascii="Times New Roman" w:hAnsi="Times New Roman" w:eastAsia="仿宋" w:cs="Times New Roman"/>
          <w:sz w:val="32"/>
          <w:szCs w:val="32"/>
          <w:shd w:val="clear" w:color="auto" w:fill="FFFFFF"/>
        </w:rPr>
        <w:t>2.6%</w:t>
      </w:r>
      <w:r>
        <w:rPr>
          <w:rFonts w:hint="eastAsia" w:ascii="仿宋" w:hAnsi="仿宋" w:eastAsia="仿宋"/>
          <w:sz w:val="32"/>
          <w:szCs w:val="32"/>
          <w:shd w:val="clear" w:color="auto" w:fill="FFFFFF"/>
        </w:rPr>
        <w:t>，主要原因是</w:t>
      </w:r>
      <w:r>
        <w:rPr>
          <w:rFonts w:hint="eastAsia" w:ascii="仿宋" w:hAnsi="仿宋" w:eastAsia="仿宋"/>
          <w:sz w:val="32"/>
          <w:szCs w:val="32"/>
        </w:rPr>
        <w:t>职工工资增加及目标考核奖标准提高、职工基本养老保险及职业年金、其他社会保障费、住房公积金增加</w:t>
      </w:r>
      <w:r>
        <w:rPr>
          <w:rFonts w:hint="eastAsia" w:ascii="仿宋" w:hAnsi="仿宋" w:eastAsia="仿宋"/>
          <w:sz w:val="32"/>
          <w:szCs w:val="32"/>
          <w:shd w:val="clear" w:color="auto" w:fill="FFFFFF"/>
        </w:rPr>
        <w:t>。人员经费用途主要包括基本工资、津贴补贴、伙食补助费、社会保障缴费、绩效工资、机关事业单位基本养老保险费、职业年金费、职工医疗保险费、其他工资福利费、退休费、</w:t>
      </w:r>
      <w:r>
        <w:rPr>
          <w:rFonts w:ascii="Times New Roman" w:hAnsi="Times New Roman" w:eastAsia="仿宋" w:cs="Times New Roman"/>
          <w:sz w:val="32"/>
          <w:szCs w:val="32"/>
          <w:shd w:val="clear" w:color="auto" w:fill="FFFFFF"/>
        </w:rPr>
        <w:t xml:space="preserve"> </w:t>
      </w:r>
      <w:r>
        <w:rPr>
          <w:rFonts w:hint="eastAsia" w:ascii="仿宋" w:hAnsi="仿宋" w:eastAsia="仿宋"/>
          <w:sz w:val="32"/>
          <w:szCs w:val="32"/>
          <w:shd w:val="clear" w:color="auto" w:fill="FFFFFF"/>
        </w:rPr>
        <w:t>住房公积金、其他对家庭和个人的补助支出。公用经费</w:t>
      </w:r>
      <w:r>
        <w:rPr>
          <w:rFonts w:ascii="Times New Roman" w:hAnsi="Times New Roman" w:eastAsia="仿宋" w:cs="Times New Roman"/>
          <w:sz w:val="32"/>
          <w:szCs w:val="32"/>
          <w:shd w:val="clear" w:color="auto" w:fill="FFFFFF"/>
        </w:rPr>
        <w:t>19.35</w:t>
      </w:r>
      <w:r>
        <w:rPr>
          <w:rFonts w:hint="eastAsia" w:ascii="仿宋" w:hAnsi="仿宋" w:eastAsia="仿宋"/>
          <w:sz w:val="32"/>
          <w:szCs w:val="32"/>
          <w:shd w:val="clear" w:color="auto" w:fill="FFFFFF"/>
        </w:rPr>
        <w:t>万元，较上年决算数减少</w:t>
      </w:r>
      <w:r>
        <w:rPr>
          <w:rFonts w:ascii="Times New Roman" w:hAnsi="Times New Roman" w:eastAsia="仿宋" w:cs="Times New Roman"/>
          <w:sz w:val="32"/>
          <w:szCs w:val="32"/>
          <w:shd w:val="clear" w:color="auto" w:fill="FFFFFF"/>
        </w:rPr>
        <w:t>14</w:t>
      </w:r>
      <w:r>
        <w:rPr>
          <w:rFonts w:hint="eastAsia" w:ascii="仿宋" w:hAnsi="仿宋" w:eastAsia="仿宋"/>
          <w:sz w:val="32"/>
          <w:szCs w:val="32"/>
          <w:shd w:val="clear" w:color="auto" w:fill="FFFFFF"/>
        </w:rPr>
        <w:t>万元，下降</w:t>
      </w:r>
      <w:r>
        <w:rPr>
          <w:rFonts w:ascii="Times New Roman" w:hAnsi="Times New Roman" w:eastAsia="仿宋" w:cs="Times New Roman"/>
          <w:sz w:val="32"/>
          <w:szCs w:val="32"/>
          <w:shd w:val="clear" w:color="auto" w:fill="FFFFFF"/>
        </w:rPr>
        <w:t>42.0%</w:t>
      </w:r>
      <w:r>
        <w:rPr>
          <w:rFonts w:hint="eastAsia" w:ascii="仿宋" w:hAnsi="仿宋" w:eastAsia="仿宋"/>
          <w:sz w:val="32"/>
          <w:szCs w:val="32"/>
          <w:shd w:val="clear" w:color="auto" w:fill="FFFFFF"/>
        </w:rPr>
        <w:t>，主要原因是职工差旅费减少</w:t>
      </w:r>
      <w:r>
        <w:rPr>
          <w:rFonts w:ascii="Times New Roman" w:hAnsi="Times New Roman" w:eastAsia="仿宋" w:cs="Times New Roman"/>
          <w:sz w:val="32"/>
          <w:szCs w:val="32"/>
          <w:shd w:val="clear" w:color="auto" w:fill="FFFFFF"/>
        </w:rPr>
        <w:t>11.94</w:t>
      </w:r>
      <w:r>
        <w:rPr>
          <w:rFonts w:hint="eastAsia" w:ascii="仿宋" w:hAnsi="仿宋" w:eastAsia="仿宋"/>
          <w:sz w:val="32"/>
          <w:szCs w:val="32"/>
          <w:shd w:val="clear" w:color="auto" w:fill="FFFFFF"/>
        </w:rPr>
        <w:t>万元等。公用经费用途主要包括办公费、印刷费、手续费、水费、电费、邮电费、差旅费、维护费、会议费、培训费、公务接待费、专用材料费、劳务费、工会经费、福利费、公务车运行维护费、其他商品和服务支出。</w:t>
      </w:r>
      <w:r>
        <w:rPr>
          <w:rFonts w:ascii="Times New Roman" w:hAnsi="Times New Roman" w:eastAsia="方正仿宋_GBK" w:cs="Times New Roman"/>
          <w:sz w:val="32"/>
          <w:szCs w:val="32"/>
        </w:rPr>
        <w:t xml:space="preserve"> </w:t>
      </w:r>
    </w:p>
    <w:p>
      <w:pPr>
        <w:pStyle w:val="25"/>
        <w:numPr>
          <w:ilvl w:val="0"/>
          <w:numId w:val="2"/>
        </w:numPr>
        <w:autoSpaceDE w:val="0"/>
        <w:spacing w:before="0" w:beforeAutospacing="0" w:after="0" w:afterAutospacing="0" w:line="594" w:lineRule="exact"/>
        <w:ind w:firstLine="643" w:firstLineChars="200"/>
        <w:rPr>
          <w:rFonts w:ascii="Times New Roman" w:hAnsi="Times New Roman" w:eastAsia="仿宋" w:cs="Times New Roman"/>
          <w:b/>
          <w:bCs/>
          <w:sz w:val="32"/>
          <w:szCs w:val="32"/>
          <w:shd w:val="clear" w:color="auto" w:fill="FFFFFF"/>
        </w:rPr>
      </w:pPr>
      <w:r>
        <w:rPr>
          <w:rStyle w:val="45"/>
          <w:rFonts w:hint="eastAsia" w:ascii="仿宋" w:hAnsi="仿宋" w:eastAsia="仿宋"/>
          <w:sz w:val="32"/>
          <w:szCs w:val="32"/>
          <w:shd w:val="clear" w:color="auto" w:fill="FFFFFF"/>
        </w:rPr>
        <w:t>政府性基金预算收支决算情况说明</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年度政府性基金预算财政拨款年初结转结余</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万元，年末结转结余</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万元。本年收入</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万元，较上年决算数增加</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万元，增长</w:t>
      </w:r>
      <w:r>
        <w:rPr>
          <w:rFonts w:ascii="Times New Roman" w:hAnsi="Times New Roman" w:eastAsia="仿宋" w:cs="Times New Roman"/>
          <w:sz w:val="32"/>
          <w:szCs w:val="32"/>
          <w:shd w:val="clear" w:color="auto" w:fill="FFFFFF"/>
        </w:rPr>
        <w:t>0.0%</w:t>
      </w:r>
      <w:r>
        <w:rPr>
          <w:rFonts w:hint="eastAsia" w:ascii="仿宋" w:hAnsi="仿宋" w:eastAsia="仿宋"/>
          <w:sz w:val="32"/>
          <w:szCs w:val="32"/>
          <w:shd w:val="clear" w:color="auto" w:fill="FFFFFF"/>
        </w:rPr>
        <w:t>。本年支出</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万元，较上年决算数增加</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万元，增长</w:t>
      </w:r>
      <w:r>
        <w:rPr>
          <w:rFonts w:ascii="Times New Roman" w:hAnsi="Times New Roman" w:eastAsia="仿宋" w:cs="Times New Roman"/>
          <w:sz w:val="32"/>
          <w:szCs w:val="32"/>
          <w:shd w:val="clear" w:color="auto" w:fill="FFFFFF"/>
        </w:rPr>
        <w:t>0.0%</w:t>
      </w:r>
      <w:r>
        <w:rPr>
          <w:rFonts w:hint="eastAsia" w:ascii="仿宋" w:hAnsi="仿宋" w:eastAsia="仿宋"/>
          <w:sz w:val="32"/>
          <w:szCs w:val="32"/>
          <w:shd w:val="clear" w:color="auto" w:fill="FFFFFF"/>
        </w:rPr>
        <w:t>。本单位</w:t>
      </w: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年度无政府性基金预算财政拨款收支。</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（六）国有资本经营预算财政拨款支出决算情况说明</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年度国有资本经营预算财政拨款支出合计</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万元，基本支出</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万元，项目支出</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万元。本单位</w:t>
      </w: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年度无国有资本经营预算财政拨款收支。</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三、</w:t>
      </w:r>
      <w:r>
        <w:rPr>
          <w:rStyle w:val="45"/>
          <w:rFonts w:eastAsia="仿宋"/>
          <w:sz w:val="32"/>
          <w:szCs w:val="32"/>
          <w:shd w:val="clear" w:color="auto" w:fill="FFFFFF"/>
        </w:rPr>
        <w:t>“</w:t>
      </w:r>
      <w:r>
        <w:rPr>
          <w:rStyle w:val="45"/>
          <w:rFonts w:hint="eastAsia" w:ascii="仿宋" w:hAnsi="仿宋" w:eastAsia="仿宋"/>
          <w:sz w:val="32"/>
          <w:szCs w:val="32"/>
          <w:shd w:val="clear" w:color="auto" w:fill="FFFFFF"/>
        </w:rPr>
        <w:t>三公</w:t>
      </w:r>
      <w:r>
        <w:rPr>
          <w:rStyle w:val="45"/>
          <w:rFonts w:eastAsia="仿宋"/>
          <w:sz w:val="32"/>
          <w:szCs w:val="32"/>
          <w:shd w:val="clear" w:color="auto" w:fill="FFFFFF"/>
        </w:rPr>
        <w:t>”</w:t>
      </w:r>
      <w:r>
        <w:rPr>
          <w:rStyle w:val="45"/>
          <w:rFonts w:hint="eastAsia" w:ascii="仿宋" w:hAnsi="仿宋" w:eastAsia="仿宋"/>
          <w:sz w:val="32"/>
          <w:szCs w:val="32"/>
          <w:shd w:val="clear" w:color="auto" w:fill="FFFFFF"/>
        </w:rPr>
        <w:t>经费情况说明</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（一）</w:t>
      </w:r>
      <w:r>
        <w:rPr>
          <w:rStyle w:val="45"/>
          <w:rFonts w:eastAsia="仿宋"/>
          <w:sz w:val="32"/>
          <w:szCs w:val="32"/>
          <w:shd w:val="clear" w:color="auto" w:fill="FFFFFF"/>
        </w:rPr>
        <w:t>“</w:t>
      </w:r>
      <w:r>
        <w:rPr>
          <w:rStyle w:val="45"/>
          <w:rFonts w:hint="eastAsia" w:ascii="仿宋" w:hAnsi="仿宋" w:eastAsia="仿宋"/>
          <w:sz w:val="32"/>
          <w:szCs w:val="32"/>
          <w:shd w:val="clear" w:color="auto" w:fill="FFFFFF"/>
        </w:rPr>
        <w:t>三公</w:t>
      </w:r>
      <w:r>
        <w:rPr>
          <w:rStyle w:val="45"/>
          <w:rFonts w:eastAsia="仿宋"/>
          <w:sz w:val="32"/>
          <w:szCs w:val="32"/>
          <w:shd w:val="clear" w:color="auto" w:fill="FFFFFF"/>
        </w:rPr>
        <w:t>”</w:t>
      </w:r>
      <w:r>
        <w:rPr>
          <w:rStyle w:val="45"/>
          <w:rFonts w:hint="eastAsia" w:ascii="仿宋" w:hAnsi="仿宋" w:eastAsia="仿宋"/>
          <w:sz w:val="32"/>
          <w:szCs w:val="32"/>
          <w:shd w:val="clear" w:color="auto" w:fill="FFFFFF"/>
        </w:rPr>
        <w:t>经费支出总体情况说明</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年度</w:t>
      </w:r>
      <w:r>
        <w:rPr>
          <w:rFonts w:ascii="Times New Roman" w:hAnsi="Times New Roman" w:eastAsia="仿宋" w:cs="Times New Roman"/>
          <w:sz w:val="32"/>
          <w:szCs w:val="32"/>
          <w:shd w:val="clear" w:color="auto" w:fill="FFFFFF"/>
        </w:rPr>
        <w:t>“</w:t>
      </w:r>
      <w:r>
        <w:rPr>
          <w:rFonts w:hint="eastAsia" w:ascii="仿宋" w:hAnsi="仿宋" w:eastAsia="仿宋"/>
          <w:sz w:val="32"/>
          <w:szCs w:val="32"/>
          <w:shd w:val="clear" w:color="auto" w:fill="FFFFFF"/>
        </w:rPr>
        <w:t>三公</w:t>
      </w:r>
      <w:r>
        <w:rPr>
          <w:rFonts w:ascii="Times New Roman" w:hAnsi="Times New Roman" w:eastAsia="仿宋" w:cs="Times New Roman"/>
          <w:sz w:val="32"/>
          <w:szCs w:val="32"/>
          <w:shd w:val="clear" w:color="auto" w:fill="FFFFFF"/>
        </w:rPr>
        <w:t>”</w:t>
      </w:r>
      <w:r>
        <w:rPr>
          <w:rFonts w:hint="eastAsia" w:ascii="仿宋" w:hAnsi="仿宋" w:eastAsia="仿宋"/>
          <w:sz w:val="32"/>
          <w:szCs w:val="32"/>
          <w:shd w:val="clear" w:color="auto" w:fill="FFFFFF"/>
        </w:rPr>
        <w:t>经费支出共计</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万元，本单位</w:t>
      </w: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年度未发生</w:t>
      </w:r>
      <w:r>
        <w:rPr>
          <w:rFonts w:ascii="Times New Roman" w:hAnsi="Times New Roman" w:eastAsia="仿宋" w:cs="Times New Roman"/>
          <w:sz w:val="32"/>
          <w:szCs w:val="32"/>
          <w:shd w:val="clear" w:color="auto" w:fill="FFFFFF"/>
        </w:rPr>
        <w:t>“</w:t>
      </w:r>
      <w:r>
        <w:rPr>
          <w:rFonts w:hint="eastAsia" w:ascii="仿宋" w:hAnsi="仿宋" w:eastAsia="仿宋"/>
          <w:sz w:val="32"/>
          <w:szCs w:val="32"/>
          <w:shd w:val="clear" w:color="auto" w:fill="FFFFFF"/>
        </w:rPr>
        <w:t>三公</w:t>
      </w:r>
      <w:r>
        <w:rPr>
          <w:rFonts w:ascii="Times New Roman" w:hAnsi="Times New Roman" w:eastAsia="仿宋" w:cs="Times New Roman"/>
          <w:sz w:val="32"/>
          <w:szCs w:val="32"/>
          <w:shd w:val="clear" w:color="auto" w:fill="FFFFFF"/>
        </w:rPr>
        <w:t>”</w:t>
      </w:r>
      <w:r>
        <w:rPr>
          <w:rFonts w:hint="eastAsia" w:ascii="仿宋" w:hAnsi="仿宋" w:eastAsia="仿宋"/>
          <w:sz w:val="32"/>
          <w:szCs w:val="32"/>
          <w:shd w:val="clear" w:color="auto" w:fill="FFFFFF"/>
        </w:rPr>
        <w:t>经费支出。与年初预算数持平。较上年支出数减少</w:t>
      </w:r>
      <w:r>
        <w:rPr>
          <w:rFonts w:ascii="Times New Roman" w:hAnsi="Times New Roman" w:eastAsia="仿宋" w:cs="Times New Roman"/>
          <w:sz w:val="32"/>
          <w:szCs w:val="32"/>
          <w:shd w:val="clear" w:color="auto" w:fill="FFFFFF"/>
        </w:rPr>
        <w:t>0.1</w:t>
      </w:r>
      <w:r>
        <w:rPr>
          <w:rFonts w:hint="eastAsia" w:ascii="仿宋" w:hAnsi="仿宋" w:eastAsia="仿宋"/>
          <w:sz w:val="32"/>
          <w:szCs w:val="32"/>
          <w:shd w:val="clear" w:color="auto" w:fill="FFFFFF"/>
        </w:rPr>
        <w:t>万元，下降</w:t>
      </w:r>
      <w:r>
        <w:rPr>
          <w:rFonts w:ascii="Times New Roman" w:hAnsi="Times New Roman" w:eastAsia="仿宋" w:cs="Times New Roman"/>
          <w:sz w:val="32"/>
          <w:szCs w:val="32"/>
          <w:shd w:val="clear" w:color="auto" w:fill="FFFFFF"/>
        </w:rPr>
        <w:t>100.0%</w:t>
      </w:r>
      <w:r>
        <w:rPr>
          <w:rFonts w:hint="eastAsia" w:ascii="仿宋" w:hAnsi="仿宋" w:eastAsia="仿宋"/>
          <w:sz w:val="32"/>
          <w:szCs w:val="32"/>
          <w:shd w:val="clear" w:color="auto" w:fill="FFFFFF"/>
        </w:rPr>
        <w:t>，主要原因是认真贯彻落实中央</w:t>
      </w:r>
      <w:bookmarkStart w:id="0" w:name="_GoBack"/>
      <w:bookmarkEnd w:id="0"/>
      <w:r>
        <w:rPr>
          <w:rFonts w:hint="eastAsia" w:ascii="仿宋" w:hAnsi="仿宋" w:eastAsia="仿宋"/>
          <w:sz w:val="32"/>
          <w:szCs w:val="32"/>
          <w:shd w:val="clear" w:color="auto" w:fill="FFFFFF"/>
        </w:rPr>
        <w:t>八项规定精神和厉行节约要求，按照只减不增的要求从严控制三公经费，本年度公务接待费减少</w:t>
      </w:r>
      <w:r>
        <w:rPr>
          <w:rFonts w:ascii="Times New Roman" w:hAnsi="Times New Roman" w:eastAsia="仿宋" w:cs="Times New Roman"/>
          <w:sz w:val="32"/>
          <w:szCs w:val="32"/>
          <w:shd w:val="clear" w:color="auto" w:fill="FFFFFF"/>
        </w:rPr>
        <w:t>0.1</w:t>
      </w:r>
      <w:r>
        <w:rPr>
          <w:rFonts w:hint="eastAsia" w:ascii="仿宋" w:hAnsi="仿宋" w:eastAsia="仿宋"/>
          <w:sz w:val="32"/>
          <w:szCs w:val="32"/>
          <w:shd w:val="clear" w:color="auto" w:fill="FFFFFF"/>
        </w:rPr>
        <w:t>万元。</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（二）</w:t>
      </w:r>
      <w:r>
        <w:rPr>
          <w:rStyle w:val="45"/>
          <w:rFonts w:eastAsia="仿宋"/>
          <w:sz w:val="32"/>
          <w:szCs w:val="32"/>
          <w:shd w:val="clear" w:color="auto" w:fill="FFFFFF"/>
        </w:rPr>
        <w:t>“</w:t>
      </w:r>
      <w:r>
        <w:rPr>
          <w:rStyle w:val="45"/>
          <w:rFonts w:hint="eastAsia" w:ascii="仿宋" w:hAnsi="仿宋" w:eastAsia="仿宋"/>
          <w:sz w:val="32"/>
          <w:szCs w:val="32"/>
          <w:shd w:val="clear" w:color="auto" w:fill="FFFFFF"/>
        </w:rPr>
        <w:t>三公</w:t>
      </w:r>
      <w:r>
        <w:rPr>
          <w:rStyle w:val="45"/>
          <w:rFonts w:eastAsia="仿宋"/>
          <w:sz w:val="32"/>
          <w:szCs w:val="32"/>
          <w:shd w:val="clear" w:color="auto" w:fill="FFFFFF"/>
        </w:rPr>
        <w:t>”</w:t>
      </w:r>
      <w:r>
        <w:rPr>
          <w:rStyle w:val="45"/>
          <w:rFonts w:hint="eastAsia" w:ascii="仿宋" w:hAnsi="仿宋" w:eastAsia="仿宋"/>
          <w:sz w:val="32"/>
          <w:szCs w:val="32"/>
          <w:shd w:val="clear" w:color="auto" w:fill="FFFFFF"/>
        </w:rPr>
        <w:t>经费分项支出情况</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年度本单位因公出国（境）费用</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万元。本单位</w:t>
      </w: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年度未发生因公出国（境）费用。费用支出与年初预算数持平。与上年决算数持平。</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rPr>
      </w:pPr>
      <w:r>
        <w:rPr>
          <w:rFonts w:hint="eastAsia" w:ascii="仿宋" w:hAnsi="仿宋" w:eastAsia="仿宋"/>
          <w:sz w:val="32"/>
          <w:szCs w:val="32"/>
          <w:shd w:val="clear" w:color="auto" w:fill="FFFFFF"/>
        </w:rPr>
        <w:t>公务车购置费</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万元。本单位</w:t>
      </w: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年度未发生公务车购置费。费用支出与年初预算数持平。与上年决算数持平。</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rPr>
      </w:pPr>
      <w:r>
        <w:rPr>
          <w:rFonts w:hint="eastAsia" w:ascii="仿宋" w:hAnsi="仿宋" w:eastAsia="仿宋"/>
          <w:sz w:val="32"/>
          <w:szCs w:val="32"/>
          <w:shd w:val="clear" w:color="auto" w:fill="FFFFFF"/>
        </w:rPr>
        <w:t>公务车运行维护费</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万元。本单位</w:t>
      </w: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年度未发生公务车运行维护费。费用支出与年初预算数持平。与上年决算数持平。</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shd w:val="clear" w:color="auto" w:fill="FFFFFF"/>
        </w:rPr>
      </w:pPr>
      <w:r>
        <w:rPr>
          <w:rFonts w:hint="eastAsia" w:ascii="仿宋" w:hAnsi="仿宋" w:eastAsia="仿宋"/>
          <w:sz w:val="32"/>
          <w:szCs w:val="32"/>
          <w:shd w:val="clear" w:color="auto" w:fill="FFFFFF"/>
        </w:rPr>
        <w:t>公务接待费</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万元。本单位</w:t>
      </w: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年度未发生公务接待费。与年初预算数持平。较上年支出数减少</w:t>
      </w:r>
      <w:r>
        <w:rPr>
          <w:rFonts w:ascii="Times New Roman" w:hAnsi="Times New Roman" w:eastAsia="仿宋" w:cs="Times New Roman"/>
          <w:sz w:val="32"/>
          <w:szCs w:val="32"/>
          <w:shd w:val="clear" w:color="auto" w:fill="FFFFFF"/>
        </w:rPr>
        <w:t>0.1</w:t>
      </w:r>
      <w:r>
        <w:rPr>
          <w:rFonts w:hint="eastAsia" w:ascii="仿宋" w:hAnsi="仿宋" w:eastAsia="仿宋"/>
          <w:sz w:val="32"/>
          <w:szCs w:val="32"/>
          <w:shd w:val="clear" w:color="auto" w:fill="FFFFFF"/>
        </w:rPr>
        <w:t>万元，下降</w:t>
      </w:r>
      <w:r>
        <w:rPr>
          <w:rFonts w:ascii="Times New Roman" w:hAnsi="Times New Roman" w:eastAsia="仿宋" w:cs="Times New Roman"/>
          <w:sz w:val="32"/>
          <w:szCs w:val="32"/>
          <w:shd w:val="clear" w:color="auto" w:fill="FFFFFF"/>
        </w:rPr>
        <w:t>100.0%</w:t>
      </w:r>
      <w:r>
        <w:rPr>
          <w:rFonts w:hint="eastAsia" w:ascii="仿宋" w:hAnsi="仿宋" w:eastAsia="仿宋"/>
          <w:sz w:val="32"/>
          <w:szCs w:val="32"/>
          <w:shd w:val="clear" w:color="auto" w:fill="FFFFFF"/>
        </w:rPr>
        <w:t>，主要原因是认真贯彻落实中央八项规定精神和厉行节约要求，按照只减不增的要求从严控制三公经费，本年度公务接待费减少</w:t>
      </w:r>
      <w:r>
        <w:rPr>
          <w:rFonts w:ascii="Times New Roman" w:hAnsi="Times New Roman" w:eastAsia="仿宋" w:cs="Times New Roman"/>
          <w:sz w:val="32"/>
          <w:szCs w:val="32"/>
          <w:shd w:val="clear" w:color="auto" w:fill="FFFFFF"/>
        </w:rPr>
        <w:t>0.1</w:t>
      </w:r>
      <w:r>
        <w:rPr>
          <w:rFonts w:hint="eastAsia" w:ascii="仿宋" w:hAnsi="仿宋" w:eastAsia="仿宋"/>
          <w:sz w:val="32"/>
          <w:szCs w:val="32"/>
          <w:shd w:val="clear" w:color="auto" w:fill="FFFFFF"/>
        </w:rPr>
        <w:t>万元。</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（三）</w:t>
      </w:r>
      <w:r>
        <w:rPr>
          <w:rStyle w:val="45"/>
          <w:rFonts w:eastAsia="仿宋"/>
          <w:sz w:val="32"/>
          <w:szCs w:val="32"/>
          <w:shd w:val="clear" w:color="auto" w:fill="FFFFFF"/>
        </w:rPr>
        <w:t>“</w:t>
      </w:r>
      <w:r>
        <w:rPr>
          <w:rStyle w:val="45"/>
          <w:rFonts w:hint="eastAsia" w:ascii="仿宋" w:hAnsi="仿宋" w:eastAsia="仿宋"/>
          <w:sz w:val="32"/>
          <w:szCs w:val="32"/>
          <w:shd w:val="clear" w:color="auto" w:fill="FFFFFF"/>
        </w:rPr>
        <w:t>三公</w:t>
      </w:r>
      <w:r>
        <w:rPr>
          <w:rStyle w:val="45"/>
          <w:rFonts w:eastAsia="仿宋"/>
          <w:sz w:val="32"/>
          <w:szCs w:val="32"/>
          <w:shd w:val="clear" w:color="auto" w:fill="FFFFFF"/>
        </w:rPr>
        <w:t>”</w:t>
      </w:r>
      <w:r>
        <w:rPr>
          <w:rStyle w:val="45"/>
          <w:rFonts w:hint="eastAsia" w:ascii="仿宋" w:hAnsi="仿宋" w:eastAsia="仿宋"/>
          <w:sz w:val="32"/>
          <w:szCs w:val="32"/>
          <w:shd w:val="clear" w:color="auto" w:fill="FFFFFF"/>
        </w:rPr>
        <w:t>经费实物量情况</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年度本部门因公出国（境）共计</w:t>
      </w:r>
      <w:r>
        <w:rPr>
          <w:rFonts w:ascii="Times New Roman" w:hAnsi="Times New Roman" w:eastAsia="仿宋" w:cs="Times New Roman"/>
          <w:sz w:val="32"/>
          <w:szCs w:val="32"/>
          <w:shd w:val="clear" w:color="auto" w:fill="FFFFFF"/>
        </w:rPr>
        <w:t>0</w:t>
      </w:r>
      <w:r>
        <w:rPr>
          <w:rFonts w:hint="eastAsia" w:ascii="仿宋" w:hAnsi="仿宋" w:eastAsia="仿宋"/>
          <w:sz w:val="32"/>
          <w:szCs w:val="32"/>
          <w:shd w:val="clear" w:color="auto" w:fill="FFFFFF"/>
        </w:rPr>
        <w:t>个团组，</w:t>
      </w:r>
      <w:r>
        <w:rPr>
          <w:rFonts w:ascii="Times New Roman" w:hAnsi="Times New Roman" w:eastAsia="仿宋" w:cs="Times New Roman"/>
          <w:sz w:val="32"/>
          <w:szCs w:val="32"/>
          <w:shd w:val="clear" w:color="auto" w:fill="FFFFFF"/>
        </w:rPr>
        <w:t>0</w:t>
      </w:r>
      <w:r>
        <w:rPr>
          <w:rFonts w:hint="eastAsia" w:ascii="仿宋" w:hAnsi="仿宋" w:eastAsia="仿宋"/>
          <w:sz w:val="32"/>
          <w:szCs w:val="32"/>
          <w:shd w:val="clear" w:color="auto" w:fill="FFFFFF"/>
        </w:rPr>
        <w:t>人；公务用车购置</w:t>
      </w:r>
      <w:r>
        <w:rPr>
          <w:rFonts w:ascii="Times New Roman" w:hAnsi="Times New Roman" w:eastAsia="仿宋" w:cs="Times New Roman"/>
          <w:sz w:val="32"/>
          <w:szCs w:val="32"/>
          <w:shd w:val="clear" w:color="auto" w:fill="FFFFFF"/>
        </w:rPr>
        <w:t>0</w:t>
      </w:r>
      <w:r>
        <w:rPr>
          <w:rFonts w:hint="eastAsia" w:ascii="仿宋" w:hAnsi="仿宋" w:eastAsia="仿宋"/>
          <w:sz w:val="32"/>
          <w:szCs w:val="32"/>
          <w:shd w:val="clear" w:color="auto" w:fill="FFFFFF"/>
        </w:rPr>
        <w:t>辆，公务车保有量为</w:t>
      </w:r>
      <w:r>
        <w:rPr>
          <w:rFonts w:ascii="Times New Roman" w:hAnsi="Times New Roman" w:eastAsia="仿宋" w:cs="Times New Roman"/>
          <w:sz w:val="32"/>
          <w:szCs w:val="32"/>
          <w:shd w:val="clear" w:color="auto" w:fill="FFFFFF"/>
        </w:rPr>
        <w:t>0</w:t>
      </w:r>
      <w:r>
        <w:rPr>
          <w:rFonts w:hint="eastAsia" w:ascii="仿宋" w:hAnsi="仿宋" w:eastAsia="仿宋"/>
          <w:sz w:val="32"/>
          <w:szCs w:val="32"/>
          <w:shd w:val="clear" w:color="auto" w:fill="FFFFFF"/>
        </w:rPr>
        <w:t>辆；国内公务接待</w:t>
      </w:r>
      <w:r>
        <w:rPr>
          <w:rFonts w:ascii="Times New Roman" w:hAnsi="Times New Roman" w:eastAsia="仿宋" w:cs="Times New Roman"/>
          <w:sz w:val="32"/>
          <w:szCs w:val="32"/>
          <w:shd w:val="clear" w:color="auto" w:fill="FFFFFF"/>
        </w:rPr>
        <w:t>0</w:t>
      </w:r>
      <w:r>
        <w:rPr>
          <w:rFonts w:hint="eastAsia" w:ascii="仿宋" w:hAnsi="仿宋" w:eastAsia="仿宋"/>
          <w:sz w:val="32"/>
          <w:szCs w:val="32"/>
          <w:shd w:val="clear" w:color="auto" w:fill="FFFFFF"/>
        </w:rPr>
        <w:t>批次</w:t>
      </w:r>
      <w:r>
        <w:rPr>
          <w:rFonts w:ascii="Times New Roman" w:hAnsi="Times New Roman" w:eastAsia="仿宋" w:cs="Times New Roman"/>
          <w:sz w:val="32"/>
          <w:szCs w:val="32"/>
          <w:shd w:val="clear" w:color="auto" w:fill="FFFFFF"/>
        </w:rPr>
        <w:t>0</w:t>
      </w:r>
      <w:r>
        <w:rPr>
          <w:rFonts w:hint="eastAsia" w:ascii="仿宋" w:hAnsi="仿宋" w:eastAsia="仿宋"/>
          <w:sz w:val="32"/>
          <w:szCs w:val="32"/>
          <w:shd w:val="clear" w:color="auto" w:fill="FFFFFF"/>
        </w:rPr>
        <w:t>人，其中：国内外</w:t>
      </w:r>
      <w:r>
        <w:rPr>
          <w:rFonts w:ascii="Times New Roman" w:hAnsi="Times New Roman" w:eastAsia="仿宋" w:cs="Times New Roman"/>
          <w:sz w:val="32"/>
          <w:szCs w:val="32"/>
          <w:shd w:val="clear" w:color="auto" w:fill="FFFFFF"/>
        </w:rPr>
        <w:t xml:space="preserve"> </w:t>
      </w:r>
      <w:r>
        <w:rPr>
          <w:rFonts w:hint="eastAsia" w:ascii="仿宋" w:hAnsi="仿宋" w:eastAsia="仿宋"/>
          <w:sz w:val="32"/>
          <w:szCs w:val="32"/>
          <w:shd w:val="clear" w:color="auto" w:fill="FFFFFF"/>
        </w:rPr>
        <w:t>事接待</w:t>
      </w:r>
      <w:r>
        <w:rPr>
          <w:rFonts w:ascii="Times New Roman" w:hAnsi="Times New Roman" w:eastAsia="仿宋" w:cs="Times New Roman"/>
          <w:sz w:val="32"/>
          <w:szCs w:val="32"/>
          <w:shd w:val="clear" w:color="auto" w:fill="FFFFFF"/>
        </w:rPr>
        <w:t>0</w:t>
      </w:r>
      <w:r>
        <w:rPr>
          <w:rFonts w:hint="eastAsia" w:ascii="仿宋" w:hAnsi="仿宋" w:eastAsia="仿宋"/>
          <w:sz w:val="32"/>
          <w:szCs w:val="32"/>
          <w:shd w:val="clear" w:color="auto" w:fill="FFFFFF"/>
        </w:rPr>
        <w:t>批次，</w:t>
      </w:r>
      <w:r>
        <w:rPr>
          <w:rFonts w:ascii="Times New Roman" w:hAnsi="Times New Roman" w:eastAsia="仿宋" w:cs="Times New Roman"/>
          <w:sz w:val="32"/>
          <w:szCs w:val="32"/>
          <w:shd w:val="clear" w:color="auto" w:fill="FFFFFF"/>
        </w:rPr>
        <w:t>0</w:t>
      </w:r>
      <w:r>
        <w:rPr>
          <w:rFonts w:hint="eastAsia" w:ascii="仿宋" w:hAnsi="仿宋" w:eastAsia="仿宋"/>
          <w:sz w:val="32"/>
          <w:szCs w:val="32"/>
          <w:shd w:val="clear" w:color="auto" w:fill="FFFFFF"/>
        </w:rPr>
        <w:t>人；国（境）外公务接待</w:t>
      </w:r>
      <w:r>
        <w:rPr>
          <w:rFonts w:ascii="Times New Roman" w:hAnsi="Times New Roman" w:eastAsia="仿宋" w:cs="Times New Roman"/>
          <w:sz w:val="32"/>
          <w:szCs w:val="32"/>
          <w:shd w:val="clear" w:color="auto" w:fill="FFFFFF"/>
        </w:rPr>
        <w:t>0</w:t>
      </w:r>
      <w:r>
        <w:rPr>
          <w:rFonts w:hint="eastAsia" w:ascii="仿宋" w:hAnsi="仿宋" w:eastAsia="仿宋"/>
          <w:sz w:val="32"/>
          <w:szCs w:val="32"/>
          <w:shd w:val="clear" w:color="auto" w:fill="FFFFFF"/>
        </w:rPr>
        <w:t>批次，</w:t>
      </w:r>
      <w:r>
        <w:rPr>
          <w:rFonts w:ascii="Times New Roman" w:hAnsi="Times New Roman" w:eastAsia="仿宋" w:cs="Times New Roman"/>
          <w:sz w:val="32"/>
          <w:szCs w:val="32"/>
          <w:shd w:val="clear" w:color="auto" w:fill="FFFFFF"/>
        </w:rPr>
        <w:t>0</w:t>
      </w:r>
      <w:r>
        <w:rPr>
          <w:rFonts w:hint="eastAsia" w:ascii="仿宋" w:hAnsi="仿宋" w:eastAsia="仿宋"/>
          <w:sz w:val="32"/>
          <w:szCs w:val="32"/>
          <w:shd w:val="clear" w:color="auto" w:fill="FFFFFF"/>
        </w:rPr>
        <w:t>人。</w:t>
      </w: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年本单位人均接待费</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元，车均购置费</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万元，车均维护费</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四、其他需要说明的事项</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（一）机关运行经费情况说明</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年度本单位机关运行经费支出</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w:t>
      </w:r>
      <w:r>
        <w:rPr>
          <w:rFonts w:ascii="Times New Roman" w:hAnsi="Times New Roman" w:eastAsia="仿宋" w:cs="Times New Roman"/>
          <w:sz w:val="32"/>
          <w:szCs w:val="32"/>
          <w:shd w:val="clear" w:color="auto" w:fill="FFFFFF"/>
        </w:rPr>
        <w:t xml:space="preserve"> </w:t>
      </w:r>
      <w:r>
        <w:rPr>
          <w:rFonts w:hint="eastAsia" w:ascii="仿宋" w:hAnsi="仿宋" w:eastAsia="仿宋"/>
          <w:sz w:val="32"/>
          <w:szCs w:val="32"/>
          <w:shd w:val="clear" w:color="auto" w:fill="FFFFFF"/>
        </w:rPr>
        <w:t>机关运行经费较上年决算数增加</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万元，增长</w:t>
      </w:r>
      <w:r>
        <w:rPr>
          <w:rFonts w:ascii="Times New Roman" w:hAnsi="Times New Roman" w:eastAsia="仿宋" w:cs="Times New Roman"/>
          <w:sz w:val="32"/>
          <w:szCs w:val="32"/>
          <w:shd w:val="clear" w:color="auto" w:fill="FFFFFF"/>
        </w:rPr>
        <w:t>0.0%</w:t>
      </w:r>
      <w:r>
        <w:rPr>
          <w:rFonts w:hint="eastAsia" w:ascii="仿宋" w:hAnsi="仿宋" w:eastAsia="仿宋"/>
          <w:sz w:val="32"/>
          <w:szCs w:val="32"/>
          <w:shd w:val="clear" w:color="auto" w:fill="FFFFFF"/>
        </w:rPr>
        <w:t>。按照部门决算列报口径，我单位不在机关运行经费统计范围之内。</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shd w:val="clear" w:color="auto" w:fill="FFFFFF"/>
        </w:rPr>
      </w:pPr>
      <w:r>
        <w:rPr>
          <w:rFonts w:hint="eastAsia" w:ascii="仿宋" w:hAnsi="仿宋" w:eastAsia="仿宋"/>
          <w:sz w:val="32"/>
          <w:szCs w:val="32"/>
          <w:shd w:val="clear" w:color="auto" w:fill="FFFFFF"/>
        </w:rPr>
        <w:t>本年度会议费支出</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万元，较上年决算数增加</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万元，增长</w:t>
      </w:r>
      <w:r>
        <w:rPr>
          <w:rFonts w:ascii="Times New Roman" w:hAnsi="Times New Roman" w:eastAsia="仿宋" w:cs="Times New Roman"/>
          <w:sz w:val="32"/>
          <w:szCs w:val="32"/>
          <w:shd w:val="clear" w:color="auto" w:fill="FFFFFF"/>
        </w:rPr>
        <w:t>0.0%</w:t>
      </w:r>
      <w:r>
        <w:rPr>
          <w:rFonts w:hint="eastAsia" w:ascii="仿宋" w:hAnsi="仿宋" w:eastAsia="仿宋"/>
          <w:sz w:val="32"/>
          <w:szCs w:val="32"/>
          <w:shd w:val="clear" w:color="auto" w:fill="FFFFFF"/>
        </w:rPr>
        <w:t>，与上年决算数基本持平。本年度培训费支出</w:t>
      </w:r>
      <w:r>
        <w:rPr>
          <w:rFonts w:ascii="Times New Roman" w:hAnsi="Times New Roman" w:eastAsia="仿宋" w:cs="Times New Roman"/>
          <w:sz w:val="32"/>
          <w:szCs w:val="32"/>
          <w:shd w:val="clear" w:color="auto" w:fill="FFFFFF"/>
        </w:rPr>
        <w:t xml:space="preserve"> 1.41</w:t>
      </w:r>
      <w:r>
        <w:rPr>
          <w:rFonts w:hint="eastAsia" w:ascii="仿宋" w:hAnsi="仿宋" w:eastAsia="仿宋"/>
          <w:sz w:val="32"/>
          <w:szCs w:val="32"/>
          <w:shd w:val="clear" w:color="auto" w:fill="FFFFFF"/>
        </w:rPr>
        <w:t>万元，较上年决算数增加</w:t>
      </w:r>
      <w:r>
        <w:rPr>
          <w:rFonts w:ascii="Times New Roman" w:hAnsi="Times New Roman" w:eastAsia="仿宋" w:cs="Times New Roman"/>
          <w:sz w:val="32"/>
          <w:szCs w:val="32"/>
          <w:shd w:val="clear" w:color="auto" w:fill="FFFFFF"/>
        </w:rPr>
        <w:t>0.12</w:t>
      </w:r>
      <w:r>
        <w:rPr>
          <w:rFonts w:hint="eastAsia" w:ascii="仿宋" w:hAnsi="仿宋" w:eastAsia="仿宋"/>
          <w:sz w:val="32"/>
          <w:szCs w:val="32"/>
          <w:shd w:val="clear" w:color="auto" w:fill="FFFFFF"/>
        </w:rPr>
        <w:t>万元，增长</w:t>
      </w:r>
      <w:r>
        <w:rPr>
          <w:rFonts w:ascii="Times New Roman" w:hAnsi="Times New Roman" w:eastAsia="仿宋" w:cs="Times New Roman"/>
          <w:sz w:val="32"/>
          <w:szCs w:val="32"/>
          <w:shd w:val="clear" w:color="auto" w:fill="FFFFFF"/>
        </w:rPr>
        <w:t>9.3%</w:t>
      </w:r>
      <w:r>
        <w:rPr>
          <w:rFonts w:hint="eastAsia" w:ascii="仿宋" w:hAnsi="仿宋" w:eastAsia="仿宋"/>
          <w:sz w:val="32"/>
          <w:szCs w:val="32"/>
          <w:shd w:val="clear" w:color="auto" w:fill="FFFFFF"/>
        </w:rPr>
        <w:t>，主要原因是本年度增加了职工业务培训次数及人次。</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（二）国有资产占用情况说明</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rPr>
      </w:pPr>
      <w:r>
        <w:rPr>
          <w:rFonts w:hint="eastAsia" w:ascii="仿宋" w:hAnsi="仿宋" w:eastAsia="仿宋"/>
          <w:sz w:val="32"/>
          <w:szCs w:val="32"/>
          <w:shd w:val="clear" w:color="auto" w:fill="FFFFFF"/>
        </w:rPr>
        <w:t>截至</w:t>
      </w: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w:t>
      </w:r>
      <w:r>
        <w:rPr>
          <w:rFonts w:ascii="Times New Roman" w:hAnsi="Times New Roman" w:eastAsia="仿宋" w:cs="Times New Roman"/>
          <w:sz w:val="32"/>
          <w:szCs w:val="32"/>
          <w:shd w:val="clear" w:color="auto" w:fill="FFFFFF"/>
        </w:rPr>
        <w:t>12</w:t>
      </w:r>
      <w:r>
        <w:rPr>
          <w:rFonts w:hint="eastAsia" w:ascii="仿宋" w:hAnsi="仿宋" w:eastAsia="仿宋"/>
          <w:sz w:val="32"/>
          <w:szCs w:val="32"/>
          <w:shd w:val="clear" w:color="auto" w:fill="FFFFFF"/>
        </w:rPr>
        <w:t>月</w:t>
      </w:r>
      <w:r>
        <w:rPr>
          <w:rFonts w:ascii="Times New Roman" w:hAnsi="Times New Roman" w:eastAsia="仿宋" w:cs="Times New Roman"/>
          <w:sz w:val="32"/>
          <w:szCs w:val="32"/>
          <w:shd w:val="clear" w:color="auto" w:fill="FFFFFF"/>
        </w:rPr>
        <w:t>31</w:t>
      </w:r>
      <w:r>
        <w:rPr>
          <w:rFonts w:hint="eastAsia" w:ascii="仿宋" w:hAnsi="仿宋" w:eastAsia="仿宋"/>
          <w:sz w:val="32"/>
          <w:szCs w:val="32"/>
          <w:shd w:val="clear" w:color="auto" w:fill="FFFFFF"/>
        </w:rPr>
        <w:t>日，本部门共有车辆</w:t>
      </w:r>
      <w:r>
        <w:rPr>
          <w:rFonts w:ascii="Times New Roman" w:hAnsi="Times New Roman" w:eastAsia="仿宋" w:cs="Times New Roman"/>
          <w:sz w:val="32"/>
          <w:szCs w:val="32"/>
          <w:shd w:val="clear" w:color="auto" w:fill="FFFFFF"/>
        </w:rPr>
        <w:t>0</w:t>
      </w:r>
      <w:r>
        <w:rPr>
          <w:rFonts w:hint="eastAsia" w:ascii="仿宋" w:hAnsi="仿宋" w:eastAsia="仿宋"/>
          <w:sz w:val="32"/>
          <w:szCs w:val="32"/>
          <w:shd w:val="clear" w:color="auto" w:fill="FFFFFF"/>
        </w:rPr>
        <w:t>辆，其中，副部（省）级及以上领导用车</w:t>
      </w:r>
      <w:r>
        <w:rPr>
          <w:rFonts w:ascii="Times New Roman" w:hAnsi="Times New Roman" w:eastAsia="仿宋" w:cs="Times New Roman"/>
          <w:sz w:val="32"/>
          <w:szCs w:val="32"/>
          <w:shd w:val="clear" w:color="auto" w:fill="FFFFFF"/>
        </w:rPr>
        <w:t>0</w:t>
      </w:r>
      <w:r>
        <w:rPr>
          <w:rFonts w:hint="eastAsia" w:ascii="仿宋" w:hAnsi="仿宋" w:eastAsia="仿宋"/>
          <w:sz w:val="32"/>
          <w:szCs w:val="32"/>
          <w:shd w:val="clear" w:color="auto" w:fill="FFFFFF"/>
        </w:rPr>
        <w:t>辆、主要领导干部用车</w:t>
      </w:r>
      <w:r>
        <w:rPr>
          <w:rFonts w:ascii="Times New Roman" w:hAnsi="Times New Roman" w:eastAsia="仿宋" w:cs="Times New Roman"/>
          <w:sz w:val="32"/>
          <w:szCs w:val="32"/>
          <w:shd w:val="clear" w:color="auto" w:fill="FFFFFF"/>
        </w:rPr>
        <w:t>0</w:t>
      </w:r>
      <w:r>
        <w:rPr>
          <w:rFonts w:hint="eastAsia" w:ascii="仿宋" w:hAnsi="仿宋" w:eastAsia="仿宋"/>
          <w:sz w:val="32"/>
          <w:szCs w:val="32"/>
          <w:shd w:val="clear" w:color="auto" w:fill="FFFFFF"/>
        </w:rPr>
        <w:t>辆、机要通信用车</w:t>
      </w:r>
      <w:r>
        <w:rPr>
          <w:rFonts w:ascii="Times New Roman" w:hAnsi="Times New Roman" w:eastAsia="仿宋" w:cs="Times New Roman"/>
          <w:sz w:val="32"/>
          <w:szCs w:val="32"/>
          <w:shd w:val="clear" w:color="auto" w:fill="FFFFFF"/>
        </w:rPr>
        <w:t>0</w:t>
      </w:r>
      <w:r>
        <w:rPr>
          <w:rFonts w:hint="eastAsia" w:ascii="仿宋" w:hAnsi="仿宋" w:eastAsia="仿宋"/>
          <w:sz w:val="32"/>
          <w:szCs w:val="32"/>
          <w:shd w:val="clear" w:color="auto" w:fill="FFFFFF"/>
        </w:rPr>
        <w:t>辆、应急保障用车</w:t>
      </w:r>
      <w:r>
        <w:rPr>
          <w:rFonts w:ascii="Times New Roman" w:hAnsi="Times New Roman" w:eastAsia="仿宋" w:cs="Times New Roman"/>
          <w:sz w:val="32"/>
          <w:szCs w:val="32"/>
          <w:shd w:val="clear" w:color="auto" w:fill="FFFFFF"/>
        </w:rPr>
        <w:t>0</w:t>
      </w:r>
      <w:r>
        <w:rPr>
          <w:rFonts w:hint="eastAsia" w:ascii="仿宋" w:hAnsi="仿宋" w:eastAsia="仿宋"/>
          <w:sz w:val="32"/>
          <w:szCs w:val="32"/>
          <w:shd w:val="clear" w:color="auto" w:fill="FFFFFF"/>
        </w:rPr>
        <w:t>辆、执法执勤用车</w:t>
      </w:r>
      <w:r>
        <w:rPr>
          <w:rFonts w:ascii="Times New Roman" w:hAnsi="Times New Roman" w:eastAsia="仿宋" w:cs="Times New Roman"/>
          <w:sz w:val="32"/>
          <w:szCs w:val="32"/>
          <w:shd w:val="clear" w:color="auto" w:fill="FFFFFF"/>
        </w:rPr>
        <w:t>0</w:t>
      </w:r>
      <w:r>
        <w:rPr>
          <w:rFonts w:hint="eastAsia" w:ascii="仿宋" w:hAnsi="仿宋" w:eastAsia="仿宋"/>
          <w:sz w:val="32"/>
          <w:szCs w:val="32"/>
          <w:shd w:val="clear" w:color="auto" w:fill="FFFFFF"/>
        </w:rPr>
        <w:t>辆，特种专业技术用车</w:t>
      </w:r>
      <w:r>
        <w:rPr>
          <w:rFonts w:ascii="Times New Roman" w:hAnsi="Times New Roman" w:eastAsia="仿宋" w:cs="Times New Roman"/>
          <w:sz w:val="32"/>
          <w:szCs w:val="32"/>
          <w:shd w:val="clear" w:color="auto" w:fill="FFFFFF"/>
        </w:rPr>
        <w:t>0</w:t>
      </w:r>
      <w:r>
        <w:rPr>
          <w:rFonts w:hint="eastAsia" w:ascii="仿宋" w:hAnsi="仿宋" w:eastAsia="仿宋"/>
          <w:sz w:val="32"/>
          <w:szCs w:val="32"/>
          <w:shd w:val="clear" w:color="auto" w:fill="FFFFFF"/>
        </w:rPr>
        <w:t>辆，离退休干部用车</w:t>
      </w:r>
      <w:r>
        <w:rPr>
          <w:rFonts w:ascii="Times New Roman" w:hAnsi="Times New Roman" w:eastAsia="仿宋" w:cs="Times New Roman"/>
          <w:sz w:val="32"/>
          <w:szCs w:val="32"/>
          <w:shd w:val="clear" w:color="auto" w:fill="FFFFFF"/>
        </w:rPr>
        <w:t>0</w:t>
      </w:r>
      <w:r>
        <w:rPr>
          <w:rFonts w:hint="eastAsia" w:ascii="仿宋" w:hAnsi="仿宋" w:eastAsia="仿宋"/>
          <w:sz w:val="32"/>
          <w:szCs w:val="32"/>
          <w:shd w:val="clear" w:color="auto" w:fill="FFFFFF"/>
        </w:rPr>
        <w:t>辆，其他用车</w:t>
      </w:r>
      <w:r>
        <w:rPr>
          <w:rFonts w:ascii="Times New Roman" w:hAnsi="Times New Roman" w:eastAsia="仿宋" w:cs="Times New Roman"/>
          <w:sz w:val="32"/>
          <w:szCs w:val="32"/>
          <w:shd w:val="clear" w:color="auto" w:fill="FFFFFF"/>
        </w:rPr>
        <w:t>0</w:t>
      </w:r>
      <w:r>
        <w:rPr>
          <w:rFonts w:hint="eastAsia" w:ascii="仿宋" w:hAnsi="仿宋" w:eastAsia="仿宋"/>
          <w:sz w:val="32"/>
          <w:szCs w:val="32"/>
          <w:shd w:val="clear" w:color="auto" w:fill="FFFFFF"/>
        </w:rPr>
        <w:t>辆。单价</w:t>
      </w:r>
      <w:r>
        <w:rPr>
          <w:rFonts w:ascii="Times New Roman" w:hAnsi="Times New Roman" w:eastAsia="仿宋" w:cs="Times New Roman"/>
          <w:sz w:val="32"/>
          <w:szCs w:val="32"/>
          <w:shd w:val="clear" w:color="auto" w:fill="FFFFFF"/>
        </w:rPr>
        <w:t>50</w:t>
      </w:r>
      <w:r>
        <w:rPr>
          <w:rFonts w:hint="eastAsia" w:ascii="仿宋" w:hAnsi="仿宋" w:eastAsia="仿宋"/>
          <w:sz w:val="32"/>
          <w:szCs w:val="32"/>
          <w:shd w:val="clear" w:color="auto" w:fill="FFFFFF"/>
        </w:rPr>
        <w:t>万元（含）以上通用设备</w:t>
      </w:r>
      <w:r>
        <w:rPr>
          <w:rFonts w:ascii="Times New Roman" w:hAnsi="Times New Roman" w:eastAsia="仿宋" w:cs="Times New Roman"/>
          <w:sz w:val="32"/>
          <w:szCs w:val="32"/>
          <w:shd w:val="clear" w:color="auto" w:fill="FFFFFF"/>
        </w:rPr>
        <w:t>0</w:t>
      </w:r>
      <w:r>
        <w:rPr>
          <w:rFonts w:hint="eastAsia" w:ascii="仿宋" w:hAnsi="仿宋" w:eastAsia="仿宋"/>
          <w:sz w:val="32"/>
          <w:szCs w:val="32"/>
          <w:shd w:val="clear" w:color="auto" w:fill="FFFFFF"/>
        </w:rPr>
        <w:t>台（套），单价</w:t>
      </w:r>
      <w:r>
        <w:rPr>
          <w:rFonts w:ascii="Times New Roman" w:hAnsi="Times New Roman" w:eastAsia="仿宋" w:cs="Times New Roman"/>
          <w:sz w:val="32"/>
          <w:szCs w:val="32"/>
          <w:shd w:val="clear" w:color="auto" w:fill="FFFFFF"/>
        </w:rPr>
        <w:t>100</w:t>
      </w:r>
      <w:r>
        <w:rPr>
          <w:rFonts w:hint="eastAsia" w:ascii="仿宋" w:hAnsi="仿宋" w:eastAsia="仿宋"/>
          <w:sz w:val="32"/>
          <w:szCs w:val="32"/>
          <w:shd w:val="clear" w:color="auto" w:fill="FFFFFF"/>
        </w:rPr>
        <w:t>万元（含）以上专用设备</w:t>
      </w:r>
      <w:r>
        <w:rPr>
          <w:rFonts w:ascii="Times New Roman" w:hAnsi="Times New Roman" w:eastAsia="仿宋" w:cs="Times New Roman"/>
          <w:sz w:val="32"/>
          <w:szCs w:val="32"/>
          <w:shd w:val="clear" w:color="auto" w:fill="FFFFFF"/>
        </w:rPr>
        <w:t>0</w:t>
      </w:r>
      <w:r>
        <w:rPr>
          <w:rFonts w:hint="eastAsia" w:ascii="仿宋" w:hAnsi="仿宋" w:eastAsia="仿宋"/>
          <w:sz w:val="32"/>
          <w:szCs w:val="32"/>
          <w:shd w:val="clear" w:color="auto" w:fill="FFFFFF"/>
        </w:rPr>
        <w:t>台（套）。</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（三）政府采购支出情况说明</w:t>
      </w:r>
    </w:p>
    <w:p>
      <w:pPr>
        <w:pStyle w:val="25"/>
        <w:autoSpaceDE w:val="0"/>
        <w:spacing w:before="0" w:beforeAutospacing="0" w:after="0" w:afterAutospacing="0" w:line="594" w:lineRule="exact"/>
        <w:ind w:firstLine="640" w:firstLineChars="200"/>
        <w:rPr>
          <w:rFonts w:ascii="Times New Roman" w:hAnsi="Times New Roman" w:eastAsia="仿宋" w:cs="Times New Roman"/>
          <w:b/>
          <w:bCs/>
          <w:sz w:val="32"/>
          <w:szCs w:val="32"/>
          <w:shd w:val="clear" w:color="auto" w:fill="FFFF00"/>
        </w:rPr>
      </w:pP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年度本部门政府采购支出总额</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万元，其中：政府采购货物支出</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万元、政府采购工程支出</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万元、政府采购服务支出</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万元。授予中小企业合同金额</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万元，占政府采购支出总额的</w:t>
      </w:r>
      <w:r>
        <w:rPr>
          <w:rFonts w:ascii="Times New Roman" w:hAnsi="Times New Roman" w:eastAsia="仿宋" w:cs="Times New Roman"/>
          <w:sz w:val="32"/>
          <w:szCs w:val="32"/>
          <w:shd w:val="clear" w:color="auto" w:fill="FFFFFF"/>
        </w:rPr>
        <w:t>0.0%</w:t>
      </w:r>
      <w:r>
        <w:rPr>
          <w:rFonts w:hint="eastAsia" w:ascii="仿宋" w:hAnsi="仿宋" w:eastAsia="仿宋"/>
          <w:sz w:val="32"/>
          <w:szCs w:val="32"/>
          <w:shd w:val="clear" w:color="auto" w:fill="FFFFFF"/>
        </w:rPr>
        <w:t xml:space="preserve">，其中：授予小微企业合同金额 </w:t>
      </w:r>
      <w:r>
        <w:rPr>
          <w:rFonts w:ascii="Times New Roman" w:hAnsi="Times New Roman" w:eastAsia="仿宋" w:cs="Times New Roman"/>
          <w:sz w:val="32"/>
          <w:szCs w:val="32"/>
          <w:shd w:val="clear" w:color="auto" w:fill="FFFFFF"/>
        </w:rPr>
        <w:t>0.00</w:t>
      </w:r>
      <w:r>
        <w:rPr>
          <w:rFonts w:hint="eastAsia" w:ascii="仿宋" w:hAnsi="仿宋" w:eastAsia="仿宋"/>
          <w:sz w:val="32"/>
          <w:szCs w:val="32"/>
          <w:shd w:val="clear" w:color="auto" w:fill="FFFFFF"/>
        </w:rPr>
        <w:t>万元，占政府采购支出总额的</w:t>
      </w:r>
      <w:r>
        <w:rPr>
          <w:rFonts w:ascii="Times New Roman" w:hAnsi="Times New Roman" w:eastAsia="仿宋" w:cs="Times New Roman"/>
          <w:sz w:val="32"/>
          <w:szCs w:val="32"/>
          <w:shd w:val="clear" w:color="auto" w:fill="FFFFFF"/>
        </w:rPr>
        <w:t>0.0%</w:t>
      </w:r>
      <w:r>
        <w:rPr>
          <w:rFonts w:hint="eastAsia" w:ascii="仿宋" w:hAnsi="仿宋" w:eastAsia="仿宋"/>
          <w:sz w:val="32"/>
          <w:szCs w:val="32"/>
          <w:shd w:val="clear" w:color="auto" w:fill="FFFFFF"/>
        </w:rPr>
        <w:t>。</w:t>
      </w:r>
      <w:r>
        <w:rPr>
          <w:rFonts w:ascii="Times New Roman" w:hAnsi="Times New Roman" w:eastAsia="仿宋" w:cs="Times New Roman"/>
          <w:sz w:val="32"/>
          <w:szCs w:val="32"/>
          <w:shd w:val="clear" w:color="auto" w:fill="FFFFFF"/>
        </w:rPr>
        <w:t>2020</w:t>
      </w:r>
      <w:r>
        <w:rPr>
          <w:rFonts w:hint="eastAsia" w:ascii="仿宋" w:hAnsi="仿宋" w:eastAsia="仿宋"/>
          <w:sz w:val="32"/>
          <w:szCs w:val="32"/>
          <w:shd w:val="clear" w:color="auto" w:fill="FFFFFF"/>
        </w:rPr>
        <w:t>年度我单位未发生政府采购事项，无相关经费支出。</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五、预算绩效管理情况说明</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（一）预算绩效管理工作开展情况</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shd w:val="clear" w:color="auto" w:fill="FFFFFF"/>
        </w:rPr>
      </w:pPr>
      <w:r>
        <w:rPr>
          <w:rFonts w:hint="eastAsia" w:ascii="仿宋" w:hAnsi="仿宋" w:eastAsia="仿宋"/>
          <w:sz w:val="32"/>
          <w:szCs w:val="32"/>
          <w:shd w:val="clear" w:color="auto" w:fill="FFFFFF"/>
        </w:rPr>
        <w:t>根据预算绩效管理要求，本单位对</w:t>
      </w:r>
      <w:r>
        <w:rPr>
          <w:rFonts w:ascii="Times New Roman" w:hAnsi="Times New Roman" w:eastAsia="仿宋" w:cs="Times New Roman"/>
          <w:sz w:val="32"/>
          <w:szCs w:val="32"/>
          <w:shd w:val="clear" w:color="auto" w:fill="FFFFFF"/>
        </w:rPr>
        <w:t>1</w:t>
      </w:r>
      <w:r>
        <w:rPr>
          <w:rFonts w:hint="eastAsia" w:ascii="仿宋" w:hAnsi="仿宋" w:eastAsia="仿宋"/>
          <w:sz w:val="32"/>
          <w:szCs w:val="32"/>
          <w:shd w:val="clear" w:color="auto" w:fill="FFFFFF"/>
        </w:rPr>
        <w:t>个项目开展了绩效自评，其中，以填报目标自评表形式开展自评</w:t>
      </w:r>
      <w:r>
        <w:rPr>
          <w:rFonts w:ascii="Times New Roman" w:hAnsi="Times New Roman" w:eastAsia="仿宋" w:cs="Times New Roman"/>
          <w:sz w:val="32"/>
          <w:szCs w:val="32"/>
          <w:shd w:val="clear" w:color="auto" w:fill="FFFFFF"/>
        </w:rPr>
        <w:t>1</w:t>
      </w:r>
      <w:r>
        <w:rPr>
          <w:rFonts w:hint="eastAsia" w:ascii="仿宋" w:hAnsi="仿宋" w:eastAsia="仿宋"/>
          <w:sz w:val="32"/>
          <w:szCs w:val="32"/>
          <w:shd w:val="clear" w:color="auto" w:fill="FFFFFF"/>
        </w:rPr>
        <w:t>项，涉及资金</w:t>
      </w:r>
      <w:r>
        <w:rPr>
          <w:rFonts w:ascii="Times New Roman" w:hAnsi="Times New Roman" w:eastAsia="仿宋" w:cs="Times New Roman"/>
          <w:sz w:val="32"/>
          <w:szCs w:val="32"/>
          <w:shd w:val="clear" w:color="auto" w:fill="FFFFFF"/>
        </w:rPr>
        <w:t>20</w:t>
      </w:r>
      <w:r>
        <w:rPr>
          <w:rFonts w:hint="eastAsia" w:ascii="仿宋" w:hAnsi="仿宋" w:eastAsia="仿宋"/>
          <w:sz w:val="32"/>
          <w:szCs w:val="32"/>
          <w:shd w:val="clear" w:color="auto" w:fill="FFFFFF"/>
        </w:rPr>
        <w:t>万元。从自评情况来看，本单位按时完成了该项目，完成率为</w:t>
      </w:r>
      <w:r>
        <w:rPr>
          <w:rFonts w:ascii="Times New Roman" w:hAnsi="Times New Roman" w:eastAsia="仿宋" w:cs="Times New Roman"/>
          <w:sz w:val="32"/>
          <w:szCs w:val="32"/>
          <w:shd w:val="clear" w:color="auto" w:fill="FFFFFF"/>
        </w:rPr>
        <w:t>100.0%</w:t>
      </w:r>
      <w:r>
        <w:rPr>
          <w:rFonts w:hint="eastAsia" w:ascii="仿宋" w:hAnsi="仿宋" w:eastAsia="仿宋"/>
          <w:sz w:val="32"/>
          <w:szCs w:val="32"/>
          <w:shd w:val="clear" w:color="auto" w:fill="FFFFFF"/>
        </w:rPr>
        <w:t>。</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（二）绩效自评结果</w:t>
      </w:r>
    </w:p>
    <w:p>
      <w:pPr>
        <w:pStyle w:val="25"/>
        <w:autoSpaceDE w:val="0"/>
        <w:spacing w:before="0" w:beforeAutospacing="0" w:after="0" w:afterAutospacing="0" w:line="594" w:lineRule="exact"/>
        <w:ind w:firstLine="643" w:firstLineChars="200"/>
        <w:rPr>
          <w:rFonts w:ascii="Times New Roman" w:hAnsi="Times New Roman" w:eastAsia="仿宋" w:cs="Times New Roman"/>
          <w:b/>
          <w:bCs/>
          <w:sz w:val="32"/>
          <w:szCs w:val="32"/>
          <w:shd w:val="clear" w:color="auto" w:fill="FFFFFF"/>
        </w:rPr>
      </w:pPr>
      <w:r>
        <w:rPr>
          <w:rStyle w:val="45"/>
          <w:rFonts w:eastAsia="仿宋"/>
          <w:sz w:val="32"/>
          <w:szCs w:val="32"/>
          <w:shd w:val="clear" w:color="auto" w:fill="FFFFFF"/>
        </w:rPr>
        <w:t>1.</w:t>
      </w:r>
      <w:r>
        <w:rPr>
          <w:rStyle w:val="45"/>
          <w:rFonts w:hint="eastAsia" w:ascii="仿宋" w:hAnsi="仿宋" w:eastAsia="仿宋"/>
          <w:sz w:val="32"/>
          <w:szCs w:val="32"/>
          <w:shd w:val="clear" w:color="auto" w:fill="FFFFFF"/>
        </w:rPr>
        <w:t>绩效自评表</w:t>
      </w:r>
    </w:p>
    <w:p>
      <w:pPr>
        <w:pStyle w:val="25"/>
        <w:autoSpaceDE w:val="0"/>
        <w:spacing w:before="0" w:beforeAutospacing="0" w:after="0" w:afterAutospacing="0" w:line="594" w:lineRule="exact"/>
        <w:jc w:val="center"/>
        <w:rPr>
          <w:rFonts w:ascii="仿宋" w:hAnsi="仿宋" w:eastAsia="仿宋"/>
          <w:sz w:val="32"/>
          <w:szCs w:val="32"/>
          <w:shd w:val="clear" w:color="auto" w:fill="FFFFFF"/>
        </w:rPr>
      </w:pPr>
      <w:r>
        <w:rPr>
          <w:rStyle w:val="45"/>
          <w:rFonts w:eastAsia="仿宋"/>
          <w:b w:val="0"/>
          <w:bCs w:val="0"/>
          <w:sz w:val="32"/>
          <w:szCs w:val="32"/>
          <w:shd w:val="clear" w:color="auto" w:fill="FFFFFF"/>
        </w:rPr>
        <w:t>2020</w:t>
      </w:r>
      <w:r>
        <w:rPr>
          <w:rStyle w:val="45"/>
          <w:rFonts w:hint="eastAsia" w:ascii="仿宋" w:hAnsi="仿宋" w:eastAsia="仿宋"/>
          <w:b w:val="0"/>
          <w:bCs w:val="0"/>
          <w:sz w:val="32"/>
          <w:szCs w:val="32"/>
          <w:shd w:val="clear" w:color="auto" w:fill="FFFFFF"/>
        </w:rPr>
        <w:t>年项目资金绩效目标自评表</w:t>
      </w:r>
    </w:p>
    <w:tbl>
      <w:tblPr>
        <w:tblStyle w:val="13"/>
        <w:tblW w:w="8140" w:type="dxa"/>
        <w:tblInd w:w="93" w:type="dxa"/>
        <w:tblLayout w:type="fixed"/>
        <w:tblCellMar>
          <w:top w:w="0" w:type="dxa"/>
          <w:left w:w="108" w:type="dxa"/>
          <w:bottom w:w="0" w:type="dxa"/>
          <w:right w:w="108" w:type="dxa"/>
        </w:tblCellMar>
      </w:tblPr>
      <w:tblGrid>
        <w:gridCol w:w="840"/>
        <w:gridCol w:w="1360"/>
        <w:gridCol w:w="1440"/>
        <w:gridCol w:w="1110"/>
        <w:gridCol w:w="1410"/>
        <w:gridCol w:w="690"/>
        <w:gridCol w:w="675"/>
        <w:gridCol w:w="615"/>
      </w:tblGrid>
      <w:tr>
        <w:tblPrEx>
          <w:tblCellMar>
            <w:top w:w="0" w:type="dxa"/>
            <w:left w:w="108" w:type="dxa"/>
            <w:bottom w:w="0" w:type="dxa"/>
            <w:right w:w="108" w:type="dxa"/>
          </w:tblCellMar>
        </w:tblPrEx>
        <w:trPr>
          <w:trHeight w:val="420" w:hRule="atLeast"/>
        </w:trPr>
        <w:tc>
          <w:tcPr>
            <w:tcW w:w="8140" w:type="dxa"/>
            <w:gridSpan w:val="8"/>
            <w:tcBorders>
              <w:top w:val="single" w:color="auto" w:sz="4" w:space="0"/>
              <w:left w:val="single" w:color="auto" w:sz="4" w:space="0"/>
              <w:bottom w:val="single" w:color="auto" w:sz="4" w:space="0"/>
              <w:right w:val="single" w:color="auto" w:sz="4" w:space="0"/>
            </w:tcBorders>
            <w:vAlign w:val="center"/>
          </w:tcPr>
          <w:p>
            <w:pPr>
              <w:textAlignment w:val="center"/>
              <w:rPr>
                <w:color w:val="000000"/>
                <w:sz w:val="18"/>
                <w:szCs w:val="18"/>
              </w:rPr>
            </w:pPr>
            <w:r>
              <w:rPr>
                <w:rFonts w:hint="eastAsia"/>
                <w:color w:val="000000"/>
                <w:sz w:val="18"/>
                <w:szCs w:val="18"/>
              </w:rPr>
              <w:t xml:space="preserve">填报单位：垫江县交通建设工程服务中心                       </w:t>
            </w:r>
          </w:p>
        </w:tc>
      </w:tr>
      <w:tr>
        <w:tblPrEx>
          <w:tblCellMar>
            <w:top w:w="0" w:type="dxa"/>
            <w:left w:w="108" w:type="dxa"/>
            <w:bottom w:w="0" w:type="dxa"/>
            <w:right w:w="108" w:type="dxa"/>
          </w:tblCellMar>
        </w:tblPrEx>
        <w:trPr>
          <w:trHeight w:val="600" w:hRule="atLeast"/>
        </w:trPr>
        <w:tc>
          <w:tcPr>
            <w:tcW w:w="840" w:type="dxa"/>
            <w:tcBorders>
              <w:top w:val="single" w:color="auto" w:sz="4" w:space="0"/>
              <w:left w:val="single" w:color="000000" w:sz="4" w:space="0"/>
              <w:bottom w:val="single" w:color="000000" w:sz="4" w:space="0"/>
              <w:right w:val="single" w:color="000000" w:sz="4" w:space="0"/>
            </w:tcBorders>
            <w:vAlign w:val="center"/>
          </w:tcPr>
          <w:p>
            <w:pPr>
              <w:jc w:val="center"/>
              <w:textAlignment w:val="center"/>
              <w:rPr>
                <w:color w:val="000000"/>
                <w:sz w:val="18"/>
                <w:szCs w:val="18"/>
              </w:rPr>
            </w:pPr>
            <w:r>
              <w:rPr>
                <w:rFonts w:hint="eastAsia"/>
                <w:color w:val="000000"/>
                <w:sz w:val="18"/>
                <w:szCs w:val="18"/>
              </w:rPr>
              <w:t>项目名称</w:t>
            </w:r>
          </w:p>
        </w:tc>
        <w:tc>
          <w:tcPr>
            <w:tcW w:w="5320" w:type="dxa"/>
            <w:gridSpan w:val="4"/>
            <w:tcBorders>
              <w:top w:val="single" w:color="auto" w:sz="4" w:space="0"/>
              <w:left w:val="nil"/>
              <w:bottom w:val="single" w:color="000000" w:sz="4" w:space="0"/>
              <w:right w:val="single" w:color="000000" w:sz="4" w:space="0"/>
            </w:tcBorders>
            <w:vAlign w:val="center"/>
          </w:tcPr>
          <w:p>
            <w:pPr>
              <w:jc w:val="center"/>
              <w:textAlignment w:val="center"/>
              <w:rPr>
                <w:color w:val="000000"/>
                <w:sz w:val="18"/>
                <w:szCs w:val="18"/>
              </w:rPr>
            </w:pPr>
            <w:r>
              <w:rPr>
                <w:rFonts w:hint="eastAsia"/>
                <w:color w:val="000000"/>
                <w:sz w:val="18"/>
                <w:szCs w:val="18"/>
              </w:rPr>
              <w:t>公路质量安全检查工作经费</w:t>
            </w:r>
          </w:p>
        </w:tc>
        <w:tc>
          <w:tcPr>
            <w:tcW w:w="690" w:type="dxa"/>
            <w:tcBorders>
              <w:top w:val="single" w:color="auto" w:sz="4" w:space="0"/>
              <w:left w:val="nil"/>
              <w:bottom w:val="single" w:color="000000" w:sz="4" w:space="0"/>
              <w:right w:val="single" w:color="000000" w:sz="4" w:space="0"/>
            </w:tcBorders>
            <w:vAlign w:val="center"/>
          </w:tcPr>
          <w:p>
            <w:pPr>
              <w:jc w:val="center"/>
              <w:textAlignment w:val="center"/>
              <w:rPr>
                <w:color w:val="000000"/>
                <w:sz w:val="18"/>
                <w:szCs w:val="18"/>
              </w:rPr>
            </w:pPr>
            <w:r>
              <w:rPr>
                <w:rFonts w:hint="eastAsia"/>
                <w:color w:val="000000"/>
                <w:sz w:val="18"/>
                <w:szCs w:val="18"/>
              </w:rPr>
              <w:t>自评总分（分)</w:t>
            </w:r>
          </w:p>
        </w:tc>
        <w:tc>
          <w:tcPr>
            <w:tcW w:w="1290" w:type="dxa"/>
            <w:gridSpan w:val="2"/>
            <w:tcBorders>
              <w:top w:val="single" w:color="auto" w:sz="4" w:space="0"/>
              <w:left w:val="nil"/>
              <w:bottom w:val="single" w:color="000000" w:sz="4" w:space="0"/>
              <w:right w:val="single" w:color="000000" w:sz="4" w:space="0"/>
            </w:tcBorders>
            <w:vAlign w:val="center"/>
          </w:tcPr>
          <w:p>
            <w:pPr>
              <w:jc w:val="center"/>
              <w:textAlignment w:val="center"/>
              <w:rPr>
                <w:color w:val="000000"/>
                <w:sz w:val="18"/>
                <w:szCs w:val="18"/>
              </w:rPr>
            </w:pPr>
            <w:r>
              <w:rPr>
                <w:rFonts w:hint="eastAsia"/>
                <w:color w:val="000000"/>
                <w:sz w:val="18"/>
                <w:szCs w:val="18"/>
              </w:rPr>
              <w:t>100</w:t>
            </w:r>
          </w:p>
        </w:tc>
      </w:tr>
      <w:tr>
        <w:tblPrEx>
          <w:tblCellMar>
            <w:top w:w="0" w:type="dxa"/>
            <w:left w:w="108" w:type="dxa"/>
            <w:bottom w:w="0" w:type="dxa"/>
            <w:right w:w="108" w:type="dxa"/>
          </w:tblCellMar>
        </w:tblPrEx>
        <w:trPr>
          <w:trHeight w:val="582"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000000"/>
                <w:sz w:val="18"/>
                <w:szCs w:val="18"/>
              </w:rPr>
            </w:pPr>
            <w:r>
              <w:rPr>
                <w:rFonts w:hint="eastAsia"/>
                <w:color w:val="000000"/>
                <w:sz w:val="18"/>
                <w:szCs w:val="18"/>
              </w:rPr>
              <w:t>业务主管部门</w:t>
            </w:r>
          </w:p>
        </w:tc>
        <w:tc>
          <w:tcPr>
            <w:tcW w:w="5320" w:type="dxa"/>
            <w:gridSpan w:val="4"/>
            <w:tcBorders>
              <w:top w:val="single" w:color="000000" w:sz="4" w:space="0"/>
              <w:left w:val="nil"/>
              <w:bottom w:val="single" w:color="000000" w:sz="4" w:space="0"/>
              <w:right w:val="single" w:color="000000" w:sz="4" w:space="0"/>
            </w:tcBorders>
            <w:vAlign w:val="center"/>
          </w:tcPr>
          <w:p>
            <w:pPr>
              <w:jc w:val="center"/>
              <w:textAlignment w:val="center"/>
              <w:rPr>
                <w:color w:val="000000"/>
                <w:sz w:val="18"/>
                <w:szCs w:val="18"/>
              </w:rPr>
            </w:pPr>
            <w:r>
              <w:rPr>
                <w:rFonts w:hint="eastAsia"/>
                <w:color w:val="000000"/>
                <w:sz w:val="18"/>
                <w:szCs w:val="18"/>
              </w:rPr>
              <w:t>垫江县交通局</w:t>
            </w:r>
          </w:p>
        </w:tc>
        <w:tc>
          <w:tcPr>
            <w:tcW w:w="690" w:type="dxa"/>
            <w:tcBorders>
              <w:top w:val="single" w:color="000000" w:sz="4" w:space="0"/>
              <w:left w:val="nil"/>
              <w:bottom w:val="single" w:color="000000" w:sz="4" w:space="0"/>
              <w:right w:val="single" w:color="000000" w:sz="4" w:space="0"/>
            </w:tcBorders>
            <w:vAlign w:val="center"/>
          </w:tcPr>
          <w:p>
            <w:pPr>
              <w:jc w:val="center"/>
              <w:textAlignment w:val="center"/>
              <w:rPr>
                <w:color w:val="000000"/>
                <w:sz w:val="18"/>
                <w:szCs w:val="18"/>
              </w:rPr>
            </w:pPr>
            <w:r>
              <w:rPr>
                <w:rFonts w:hint="eastAsia"/>
                <w:color w:val="000000"/>
                <w:sz w:val="18"/>
                <w:szCs w:val="18"/>
              </w:rPr>
              <w:t>联系人</w:t>
            </w:r>
            <w:r>
              <w:rPr>
                <w:rFonts w:hint="eastAsia"/>
                <w:color w:val="000000"/>
                <w:sz w:val="18"/>
                <w:szCs w:val="18"/>
              </w:rPr>
              <w:br w:type="textWrapping"/>
            </w:r>
            <w:r>
              <w:rPr>
                <w:rFonts w:hint="eastAsia"/>
                <w:color w:val="000000"/>
                <w:sz w:val="18"/>
                <w:szCs w:val="18"/>
              </w:rPr>
              <w:t>及电话</w:t>
            </w:r>
          </w:p>
        </w:tc>
        <w:tc>
          <w:tcPr>
            <w:tcW w:w="1290" w:type="dxa"/>
            <w:gridSpan w:val="2"/>
            <w:tcBorders>
              <w:top w:val="single" w:color="000000" w:sz="4" w:space="0"/>
              <w:left w:val="nil"/>
              <w:bottom w:val="single" w:color="000000" w:sz="4" w:space="0"/>
              <w:right w:val="single" w:color="000000" w:sz="4" w:space="0"/>
            </w:tcBorders>
            <w:vAlign w:val="center"/>
          </w:tcPr>
          <w:p>
            <w:pPr>
              <w:jc w:val="center"/>
              <w:textAlignment w:val="center"/>
              <w:rPr>
                <w:color w:val="000000"/>
                <w:sz w:val="18"/>
                <w:szCs w:val="18"/>
              </w:rPr>
            </w:pPr>
            <w:r>
              <w:rPr>
                <w:rFonts w:hint="eastAsia"/>
                <w:color w:val="000000"/>
                <w:sz w:val="18"/>
                <w:szCs w:val="18"/>
              </w:rPr>
              <w:t>何佼13896660759</w:t>
            </w:r>
          </w:p>
        </w:tc>
      </w:tr>
      <w:tr>
        <w:tblPrEx>
          <w:tblCellMar>
            <w:top w:w="0" w:type="dxa"/>
            <w:left w:w="108" w:type="dxa"/>
            <w:bottom w:w="0" w:type="dxa"/>
            <w:right w:w="108" w:type="dxa"/>
          </w:tblCellMar>
        </w:tblPrEx>
        <w:trPr>
          <w:trHeight w:val="900" w:hRule="atLeast"/>
        </w:trPr>
        <w:tc>
          <w:tcPr>
            <w:tcW w:w="840" w:type="dxa"/>
            <w:vMerge w:val="restart"/>
            <w:tcBorders>
              <w:top w:val="nil"/>
              <w:left w:val="single" w:color="000000" w:sz="4" w:space="0"/>
              <w:bottom w:val="single" w:color="000000" w:sz="4" w:space="0"/>
              <w:right w:val="single" w:color="000000" w:sz="4" w:space="0"/>
            </w:tcBorders>
            <w:vAlign w:val="center"/>
          </w:tcPr>
          <w:p>
            <w:pPr>
              <w:jc w:val="center"/>
              <w:textAlignment w:val="center"/>
              <w:rPr>
                <w:color w:val="000000"/>
                <w:sz w:val="18"/>
                <w:szCs w:val="18"/>
              </w:rPr>
            </w:pPr>
            <w:r>
              <w:rPr>
                <w:rFonts w:hint="eastAsia"/>
                <w:color w:val="000000"/>
                <w:sz w:val="18"/>
                <w:szCs w:val="18"/>
              </w:rPr>
              <w:t>项目资金（万元）</w:t>
            </w:r>
          </w:p>
        </w:tc>
        <w:tc>
          <w:tcPr>
            <w:tcW w:w="1360" w:type="dxa"/>
            <w:tcBorders>
              <w:top w:val="single" w:color="000000" w:sz="4" w:space="0"/>
              <w:left w:val="nil"/>
              <w:bottom w:val="single" w:color="000000" w:sz="4" w:space="0"/>
              <w:right w:val="single" w:color="000000" w:sz="4" w:space="0"/>
            </w:tcBorders>
            <w:vAlign w:val="center"/>
          </w:tcPr>
          <w:p>
            <w:pPr>
              <w:rPr>
                <w:color w:val="000000"/>
                <w:sz w:val="18"/>
                <w:szCs w:val="18"/>
              </w:rPr>
            </w:pPr>
          </w:p>
        </w:tc>
        <w:tc>
          <w:tcPr>
            <w:tcW w:w="2550" w:type="dxa"/>
            <w:gridSpan w:val="2"/>
            <w:tcBorders>
              <w:top w:val="single" w:color="000000" w:sz="4" w:space="0"/>
              <w:left w:val="nil"/>
              <w:bottom w:val="single" w:color="000000" w:sz="4" w:space="0"/>
              <w:right w:val="single" w:color="000000" w:sz="4" w:space="0"/>
            </w:tcBorders>
            <w:vAlign w:val="center"/>
          </w:tcPr>
          <w:p>
            <w:pPr>
              <w:jc w:val="center"/>
              <w:textAlignment w:val="center"/>
              <w:rPr>
                <w:color w:val="000000"/>
                <w:sz w:val="18"/>
                <w:szCs w:val="18"/>
              </w:rPr>
            </w:pPr>
            <w:r>
              <w:rPr>
                <w:rFonts w:hint="eastAsia"/>
                <w:color w:val="000000"/>
                <w:sz w:val="18"/>
                <w:szCs w:val="18"/>
              </w:rPr>
              <w:t>年初预算数</w:t>
            </w:r>
          </w:p>
        </w:tc>
        <w:tc>
          <w:tcPr>
            <w:tcW w:w="1410" w:type="dxa"/>
            <w:tcBorders>
              <w:top w:val="single" w:color="000000" w:sz="4" w:space="0"/>
              <w:left w:val="nil"/>
              <w:bottom w:val="single" w:color="000000" w:sz="4" w:space="0"/>
              <w:right w:val="nil"/>
            </w:tcBorders>
            <w:vAlign w:val="center"/>
          </w:tcPr>
          <w:p>
            <w:pPr>
              <w:jc w:val="center"/>
              <w:textAlignment w:val="center"/>
              <w:rPr>
                <w:color w:val="000000"/>
                <w:sz w:val="18"/>
                <w:szCs w:val="18"/>
              </w:rPr>
            </w:pPr>
            <w:r>
              <w:rPr>
                <w:rFonts w:hint="eastAsia"/>
                <w:color w:val="000000"/>
                <w:sz w:val="18"/>
                <w:szCs w:val="18"/>
              </w:rPr>
              <w:t>全年预算数（年初预算加追加、追减数和上年结转数）</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000000"/>
                <w:sz w:val="18"/>
                <w:szCs w:val="18"/>
              </w:rPr>
            </w:pPr>
            <w:r>
              <w:rPr>
                <w:rFonts w:hint="eastAsia"/>
                <w:color w:val="000000"/>
                <w:sz w:val="18"/>
                <w:szCs w:val="18"/>
              </w:rPr>
              <w:t>全年执行数</w:t>
            </w:r>
          </w:p>
        </w:tc>
        <w:tc>
          <w:tcPr>
            <w:tcW w:w="615" w:type="dxa"/>
            <w:tcBorders>
              <w:top w:val="single" w:color="000000" w:sz="4" w:space="0"/>
              <w:left w:val="nil"/>
              <w:bottom w:val="single" w:color="000000" w:sz="4" w:space="0"/>
              <w:right w:val="single" w:color="000000" w:sz="4" w:space="0"/>
            </w:tcBorders>
            <w:vAlign w:val="center"/>
          </w:tcPr>
          <w:p>
            <w:pPr>
              <w:jc w:val="center"/>
              <w:textAlignment w:val="center"/>
              <w:rPr>
                <w:color w:val="000000"/>
                <w:sz w:val="18"/>
                <w:szCs w:val="18"/>
              </w:rPr>
            </w:pPr>
            <w:r>
              <w:rPr>
                <w:rFonts w:hint="eastAsia"/>
                <w:color w:val="000000"/>
                <w:sz w:val="18"/>
                <w:szCs w:val="18"/>
              </w:rPr>
              <w:t>执行率得分</w:t>
            </w:r>
            <w:r>
              <w:rPr>
                <w:rFonts w:hint="eastAsia"/>
                <w:color w:val="000000"/>
                <w:sz w:val="18"/>
                <w:szCs w:val="18"/>
              </w:rPr>
              <w:br w:type="textWrapping"/>
            </w:r>
            <w:r>
              <w:rPr>
                <w:rFonts w:hint="eastAsia"/>
                <w:color w:val="000000"/>
                <w:sz w:val="18"/>
                <w:szCs w:val="18"/>
              </w:rPr>
              <w:t>（10分)</w:t>
            </w:r>
          </w:p>
        </w:tc>
      </w:tr>
      <w:tr>
        <w:tblPrEx>
          <w:tblCellMar>
            <w:top w:w="0" w:type="dxa"/>
            <w:left w:w="108" w:type="dxa"/>
            <w:bottom w:w="0" w:type="dxa"/>
            <w:right w:w="108" w:type="dxa"/>
          </w:tblCellMar>
        </w:tblPrEx>
        <w:trPr>
          <w:trHeight w:val="420" w:hRule="atLeast"/>
        </w:trPr>
        <w:tc>
          <w:tcPr>
            <w:tcW w:w="8140" w:type="dxa"/>
            <w:vMerge w:val="continue"/>
            <w:tcBorders>
              <w:top w:val="nil"/>
              <w:left w:val="single" w:color="000000" w:sz="4" w:space="0"/>
              <w:bottom w:val="single" w:color="000000" w:sz="4" w:space="0"/>
              <w:right w:val="single" w:color="000000" w:sz="4" w:space="0"/>
            </w:tcBorders>
            <w:vAlign w:val="center"/>
          </w:tcPr>
          <w:p>
            <w:pPr>
              <w:rPr>
                <w:color w:val="000000"/>
                <w:sz w:val="18"/>
                <w:szCs w:val="18"/>
              </w:rPr>
            </w:pPr>
          </w:p>
        </w:tc>
        <w:tc>
          <w:tcPr>
            <w:tcW w:w="1360" w:type="dxa"/>
            <w:tcBorders>
              <w:top w:val="single" w:color="000000" w:sz="4" w:space="0"/>
              <w:left w:val="nil"/>
              <w:bottom w:val="single" w:color="000000" w:sz="4" w:space="0"/>
              <w:right w:val="single" w:color="000000" w:sz="4" w:space="0"/>
            </w:tcBorders>
            <w:vAlign w:val="center"/>
          </w:tcPr>
          <w:p>
            <w:pPr>
              <w:jc w:val="center"/>
              <w:textAlignment w:val="center"/>
              <w:rPr>
                <w:color w:val="000000"/>
                <w:sz w:val="18"/>
                <w:szCs w:val="18"/>
              </w:rPr>
            </w:pPr>
            <w:r>
              <w:rPr>
                <w:rFonts w:hint="eastAsia"/>
                <w:color w:val="000000"/>
                <w:sz w:val="18"/>
                <w:szCs w:val="18"/>
              </w:rPr>
              <w:t>年度总金额</w:t>
            </w:r>
          </w:p>
        </w:tc>
        <w:tc>
          <w:tcPr>
            <w:tcW w:w="2550" w:type="dxa"/>
            <w:gridSpan w:val="2"/>
            <w:tcBorders>
              <w:top w:val="single" w:color="000000" w:sz="4" w:space="0"/>
              <w:left w:val="nil"/>
              <w:bottom w:val="nil"/>
              <w:right w:val="single" w:color="000000" w:sz="4" w:space="0"/>
            </w:tcBorders>
            <w:vAlign w:val="center"/>
          </w:tcPr>
          <w:p>
            <w:pPr>
              <w:jc w:val="center"/>
              <w:rPr>
                <w:color w:val="000000"/>
                <w:sz w:val="18"/>
                <w:szCs w:val="18"/>
              </w:rPr>
            </w:pPr>
          </w:p>
        </w:tc>
        <w:tc>
          <w:tcPr>
            <w:tcW w:w="1410"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1365" w:type="dxa"/>
            <w:gridSpan w:val="2"/>
            <w:tcBorders>
              <w:top w:val="single" w:color="000000" w:sz="4" w:space="0"/>
              <w:left w:val="nil"/>
              <w:bottom w:val="single" w:color="000000" w:sz="4" w:space="0"/>
              <w:right w:val="single" w:color="000000" w:sz="4" w:space="0"/>
            </w:tcBorders>
            <w:vAlign w:val="center"/>
          </w:tcPr>
          <w:p>
            <w:pPr>
              <w:jc w:val="center"/>
              <w:textAlignment w:val="center"/>
              <w:rPr>
                <w:color w:val="000000"/>
                <w:sz w:val="18"/>
                <w:szCs w:val="18"/>
              </w:rPr>
            </w:pPr>
            <w:r>
              <w:rPr>
                <w:rFonts w:hint="eastAsia"/>
                <w:color w:val="000000"/>
                <w:sz w:val="18"/>
                <w:szCs w:val="18"/>
              </w:rPr>
              <w:t>20</w:t>
            </w:r>
          </w:p>
        </w:tc>
        <w:tc>
          <w:tcPr>
            <w:tcW w:w="615" w:type="dxa"/>
            <w:tcBorders>
              <w:top w:val="single" w:color="000000" w:sz="4" w:space="0"/>
              <w:left w:val="nil"/>
              <w:bottom w:val="single" w:color="000000" w:sz="4" w:space="0"/>
              <w:right w:val="single" w:color="000000" w:sz="4" w:space="0"/>
            </w:tcBorders>
            <w:vAlign w:val="center"/>
          </w:tcPr>
          <w:p>
            <w:pPr>
              <w:jc w:val="center"/>
              <w:textAlignment w:val="center"/>
              <w:rPr>
                <w:color w:val="000000"/>
                <w:sz w:val="18"/>
                <w:szCs w:val="18"/>
              </w:rPr>
            </w:pPr>
            <w:r>
              <w:rPr>
                <w:rFonts w:hint="eastAsia"/>
                <w:color w:val="000000"/>
                <w:sz w:val="18"/>
                <w:szCs w:val="18"/>
              </w:rPr>
              <w:t>10</w:t>
            </w:r>
          </w:p>
        </w:tc>
      </w:tr>
      <w:tr>
        <w:tblPrEx>
          <w:tblCellMar>
            <w:top w:w="0" w:type="dxa"/>
            <w:left w:w="108" w:type="dxa"/>
            <w:bottom w:w="0" w:type="dxa"/>
            <w:right w:w="108" w:type="dxa"/>
          </w:tblCellMar>
        </w:tblPrEx>
        <w:trPr>
          <w:trHeight w:val="420" w:hRule="atLeast"/>
        </w:trPr>
        <w:tc>
          <w:tcPr>
            <w:tcW w:w="8140" w:type="dxa"/>
            <w:vMerge w:val="continue"/>
            <w:tcBorders>
              <w:top w:val="nil"/>
              <w:left w:val="single" w:color="000000" w:sz="4" w:space="0"/>
              <w:bottom w:val="single" w:color="000000" w:sz="4" w:space="0"/>
              <w:right w:val="single" w:color="000000" w:sz="4" w:space="0"/>
            </w:tcBorders>
            <w:vAlign w:val="center"/>
          </w:tcPr>
          <w:p>
            <w:pPr>
              <w:rPr>
                <w:color w:val="000000"/>
                <w:sz w:val="18"/>
                <w:szCs w:val="18"/>
              </w:rPr>
            </w:pPr>
          </w:p>
        </w:tc>
        <w:tc>
          <w:tcPr>
            <w:tcW w:w="1360" w:type="dxa"/>
            <w:tcBorders>
              <w:top w:val="single" w:color="000000" w:sz="4" w:space="0"/>
              <w:left w:val="nil"/>
              <w:bottom w:val="single" w:color="000000" w:sz="4" w:space="0"/>
              <w:right w:val="single" w:color="000000" w:sz="4" w:space="0"/>
            </w:tcBorders>
            <w:shd w:val="clear" w:color="auto" w:fill="FFFFFF"/>
            <w:vAlign w:val="center"/>
          </w:tcPr>
          <w:p>
            <w:pPr>
              <w:textAlignment w:val="center"/>
              <w:rPr>
                <w:color w:val="000000"/>
                <w:sz w:val="18"/>
                <w:szCs w:val="18"/>
              </w:rPr>
            </w:pPr>
            <w:r>
              <w:rPr>
                <w:rFonts w:hint="eastAsia"/>
                <w:color w:val="000000"/>
                <w:sz w:val="18"/>
                <w:szCs w:val="18"/>
              </w:rPr>
              <w:t>其中：财政资金</w:t>
            </w:r>
          </w:p>
        </w:tc>
        <w:tc>
          <w:tcPr>
            <w:tcW w:w="2550" w:type="dxa"/>
            <w:gridSpan w:val="2"/>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1410"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1365" w:type="dxa"/>
            <w:gridSpan w:val="2"/>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615" w:type="dxa"/>
            <w:tcBorders>
              <w:top w:val="single" w:color="000000" w:sz="4" w:space="0"/>
              <w:left w:val="nil"/>
              <w:bottom w:val="single" w:color="000000" w:sz="4" w:space="0"/>
              <w:right w:val="single" w:color="000000" w:sz="4" w:space="0"/>
            </w:tcBorders>
            <w:vAlign w:val="center"/>
          </w:tcPr>
          <w:p>
            <w:pPr>
              <w:jc w:val="center"/>
              <w:textAlignment w:val="center"/>
              <w:rPr>
                <w:color w:val="000000"/>
                <w:sz w:val="18"/>
                <w:szCs w:val="18"/>
              </w:rPr>
            </w:pPr>
            <w:r>
              <w:rPr>
                <w:rFonts w:hint="eastAsia"/>
                <w:color w:val="000000"/>
                <w:sz w:val="18"/>
                <w:szCs w:val="18"/>
              </w:rPr>
              <w:t>/</w:t>
            </w:r>
          </w:p>
        </w:tc>
      </w:tr>
      <w:tr>
        <w:tblPrEx>
          <w:tblCellMar>
            <w:top w:w="0" w:type="dxa"/>
            <w:left w:w="108" w:type="dxa"/>
            <w:bottom w:w="0" w:type="dxa"/>
            <w:right w:w="108" w:type="dxa"/>
          </w:tblCellMar>
        </w:tblPrEx>
        <w:trPr>
          <w:trHeight w:val="420" w:hRule="atLeast"/>
        </w:trPr>
        <w:tc>
          <w:tcPr>
            <w:tcW w:w="8140" w:type="dxa"/>
            <w:vMerge w:val="continue"/>
            <w:tcBorders>
              <w:top w:val="nil"/>
              <w:left w:val="single" w:color="000000" w:sz="4" w:space="0"/>
              <w:bottom w:val="single" w:color="000000" w:sz="4" w:space="0"/>
              <w:right w:val="single" w:color="000000" w:sz="4" w:space="0"/>
            </w:tcBorders>
            <w:vAlign w:val="center"/>
          </w:tcPr>
          <w:p>
            <w:pPr>
              <w:rPr>
                <w:color w:val="000000"/>
                <w:sz w:val="18"/>
                <w:szCs w:val="18"/>
              </w:rPr>
            </w:pPr>
          </w:p>
        </w:tc>
        <w:tc>
          <w:tcPr>
            <w:tcW w:w="1360" w:type="dxa"/>
            <w:tcBorders>
              <w:top w:val="single" w:color="000000" w:sz="4" w:space="0"/>
              <w:left w:val="nil"/>
              <w:bottom w:val="single" w:color="000000" w:sz="4" w:space="0"/>
              <w:right w:val="single" w:color="000000" w:sz="4" w:space="0"/>
            </w:tcBorders>
            <w:shd w:val="clear" w:color="auto" w:fill="FFFFFF"/>
            <w:vAlign w:val="center"/>
          </w:tcPr>
          <w:p>
            <w:pPr>
              <w:textAlignment w:val="center"/>
              <w:rPr>
                <w:color w:val="000000"/>
                <w:sz w:val="18"/>
                <w:szCs w:val="18"/>
              </w:rPr>
            </w:pPr>
            <w:r>
              <w:rPr>
                <w:rFonts w:hint="eastAsia"/>
                <w:color w:val="000000"/>
                <w:sz w:val="18"/>
                <w:szCs w:val="18"/>
              </w:rPr>
              <w:t xml:space="preserve">      其他资金</w:t>
            </w:r>
          </w:p>
        </w:tc>
        <w:tc>
          <w:tcPr>
            <w:tcW w:w="2550" w:type="dxa"/>
            <w:gridSpan w:val="2"/>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1410"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1365" w:type="dxa"/>
            <w:gridSpan w:val="2"/>
            <w:tcBorders>
              <w:top w:val="single" w:color="000000" w:sz="4" w:space="0"/>
              <w:left w:val="nil"/>
              <w:bottom w:val="single" w:color="000000" w:sz="4" w:space="0"/>
              <w:right w:val="single" w:color="000000" w:sz="4" w:space="0"/>
            </w:tcBorders>
            <w:vAlign w:val="center"/>
          </w:tcPr>
          <w:p>
            <w:pPr>
              <w:jc w:val="center"/>
              <w:textAlignment w:val="center"/>
              <w:rPr>
                <w:color w:val="000000"/>
                <w:sz w:val="18"/>
                <w:szCs w:val="18"/>
              </w:rPr>
            </w:pPr>
            <w:r>
              <w:rPr>
                <w:rFonts w:hint="eastAsia"/>
                <w:color w:val="000000"/>
                <w:sz w:val="18"/>
                <w:szCs w:val="18"/>
              </w:rPr>
              <w:t>20</w:t>
            </w:r>
          </w:p>
        </w:tc>
        <w:tc>
          <w:tcPr>
            <w:tcW w:w="615" w:type="dxa"/>
            <w:tcBorders>
              <w:top w:val="single" w:color="000000" w:sz="4" w:space="0"/>
              <w:left w:val="nil"/>
              <w:bottom w:val="single" w:color="000000" w:sz="4" w:space="0"/>
              <w:right w:val="single" w:color="000000" w:sz="4" w:space="0"/>
            </w:tcBorders>
            <w:vAlign w:val="center"/>
          </w:tcPr>
          <w:p>
            <w:pPr>
              <w:jc w:val="center"/>
              <w:textAlignment w:val="center"/>
              <w:rPr>
                <w:color w:val="000000"/>
                <w:sz w:val="18"/>
                <w:szCs w:val="18"/>
              </w:rPr>
            </w:pPr>
            <w:r>
              <w:rPr>
                <w:rFonts w:hint="eastAsia"/>
                <w:color w:val="000000"/>
                <w:sz w:val="18"/>
                <w:szCs w:val="18"/>
              </w:rPr>
              <w:t>10</w:t>
            </w:r>
          </w:p>
        </w:tc>
      </w:tr>
      <w:tr>
        <w:tblPrEx>
          <w:tblCellMar>
            <w:top w:w="0" w:type="dxa"/>
            <w:left w:w="108" w:type="dxa"/>
            <w:bottom w:w="0" w:type="dxa"/>
            <w:right w:w="108" w:type="dxa"/>
          </w:tblCellMar>
        </w:tblPrEx>
        <w:trPr>
          <w:trHeight w:val="439" w:hRule="atLeast"/>
        </w:trPr>
        <w:tc>
          <w:tcPr>
            <w:tcW w:w="840" w:type="dxa"/>
            <w:vMerge w:val="restart"/>
            <w:tcBorders>
              <w:top w:val="nil"/>
              <w:left w:val="single" w:color="000000" w:sz="4" w:space="0"/>
              <w:bottom w:val="single" w:color="000000" w:sz="4" w:space="0"/>
              <w:right w:val="single" w:color="000000" w:sz="4" w:space="0"/>
            </w:tcBorders>
            <w:vAlign w:val="center"/>
          </w:tcPr>
          <w:p>
            <w:pPr>
              <w:jc w:val="center"/>
              <w:textAlignment w:val="center"/>
              <w:rPr>
                <w:color w:val="000000"/>
                <w:sz w:val="18"/>
                <w:szCs w:val="18"/>
              </w:rPr>
            </w:pPr>
            <w:r>
              <w:rPr>
                <w:rFonts w:hint="eastAsia"/>
                <w:color w:val="000000"/>
                <w:sz w:val="18"/>
                <w:szCs w:val="18"/>
              </w:rPr>
              <w:t>年度总体目标</w:t>
            </w:r>
          </w:p>
        </w:tc>
        <w:tc>
          <w:tcPr>
            <w:tcW w:w="3910" w:type="dxa"/>
            <w:gridSpan w:val="3"/>
            <w:tcBorders>
              <w:top w:val="single" w:color="000000" w:sz="4" w:space="0"/>
              <w:left w:val="nil"/>
              <w:bottom w:val="single" w:color="000000" w:sz="4" w:space="0"/>
              <w:right w:val="single" w:color="000000" w:sz="4" w:space="0"/>
            </w:tcBorders>
            <w:vAlign w:val="center"/>
          </w:tcPr>
          <w:p>
            <w:pPr>
              <w:jc w:val="center"/>
              <w:textAlignment w:val="center"/>
              <w:rPr>
                <w:color w:val="000000"/>
                <w:sz w:val="18"/>
                <w:szCs w:val="18"/>
              </w:rPr>
            </w:pPr>
            <w:r>
              <w:rPr>
                <w:rFonts w:hint="eastAsia"/>
                <w:color w:val="000000"/>
                <w:sz w:val="18"/>
                <w:szCs w:val="18"/>
              </w:rPr>
              <w:t>年初设定目标</w:t>
            </w:r>
          </w:p>
        </w:tc>
        <w:tc>
          <w:tcPr>
            <w:tcW w:w="3390" w:type="dxa"/>
            <w:gridSpan w:val="4"/>
            <w:tcBorders>
              <w:top w:val="single" w:color="000000" w:sz="4" w:space="0"/>
              <w:left w:val="nil"/>
              <w:bottom w:val="single" w:color="000000" w:sz="4" w:space="0"/>
              <w:right w:val="single" w:color="000000" w:sz="4" w:space="0"/>
            </w:tcBorders>
            <w:vAlign w:val="center"/>
          </w:tcPr>
          <w:p>
            <w:pPr>
              <w:jc w:val="center"/>
              <w:textAlignment w:val="center"/>
              <w:rPr>
                <w:color w:val="000000"/>
                <w:sz w:val="18"/>
                <w:szCs w:val="18"/>
              </w:rPr>
            </w:pPr>
            <w:r>
              <w:rPr>
                <w:rFonts w:hint="eastAsia"/>
                <w:color w:val="000000"/>
                <w:sz w:val="18"/>
                <w:szCs w:val="18"/>
              </w:rPr>
              <w:t>全年实际完成情况</w:t>
            </w:r>
          </w:p>
        </w:tc>
      </w:tr>
      <w:tr>
        <w:tblPrEx>
          <w:tblCellMar>
            <w:top w:w="0" w:type="dxa"/>
            <w:left w:w="108" w:type="dxa"/>
            <w:bottom w:w="0" w:type="dxa"/>
            <w:right w:w="108" w:type="dxa"/>
          </w:tblCellMar>
        </w:tblPrEx>
        <w:trPr>
          <w:trHeight w:val="762" w:hRule="atLeast"/>
        </w:trPr>
        <w:tc>
          <w:tcPr>
            <w:tcW w:w="8140" w:type="dxa"/>
            <w:vMerge w:val="continue"/>
            <w:tcBorders>
              <w:top w:val="nil"/>
              <w:left w:val="single" w:color="000000" w:sz="4" w:space="0"/>
              <w:bottom w:val="single" w:color="000000" w:sz="4" w:space="0"/>
              <w:right w:val="single" w:color="000000" w:sz="4" w:space="0"/>
            </w:tcBorders>
            <w:vAlign w:val="center"/>
          </w:tcPr>
          <w:p>
            <w:pPr>
              <w:rPr>
                <w:color w:val="000000"/>
                <w:sz w:val="18"/>
                <w:szCs w:val="18"/>
              </w:rPr>
            </w:pPr>
          </w:p>
        </w:tc>
        <w:tc>
          <w:tcPr>
            <w:tcW w:w="3910" w:type="dxa"/>
            <w:gridSpan w:val="3"/>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3390" w:type="dxa"/>
            <w:gridSpan w:val="4"/>
            <w:tcBorders>
              <w:top w:val="single" w:color="000000" w:sz="4" w:space="0"/>
              <w:left w:val="nil"/>
              <w:bottom w:val="single" w:color="000000" w:sz="4" w:space="0"/>
              <w:right w:val="single" w:color="000000" w:sz="4" w:space="0"/>
            </w:tcBorders>
            <w:vAlign w:val="center"/>
          </w:tcPr>
          <w:p>
            <w:pPr>
              <w:jc w:val="center"/>
              <w:textAlignment w:val="center"/>
              <w:rPr>
                <w:color w:val="000000"/>
                <w:sz w:val="18"/>
                <w:szCs w:val="18"/>
              </w:rPr>
            </w:pPr>
            <w:r>
              <w:rPr>
                <w:rFonts w:hint="eastAsia"/>
                <w:color w:val="000000"/>
                <w:sz w:val="18"/>
                <w:szCs w:val="18"/>
              </w:rPr>
              <w:t>负责全县交通建设工程质量、安全检查等，20万元</w:t>
            </w:r>
          </w:p>
        </w:tc>
      </w:tr>
      <w:tr>
        <w:tblPrEx>
          <w:tblCellMar>
            <w:top w:w="0" w:type="dxa"/>
            <w:left w:w="108" w:type="dxa"/>
            <w:bottom w:w="0" w:type="dxa"/>
            <w:right w:w="108" w:type="dxa"/>
          </w:tblCellMar>
        </w:tblPrEx>
        <w:trPr>
          <w:trHeight w:val="462" w:hRule="atLeast"/>
        </w:trPr>
        <w:tc>
          <w:tcPr>
            <w:tcW w:w="840" w:type="dxa"/>
            <w:vMerge w:val="restart"/>
            <w:tcBorders>
              <w:top w:val="nil"/>
              <w:left w:val="single" w:color="000000" w:sz="4" w:space="0"/>
              <w:bottom w:val="nil"/>
              <w:right w:val="single" w:color="000000" w:sz="4" w:space="0"/>
            </w:tcBorders>
            <w:vAlign w:val="center"/>
          </w:tcPr>
          <w:p>
            <w:pPr>
              <w:jc w:val="center"/>
              <w:textAlignment w:val="center"/>
              <w:rPr>
                <w:color w:val="000000"/>
                <w:sz w:val="18"/>
                <w:szCs w:val="18"/>
              </w:rPr>
            </w:pPr>
            <w:r>
              <w:rPr>
                <w:rFonts w:hint="eastAsia"/>
                <w:color w:val="000000"/>
                <w:sz w:val="18"/>
                <w:szCs w:val="18"/>
              </w:rPr>
              <w:t>绩效指标</w:t>
            </w:r>
          </w:p>
        </w:tc>
        <w:tc>
          <w:tcPr>
            <w:tcW w:w="1360"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指标内容</w:t>
            </w:r>
          </w:p>
        </w:tc>
        <w:tc>
          <w:tcPr>
            <w:tcW w:w="1440"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指标名称</w:t>
            </w:r>
          </w:p>
        </w:tc>
        <w:tc>
          <w:tcPr>
            <w:tcW w:w="1110"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年度指标值</w:t>
            </w:r>
          </w:p>
        </w:tc>
        <w:tc>
          <w:tcPr>
            <w:tcW w:w="1410"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实际完成值</w:t>
            </w:r>
          </w:p>
        </w:tc>
        <w:tc>
          <w:tcPr>
            <w:tcW w:w="690"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得分系数%</w:t>
            </w:r>
          </w:p>
        </w:tc>
        <w:tc>
          <w:tcPr>
            <w:tcW w:w="675"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权重</w:t>
            </w:r>
          </w:p>
        </w:tc>
        <w:tc>
          <w:tcPr>
            <w:tcW w:w="615"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得分</w:t>
            </w:r>
          </w:p>
        </w:tc>
      </w:tr>
      <w:tr>
        <w:tblPrEx>
          <w:tblCellMar>
            <w:top w:w="0" w:type="dxa"/>
            <w:left w:w="108" w:type="dxa"/>
            <w:bottom w:w="0" w:type="dxa"/>
            <w:right w:w="108" w:type="dxa"/>
          </w:tblCellMar>
        </w:tblPrEx>
        <w:trPr>
          <w:trHeight w:val="600" w:hRule="atLeast"/>
        </w:trPr>
        <w:tc>
          <w:tcPr>
            <w:tcW w:w="8140" w:type="dxa"/>
            <w:vMerge w:val="continue"/>
            <w:tcBorders>
              <w:top w:val="nil"/>
              <w:left w:val="single" w:color="000000" w:sz="4" w:space="0"/>
              <w:bottom w:val="nil"/>
              <w:right w:val="single" w:color="000000" w:sz="4" w:space="0"/>
            </w:tcBorders>
            <w:vAlign w:val="center"/>
          </w:tcPr>
          <w:p>
            <w:pPr>
              <w:rPr>
                <w:color w:val="000000"/>
                <w:sz w:val="18"/>
                <w:szCs w:val="18"/>
              </w:rPr>
            </w:pPr>
          </w:p>
        </w:tc>
        <w:tc>
          <w:tcPr>
            <w:tcW w:w="1360" w:type="dxa"/>
            <w:tcBorders>
              <w:top w:val="single" w:color="000000" w:sz="4" w:space="0"/>
              <w:left w:val="nil"/>
              <w:bottom w:val="nil"/>
              <w:right w:val="single" w:color="000000" w:sz="4" w:space="0"/>
            </w:tcBorders>
            <w:vAlign w:val="center"/>
          </w:tcPr>
          <w:p>
            <w:pPr>
              <w:jc w:val="center"/>
              <w:textAlignment w:val="center"/>
              <w:rPr>
                <w:color w:val="000000"/>
                <w:sz w:val="18"/>
                <w:szCs w:val="18"/>
              </w:rPr>
            </w:pPr>
            <w:r>
              <w:rPr>
                <w:rFonts w:hint="eastAsia"/>
                <w:color w:val="000000"/>
                <w:sz w:val="18"/>
                <w:szCs w:val="18"/>
              </w:rPr>
              <w:t>产出（50分）    －数量指标1</w:t>
            </w:r>
          </w:p>
        </w:tc>
        <w:tc>
          <w:tcPr>
            <w:tcW w:w="1440" w:type="dxa"/>
            <w:tcBorders>
              <w:top w:val="single" w:color="000000" w:sz="4" w:space="0"/>
              <w:left w:val="nil"/>
              <w:bottom w:val="single" w:color="000000" w:sz="4" w:space="0"/>
              <w:right w:val="single" w:color="000000" w:sz="4" w:space="0"/>
            </w:tcBorders>
            <w:vAlign w:val="center"/>
          </w:tcPr>
          <w:p>
            <w:pPr>
              <w:textAlignment w:val="center"/>
              <w:rPr>
                <w:color w:val="000000"/>
                <w:sz w:val="18"/>
                <w:szCs w:val="18"/>
              </w:rPr>
            </w:pPr>
            <w:r>
              <w:rPr>
                <w:rFonts w:hint="eastAsia"/>
                <w:color w:val="000000"/>
                <w:sz w:val="18"/>
                <w:szCs w:val="18"/>
              </w:rPr>
              <w:t>全县交通工程建设质量检查</w:t>
            </w:r>
          </w:p>
        </w:tc>
        <w:tc>
          <w:tcPr>
            <w:tcW w:w="1110" w:type="dxa"/>
            <w:tcBorders>
              <w:top w:val="single" w:color="000000" w:sz="4" w:space="0"/>
              <w:left w:val="nil"/>
              <w:bottom w:val="single" w:color="000000" w:sz="4" w:space="0"/>
              <w:right w:val="single" w:color="000000" w:sz="4" w:space="0"/>
            </w:tcBorders>
            <w:shd w:val="clear" w:color="auto" w:fill="FFFFFF"/>
            <w:vAlign w:val="center"/>
          </w:tcPr>
          <w:p>
            <w:pPr>
              <w:textAlignment w:val="center"/>
              <w:rPr>
                <w:color w:val="000000"/>
                <w:sz w:val="18"/>
                <w:szCs w:val="18"/>
              </w:rPr>
            </w:pPr>
            <w:r>
              <w:rPr>
                <w:rFonts w:hint="eastAsia"/>
                <w:color w:val="000000"/>
                <w:sz w:val="18"/>
                <w:szCs w:val="18"/>
              </w:rPr>
              <w:t xml:space="preserve">  全覆盖</w:t>
            </w:r>
          </w:p>
        </w:tc>
        <w:tc>
          <w:tcPr>
            <w:tcW w:w="1410"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 xml:space="preserve">  全覆盖</w:t>
            </w:r>
          </w:p>
        </w:tc>
        <w:tc>
          <w:tcPr>
            <w:tcW w:w="690"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100%</w:t>
            </w:r>
          </w:p>
        </w:tc>
        <w:tc>
          <w:tcPr>
            <w:tcW w:w="675"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10</w:t>
            </w:r>
          </w:p>
        </w:tc>
        <w:tc>
          <w:tcPr>
            <w:tcW w:w="615"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10</w:t>
            </w:r>
          </w:p>
        </w:tc>
      </w:tr>
      <w:tr>
        <w:tblPrEx>
          <w:tblCellMar>
            <w:top w:w="0" w:type="dxa"/>
            <w:left w:w="108" w:type="dxa"/>
            <w:bottom w:w="0" w:type="dxa"/>
            <w:right w:w="108" w:type="dxa"/>
          </w:tblCellMar>
        </w:tblPrEx>
        <w:trPr>
          <w:trHeight w:val="540" w:hRule="atLeast"/>
        </w:trPr>
        <w:tc>
          <w:tcPr>
            <w:tcW w:w="8140" w:type="dxa"/>
            <w:vMerge w:val="continue"/>
            <w:tcBorders>
              <w:top w:val="nil"/>
              <w:left w:val="single" w:color="000000" w:sz="4" w:space="0"/>
              <w:bottom w:val="nil"/>
              <w:right w:val="single" w:color="000000" w:sz="4" w:space="0"/>
            </w:tcBorders>
            <w:vAlign w:val="center"/>
          </w:tcPr>
          <w:p>
            <w:pPr>
              <w:rPr>
                <w:color w:val="000000"/>
                <w:sz w:val="18"/>
                <w:szCs w:val="18"/>
              </w:rPr>
            </w:pPr>
          </w:p>
        </w:tc>
        <w:tc>
          <w:tcPr>
            <w:tcW w:w="1360" w:type="dxa"/>
            <w:tcBorders>
              <w:top w:val="single" w:color="000000" w:sz="4" w:space="0"/>
              <w:left w:val="nil"/>
              <w:bottom w:val="nil"/>
              <w:right w:val="single" w:color="000000" w:sz="4" w:space="0"/>
            </w:tcBorders>
            <w:vAlign w:val="center"/>
          </w:tcPr>
          <w:p>
            <w:pPr>
              <w:textAlignment w:val="center"/>
              <w:rPr>
                <w:color w:val="000000"/>
                <w:sz w:val="18"/>
                <w:szCs w:val="18"/>
              </w:rPr>
            </w:pPr>
            <w:r>
              <w:rPr>
                <w:rFonts w:hint="eastAsia"/>
                <w:color w:val="000000"/>
                <w:sz w:val="18"/>
                <w:szCs w:val="18"/>
              </w:rPr>
              <w:t xml:space="preserve">    －数量指标2</w:t>
            </w:r>
          </w:p>
        </w:tc>
        <w:tc>
          <w:tcPr>
            <w:tcW w:w="1440" w:type="dxa"/>
            <w:tcBorders>
              <w:top w:val="single" w:color="000000" w:sz="4" w:space="0"/>
              <w:left w:val="nil"/>
              <w:bottom w:val="single" w:color="000000" w:sz="4" w:space="0"/>
              <w:right w:val="single" w:color="000000" w:sz="4" w:space="0"/>
            </w:tcBorders>
            <w:vAlign w:val="center"/>
          </w:tcPr>
          <w:p>
            <w:pPr>
              <w:textAlignment w:val="center"/>
              <w:rPr>
                <w:color w:val="000000"/>
                <w:sz w:val="18"/>
                <w:szCs w:val="18"/>
              </w:rPr>
            </w:pPr>
            <w:r>
              <w:rPr>
                <w:rFonts w:hint="eastAsia"/>
                <w:color w:val="000000"/>
                <w:sz w:val="18"/>
                <w:szCs w:val="18"/>
              </w:rPr>
              <w:t>全县交通工程建设安全检查</w:t>
            </w:r>
          </w:p>
        </w:tc>
        <w:tc>
          <w:tcPr>
            <w:tcW w:w="1110" w:type="dxa"/>
            <w:tcBorders>
              <w:top w:val="single" w:color="000000" w:sz="4" w:space="0"/>
              <w:left w:val="nil"/>
              <w:bottom w:val="single" w:color="000000" w:sz="4" w:space="0"/>
              <w:right w:val="single" w:color="000000" w:sz="4" w:space="0"/>
            </w:tcBorders>
            <w:shd w:val="clear" w:color="auto" w:fill="FFFFFF"/>
            <w:vAlign w:val="center"/>
          </w:tcPr>
          <w:p>
            <w:pPr>
              <w:textAlignment w:val="center"/>
              <w:rPr>
                <w:color w:val="000000"/>
                <w:sz w:val="18"/>
                <w:szCs w:val="18"/>
              </w:rPr>
            </w:pPr>
            <w:r>
              <w:rPr>
                <w:rFonts w:hint="eastAsia"/>
                <w:color w:val="000000"/>
                <w:sz w:val="18"/>
                <w:szCs w:val="18"/>
              </w:rPr>
              <w:t xml:space="preserve"> 全覆盖</w:t>
            </w:r>
          </w:p>
        </w:tc>
        <w:tc>
          <w:tcPr>
            <w:tcW w:w="1410"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 xml:space="preserve"> 全覆盖</w:t>
            </w:r>
          </w:p>
        </w:tc>
        <w:tc>
          <w:tcPr>
            <w:tcW w:w="690"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100%</w:t>
            </w:r>
          </w:p>
        </w:tc>
        <w:tc>
          <w:tcPr>
            <w:tcW w:w="675"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8</w:t>
            </w:r>
          </w:p>
        </w:tc>
        <w:tc>
          <w:tcPr>
            <w:tcW w:w="615"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8</w:t>
            </w:r>
          </w:p>
        </w:tc>
      </w:tr>
      <w:tr>
        <w:tblPrEx>
          <w:tblCellMar>
            <w:top w:w="0" w:type="dxa"/>
            <w:left w:w="108" w:type="dxa"/>
            <w:bottom w:w="0" w:type="dxa"/>
            <w:right w:w="108" w:type="dxa"/>
          </w:tblCellMar>
        </w:tblPrEx>
        <w:trPr>
          <w:trHeight w:val="522" w:hRule="atLeast"/>
        </w:trPr>
        <w:tc>
          <w:tcPr>
            <w:tcW w:w="8140" w:type="dxa"/>
            <w:vMerge w:val="continue"/>
            <w:tcBorders>
              <w:top w:val="nil"/>
              <w:left w:val="single" w:color="000000" w:sz="4" w:space="0"/>
              <w:bottom w:val="nil"/>
              <w:right w:val="single" w:color="000000" w:sz="4" w:space="0"/>
            </w:tcBorders>
            <w:vAlign w:val="center"/>
          </w:tcPr>
          <w:p>
            <w:pPr>
              <w:rPr>
                <w:color w:val="000000"/>
                <w:sz w:val="18"/>
                <w:szCs w:val="18"/>
              </w:rPr>
            </w:pPr>
          </w:p>
        </w:tc>
        <w:tc>
          <w:tcPr>
            <w:tcW w:w="1360" w:type="dxa"/>
            <w:tcBorders>
              <w:top w:val="single" w:color="000000" w:sz="4" w:space="0"/>
              <w:left w:val="nil"/>
              <w:bottom w:val="nil"/>
              <w:right w:val="single" w:color="000000" w:sz="4" w:space="0"/>
            </w:tcBorders>
            <w:vAlign w:val="center"/>
          </w:tcPr>
          <w:p>
            <w:pPr>
              <w:textAlignment w:val="center"/>
              <w:rPr>
                <w:color w:val="000000"/>
                <w:sz w:val="18"/>
                <w:szCs w:val="18"/>
              </w:rPr>
            </w:pPr>
            <w:r>
              <w:rPr>
                <w:rFonts w:hint="eastAsia"/>
                <w:color w:val="000000"/>
                <w:sz w:val="18"/>
                <w:szCs w:val="18"/>
              </w:rPr>
              <w:t xml:space="preserve">    －质量指标</w:t>
            </w:r>
          </w:p>
        </w:tc>
        <w:tc>
          <w:tcPr>
            <w:tcW w:w="1440" w:type="dxa"/>
            <w:tcBorders>
              <w:top w:val="single" w:color="000000" w:sz="4" w:space="0"/>
              <w:left w:val="nil"/>
              <w:bottom w:val="single" w:color="000000" w:sz="4" w:space="0"/>
              <w:right w:val="single" w:color="000000" w:sz="4" w:space="0"/>
            </w:tcBorders>
            <w:vAlign w:val="center"/>
          </w:tcPr>
          <w:p>
            <w:pPr>
              <w:textAlignment w:val="center"/>
              <w:rPr>
                <w:color w:val="000000"/>
                <w:sz w:val="18"/>
                <w:szCs w:val="18"/>
              </w:rPr>
            </w:pPr>
            <w:r>
              <w:rPr>
                <w:rFonts w:hint="eastAsia"/>
                <w:color w:val="000000"/>
                <w:sz w:val="18"/>
                <w:szCs w:val="18"/>
              </w:rPr>
              <w:t>项目验收合格率</w:t>
            </w:r>
          </w:p>
        </w:tc>
        <w:tc>
          <w:tcPr>
            <w:tcW w:w="1110" w:type="dxa"/>
            <w:tcBorders>
              <w:top w:val="single" w:color="000000" w:sz="4" w:space="0"/>
              <w:left w:val="nil"/>
              <w:bottom w:val="single" w:color="000000" w:sz="4" w:space="0"/>
              <w:right w:val="single" w:color="000000" w:sz="4" w:space="0"/>
            </w:tcBorders>
            <w:shd w:val="clear" w:color="auto" w:fill="FFFFFF"/>
            <w:vAlign w:val="center"/>
          </w:tcPr>
          <w:p>
            <w:pPr>
              <w:jc w:val="right"/>
              <w:textAlignment w:val="center"/>
              <w:rPr>
                <w:color w:val="000000"/>
                <w:sz w:val="18"/>
                <w:szCs w:val="18"/>
              </w:rPr>
            </w:pPr>
            <w:r>
              <w:rPr>
                <w:rFonts w:hint="eastAsia"/>
                <w:color w:val="000000"/>
                <w:sz w:val="18"/>
                <w:szCs w:val="18"/>
              </w:rPr>
              <w:t>100%</w:t>
            </w:r>
          </w:p>
        </w:tc>
        <w:tc>
          <w:tcPr>
            <w:tcW w:w="1410"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100%</w:t>
            </w:r>
          </w:p>
        </w:tc>
        <w:tc>
          <w:tcPr>
            <w:tcW w:w="690"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100%</w:t>
            </w:r>
          </w:p>
        </w:tc>
        <w:tc>
          <w:tcPr>
            <w:tcW w:w="675"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8</w:t>
            </w:r>
          </w:p>
        </w:tc>
        <w:tc>
          <w:tcPr>
            <w:tcW w:w="615"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8</w:t>
            </w:r>
          </w:p>
        </w:tc>
      </w:tr>
      <w:tr>
        <w:tblPrEx>
          <w:tblCellMar>
            <w:top w:w="0" w:type="dxa"/>
            <w:left w:w="108" w:type="dxa"/>
            <w:bottom w:w="0" w:type="dxa"/>
            <w:right w:w="108" w:type="dxa"/>
          </w:tblCellMar>
        </w:tblPrEx>
        <w:trPr>
          <w:trHeight w:val="480" w:hRule="atLeast"/>
        </w:trPr>
        <w:tc>
          <w:tcPr>
            <w:tcW w:w="8140" w:type="dxa"/>
            <w:vMerge w:val="continue"/>
            <w:tcBorders>
              <w:top w:val="nil"/>
              <w:left w:val="single" w:color="000000" w:sz="4" w:space="0"/>
              <w:bottom w:val="nil"/>
              <w:right w:val="single" w:color="000000" w:sz="4" w:space="0"/>
            </w:tcBorders>
            <w:vAlign w:val="center"/>
          </w:tcPr>
          <w:p>
            <w:pPr>
              <w:rPr>
                <w:color w:val="000000"/>
                <w:sz w:val="18"/>
                <w:szCs w:val="18"/>
              </w:rPr>
            </w:pPr>
          </w:p>
        </w:tc>
        <w:tc>
          <w:tcPr>
            <w:tcW w:w="1360" w:type="dxa"/>
            <w:tcBorders>
              <w:top w:val="single" w:color="000000" w:sz="4" w:space="0"/>
              <w:left w:val="nil"/>
              <w:bottom w:val="nil"/>
              <w:right w:val="single" w:color="000000" w:sz="4" w:space="0"/>
            </w:tcBorders>
            <w:vAlign w:val="center"/>
          </w:tcPr>
          <w:p>
            <w:pPr>
              <w:textAlignment w:val="center"/>
              <w:rPr>
                <w:color w:val="000000"/>
                <w:sz w:val="18"/>
                <w:szCs w:val="18"/>
              </w:rPr>
            </w:pPr>
            <w:r>
              <w:rPr>
                <w:rFonts w:hint="eastAsia"/>
                <w:color w:val="000000"/>
                <w:sz w:val="18"/>
                <w:szCs w:val="18"/>
              </w:rPr>
              <w:t xml:space="preserve">    －成本指标1</w:t>
            </w:r>
          </w:p>
        </w:tc>
        <w:tc>
          <w:tcPr>
            <w:tcW w:w="1440" w:type="dxa"/>
            <w:tcBorders>
              <w:top w:val="single" w:color="000000" w:sz="4" w:space="0"/>
              <w:left w:val="nil"/>
              <w:bottom w:val="single" w:color="000000" w:sz="4" w:space="0"/>
              <w:right w:val="single" w:color="000000" w:sz="4" w:space="0"/>
            </w:tcBorders>
            <w:vAlign w:val="center"/>
          </w:tcPr>
          <w:p>
            <w:pPr>
              <w:textAlignment w:val="center"/>
              <w:rPr>
                <w:color w:val="000000"/>
                <w:sz w:val="18"/>
                <w:szCs w:val="18"/>
              </w:rPr>
            </w:pPr>
            <w:r>
              <w:rPr>
                <w:rFonts w:hint="eastAsia"/>
                <w:color w:val="000000"/>
                <w:sz w:val="18"/>
                <w:szCs w:val="18"/>
              </w:rPr>
              <w:t>印刷费</w:t>
            </w:r>
          </w:p>
        </w:tc>
        <w:tc>
          <w:tcPr>
            <w:tcW w:w="1110" w:type="dxa"/>
            <w:tcBorders>
              <w:top w:val="single" w:color="000000" w:sz="4" w:space="0"/>
              <w:left w:val="nil"/>
              <w:bottom w:val="single" w:color="000000" w:sz="4" w:space="0"/>
              <w:right w:val="single" w:color="000000" w:sz="4" w:space="0"/>
            </w:tcBorders>
            <w:noWrap/>
            <w:vAlign w:val="center"/>
          </w:tcPr>
          <w:p>
            <w:pPr>
              <w:textAlignment w:val="center"/>
              <w:rPr>
                <w:color w:val="000000"/>
                <w:sz w:val="18"/>
                <w:szCs w:val="18"/>
              </w:rPr>
            </w:pPr>
            <w:r>
              <w:rPr>
                <w:rFonts w:hint="eastAsia"/>
                <w:color w:val="000000"/>
                <w:sz w:val="18"/>
                <w:szCs w:val="18"/>
              </w:rPr>
              <w:t>0.25万元</w:t>
            </w:r>
          </w:p>
        </w:tc>
        <w:tc>
          <w:tcPr>
            <w:tcW w:w="1410" w:type="dxa"/>
            <w:tcBorders>
              <w:top w:val="single" w:color="000000" w:sz="4" w:space="0"/>
              <w:left w:val="nil"/>
              <w:bottom w:val="single" w:color="000000" w:sz="4" w:space="0"/>
              <w:right w:val="single" w:color="000000" w:sz="4" w:space="0"/>
            </w:tcBorders>
            <w:noWrap/>
            <w:vAlign w:val="center"/>
          </w:tcPr>
          <w:p>
            <w:pPr>
              <w:jc w:val="center"/>
              <w:textAlignment w:val="center"/>
              <w:rPr>
                <w:color w:val="000000"/>
                <w:sz w:val="18"/>
                <w:szCs w:val="18"/>
              </w:rPr>
            </w:pPr>
            <w:r>
              <w:rPr>
                <w:rFonts w:hint="eastAsia"/>
                <w:color w:val="000000"/>
                <w:sz w:val="18"/>
                <w:szCs w:val="18"/>
              </w:rPr>
              <w:t>0.25万元</w:t>
            </w:r>
          </w:p>
        </w:tc>
        <w:tc>
          <w:tcPr>
            <w:tcW w:w="690"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100%</w:t>
            </w:r>
          </w:p>
        </w:tc>
        <w:tc>
          <w:tcPr>
            <w:tcW w:w="675"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8</w:t>
            </w:r>
          </w:p>
        </w:tc>
        <w:tc>
          <w:tcPr>
            <w:tcW w:w="615"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8</w:t>
            </w:r>
          </w:p>
        </w:tc>
      </w:tr>
      <w:tr>
        <w:tblPrEx>
          <w:tblCellMar>
            <w:top w:w="0" w:type="dxa"/>
            <w:left w:w="108" w:type="dxa"/>
            <w:bottom w:w="0" w:type="dxa"/>
            <w:right w:w="108" w:type="dxa"/>
          </w:tblCellMar>
        </w:tblPrEx>
        <w:trPr>
          <w:trHeight w:val="480" w:hRule="atLeast"/>
        </w:trPr>
        <w:tc>
          <w:tcPr>
            <w:tcW w:w="8140" w:type="dxa"/>
            <w:vMerge w:val="continue"/>
            <w:tcBorders>
              <w:top w:val="nil"/>
              <w:left w:val="single" w:color="000000" w:sz="4" w:space="0"/>
              <w:bottom w:val="nil"/>
              <w:right w:val="single" w:color="000000" w:sz="4" w:space="0"/>
            </w:tcBorders>
            <w:vAlign w:val="center"/>
          </w:tcPr>
          <w:p>
            <w:pPr>
              <w:rPr>
                <w:color w:val="000000"/>
                <w:sz w:val="18"/>
                <w:szCs w:val="18"/>
              </w:rPr>
            </w:pPr>
          </w:p>
        </w:tc>
        <w:tc>
          <w:tcPr>
            <w:tcW w:w="1360" w:type="dxa"/>
            <w:tcBorders>
              <w:top w:val="single" w:color="000000" w:sz="4" w:space="0"/>
              <w:left w:val="nil"/>
              <w:bottom w:val="nil"/>
              <w:right w:val="single" w:color="000000" w:sz="4" w:space="0"/>
            </w:tcBorders>
            <w:vAlign w:val="center"/>
          </w:tcPr>
          <w:p>
            <w:pPr>
              <w:textAlignment w:val="center"/>
              <w:rPr>
                <w:color w:val="000000"/>
                <w:sz w:val="18"/>
                <w:szCs w:val="18"/>
              </w:rPr>
            </w:pPr>
            <w:r>
              <w:rPr>
                <w:rFonts w:hint="eastAsia"/>
                <w:color w:val="000000"/>
                <w:sz w:val="18"/>
                <w:szCs w:val="18"/>
              </w:rPr>
              <w:t xml:space="preserve">    －成本指标2</w:t>
            </w:r>
          </w:p>
        </w:tc>
        <w:tc>
          <w:tcPr>
            <w:tcW w:w="1440" w:type="dxa"/>
            <w:tcBorders>
              <w:top w:val="single" w:color="000000" w:sz="4" w:space="0"/>
              <w:left w:val="nil"/>
              <w:bottom w:val="single" w:color="000000" w:sz="4" w:space="0"/>
              <w:right w:val="single" w:color="000000" w:sz="4" w:space="0"/>
            </w:tcBorders>
            <w:vAlign w:val="center"/>
          </w:tcPr>
          <w:p>
            <w:pPr>
              <w:textAlignment w:val="center"/>
              <w:rPr>
                <w:color w:val="000000"/>
                <w:sz w:val="18"/>
                <w:szCs w:val="18"/>
              </w:rPr>
            </w:pPr>
            <w:r>
              <w:rPr>
                <w:rFonts w:hint="eastAsia"/>
                <w:color w:val="000000"/>
                <w:sz w:val="18"/>
                <w:szCs w:val="18"/>
              </w:rPr>
              <w:t>职工差旅费</w:t>
            </w:r>
          </w:p>
        </w:tc>
        <w:tc>
          <w:tcPr>
            <w:tcW w:w="1110" w:type="dxa"/>
            <w:tcBorders>
              <w:top w:val="single" w:color="000000" w:sz="4" w:space="0"/>
              <w:left w:val="nil"/>
              <w:bottom w:val="single" w:color="000000" w:sz="4" w:space="0"/>
              <w:right w:val="single" w:color="000000" w:sz="4" w:space="0"/>
            </w:tcBorders>
            <w:noWrap/>
            <w:vAlign w:val="center"/>
          </w:tcPr>
          <w:p>
            <w:pPr>
              <w:textAlignment w:val="center"/>
              <w:rPr>
                <w:color w:val="000000"/>
                <w:sz w:val="18"/>
                <w:szCs w:val="18"/>
              </w:rPr>
            </w:pPr>
            <w:r>
              <w:rPr>
                <w:rFonts w:hint="eastAsia"/>
                <w:color w:val="000000"/>
                <w:sz w:val="18"/>
                <w:szCs w:val="18"/>
              </w:rPr>
              <w:t>19.75万元</w:t>
            </w:r>
          </w:p>
        </w:tc>
        <w:tc>
          <w:tcPr>
            <w:tcW w:w="1410" w:type="dxa"/>
            <w:tcBorders>
              <w:top w:val="single" w:color="000000" w:sz="4" w:space="0"/>
              <w:left w:val="nil"/>
              <w:bottom w:val="single" w:color="000000" w:sz="4" w:space="0"/>
              <w:right w:val="single" w:color="000000" w:sz="4" w:space="0"/>
            </w:tcBorders>
            <w:noWrap/>
            <w:vAlign w:val="center"/>
          </w:tcPr>
          <w:p>
            <w:pPr>
              <w:jc w:val="center"/>
              <w:textAlignment w:val="center"/>
              <w:rPr>
                <w:color w:val="000000"/>
                <w:sz w:val="18"/>
                <w:szCs w:val="18"/>
              </w:rPr>
            </w:pPr>
            <w:r>
              <w:rPr>
                <w:rFonts w:hint="eastAsia"/>
                <w:color w:val="000000"/>
                <w:sz w:val="18"/>
                <w:szCs w:val="18"/>
              </w:rPr>
              <w:t>19.75万元</w:t>
            </w:r>
          </w:p>
        </w:tc>
        <w:tc>
          <w:tcPr>
            <w:tcW w:w="690"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100%</w:t>
            </w:r>
          </w:p>
        </w:tc>
        <w:tc>
          <w:tcPr>
            <w:tcW w:w="675"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8</w:t>
            </w:r>
          </w:p>
        </w:tc>
        <w:tc>
          <w:tcPr>
            <w:tcW w:w="615"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8</w:t>
            </w:r>
          </w:p>
        </w:tc>
      </w:tr>
      <w:tr>
        <w:tblPrEx>
          <w:tblCellMar>
            <w:top w:w="0" w:type="dxa"/>
            <w:left w:w="108" w:type="dxa"/>
            <w:bottom w:w="0" w:type="dxa"/>
            <w:right w:w="108" w:type="dxa"/>
          </w:tblCellMar>
        </w:tblPrEx>
        <w:trPr>
          <w:trHeight w:val="559" w:hRule="atLeast"/>
        </w:trPr>
        <w:tc>
          <w:tcPr>
            <w:tcW w:w="8140" w:type="dxa"/>
            <w:vMerge w:val="continue"/>
            <w:tcBorders>
              <w:top w:val="nil"/>
              <w:left w:val="single" w:color="000000" w:sz="4" w:space="0"/>
              <w:bottom w:val="nil"/>
              <w:right w:val="single" w:color="000000" w:sz="4" w:space="0"/>
            </w:tcBorders>
            <w:vAlign w:val="center"/>
          </w:tcPr>
          <w:p>
            <w:pPr>
              <w:rPr>
                <w:color w:val="000000"/>
                <w:sz w:val="18"/>
                <w:szCs w:val="18"/>
              </w:rPr>
            </w:pPr>
          </w:p>
        </w:tc>
        <w:tc>
          <w:tcPr>
            <w:tcW w:w="1360" w:type="dxa"/>
            <w:tcBorders>
              <w:top w:val="single" w:color="000000" w:sz="4" w:space="0"/>
              <w:left w:val="nil"/>
              <w:bottom w:val="nil"/>
              <w:right w:val="single" w:color="000000" w:sz="4" w:space="0"/>
            </w:tcBorders>
            <w:vAlign w:val="center"/>
          </w:tcPr>
          <w:p>
            <w:pPr>
              <w:textAlignment w:val="center"/>
              <w:rPr>
                <w:color w:val="000000"/>
                <w:sz w:val="18"/>
                <w:szCs w:val="18"/>
              </w:rPr>
            </w:pPr>
            <w:r>
              <w:rPr>
                <w:rFonts w:hint="eastAsia"/>
                <w:color w:val="000000"/>
                <w:sz w:val="18"/>
                <w:szCs w:val="18"/>
              </w:rPr>
              <w:t xml:space="preserve">    －时效指标</w:t>
            </w:r>
          </w:p>
        </w:tc>
        <w:tc>
          <w:tcPr>
            <w:tcW w:w="1440" w:type="dxa"/>
            <w:tcBorders>
              <w:top w:val="single" w:color="000000" w:sz="4" w:space="0"/>
              <w:left w:val="nil"/>
              <w:bottom w:val="single" w:color="000000" w:sz="4" w:space="0"/>
              <w:right w:val="single" w:color="000000" w:sz="4" w:space="0"/>
            </w:tcBorders>
            <w:vAlign w:val="center"/>
          </w:tcPr>
          <w:p>
            <w:pPr>
              <w:textAlignment w:val="center"/>
              <w:rPr>
                <w:color w:val="000000"/>
                <w:sz w:val="18"/>
                <w:szCs w:val="18"/>
              </w:rPr>
            </w:pPr>
            <w:r>
              <w:rPr>
                <w:rFonts w:hint="eastAsia"/>
                <w:color w:val="000000"/>
                <w:sz w:val="18"/>
                <w:szCs w:val="18"/>
              </w:rPr>
              <w:t>项目完成及时率</w:t>
            </w:r>
          </w:p>
        </w:tc>
        <w:tc>
          <w:tcPr>
            <w:tcW w:w="1110" w:type="dxa"/>
            <w:tcBorders>
              <w:top w:val="single" w:color="000000" w:sz="4" w:space="0"/>
              <w:left w:val="nil"/>
              <w:bottom w:val="single" w:color="000000" w:sz="4" w:space="0"/>
              <w:right w:val="single" w:color="000000" w:sz="4" w:space="0"/>
            </w:tcBorders>
            <w:shd w:val="clear" w:color="auto" w:fill="FFFFFF"/>
            <w:vAlign w:val="center"/>
          </w:tcPr>
          <w:p>
            <w:pPr>
              <w:textAlignment w:val="center"/>
              <w:rPr>
                <w:color w:val="000000"/>
                <w:sz w:val="18"/>
                <w:szCs w:val="18"/>
              </w:rPr>
            </w:pPr>
            <w:r>
              <w:rPr>
                <w:rFonts w:hint="eastAsia"/>
                <w:color w:val="000000"/>
                <w:sz w:val="18"/>
                <w:szCs w:val="18"/>
              </w:rPr>
              <w:t>≥95%</w:t>
            </w:r>
          </w:p>
        </w:tc>
        <w:tc>
          <w:tcPr>
            <w:tcW w:w="1410"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100%</w:t>
            </w:r>
          </w:p>
        </w:tc>
        <w:tc>
          <w:tcPr>
            <w:tcW w:w="690"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100%</w:t>
            </w:r>
          </w:p>
        </w:tc>
        <w:tc>
          <w:tcPr>
            <w:tcW w:w="675"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8</w:t>
            </w:r>
          </w:p>
        </w:tc>
        <w:tc>
          <w:tcPr>
            <w:tcW w:w="615"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8</w:t>
            </w:r>
          </w:p>
        </w:tc>
      </w:tr>
      <w:tr>
        <w:tblPrEx>
          <w:tblCellMar>
            <w:top w:w="0" w:type="dxa"/>
            <w:left w:w="108" w:type="dxa"/>
            <w:bottom w:w="0" w:type="dxa"/>
            <w:right w:w="108" w:type="dxa"/>
          </w:tblCellMar>
        </w:tblPrEx>
        <w:trPr>
          <w:trHeight w:val="540" w:hRule="atLeast"/>
        </w:trPr>
        <w:tc>
          <w:tcPr>
            <w:tcW w:w="8140" w:type="dxa"/>
            <w:vMerge w:val="continue"/>
            <w:tcBorders>
              <w:top w:val="nil"/>
              <w:left w:val="single" w:color="000000" w:sz="4" w:space="0"/>
              <w:bottom w:val="nil"/>
              <w:right w:val="single" w:color="000000" w:sz="4" w:space="0"/>
            </w:tcBorders>
            <w:vAlign w:val="center"/>
          </w:tcPr>
          <w:p>
            <w:pPr>
              <w:rPr>
                <w:color w:val="000000"/>
                <w:sz w:val="18"/>
                <w:szCs w:val="18"/>
              </w:rPr>
            </w:pPr>
          </w:p>
        </w:tc>
        <w:tc>
          <w:tcPr>
            <w:tcW w:w="1360" w:type="dxa"/>
            <w:tcBorders>
              <w:top w:val="single" w:color="000000" w:sz="4" w:space="0"/>
              <w:left w:val="nil"/>
              <w:bottom w:val="nil"/>
              <w:right w:val="single" w:color="000000" w:sz="4" w:space="0"/>
            </w:tcBorders>
            <w:vAlign w:val="center"/>
          </w:tcPr>
          <w:p>
            <w:pPr>
              <w:jc w:val="center"/>
              <w:textAlignment w:val="center"/>
              <w:rPr>
                <w:color w:val="000000"/>
                <w:sz w:val="18"/>
                <w:szCs w:val="18"/>
              </w:rPr>
            </w:pPr>
            <w:r>
              <w:rPr>
                <w:rFonts w:hint="eastAsia"/>
                <w:color w:val="000000"/>
                <w:sz w:val="18"/>
                <w:szCs w:val="18"/>
              </w:rPr>
              <w:t>效益指标（30分）            -经济效益</w:t>
            </w:r>
          </w:p>
        </w:tc>
        <w:tc>
          <w:tcPr>
            <w:tcW w:w="1440" w:type="dxa"/>
            <w:tcBorders>
              <w:top w:val="single" w:color="000000" w:sz="4" w:space="0"/>
              <w:left w:val="nil"/>
              <w:bottom w:val="single" w:color="000000" w:sz="4" w:space="0"/>
              <w:right w:val="single" w:color="000000" w:sz="4" w:space="0"/>
            </w:tcBorders>
            <w:shd w:val="clear" w:color="auto" w:fill="FFFFFF"/>
            <w:vAlign w:val="center"/>
          </w:tcPr>
          <w:p>
            <w:pPr>
              <w:jc w:val="center"/>
              <w:rPr>
                <w:color w:val="000000"/>
                <w:sz w:val="18"/>
                <w:szCs w:val="18"/>
              </w:rPr>
            </w:pPr>
          </w:p>
        </w:tc>
        <w:tc>
          <w:tcPr>
            <w:tcW w:w="1110" w:type="dxa"/>
            <w:tcBorders>
              <w:top w:val="single" w:color="000000" w:sz="4" w:space="0"/>
              <w:left w:val="nil"/>
              <w:bottom w:val="single" w:color="000000" w:sz="4" w:space="0"/>
              <w:right w:val="single" w:color="000000" w:sz="4" w:space="0"/>
            </w:tcBorders>
            <w:shd w:val="clear" w:color="auto" w:fill="FFFFFF"/>
            <w:vAlign w:val="center"/>
          </w:tcPr>
          <w:p>
            <w:pPr>
              <w:rPr>
                <w:color w:val="000000"/>
                <w:sz w:val="18"/>
                <w:szCs w:val="18"/>
              </w:rPr>
            </w:pPr>
          </w:p>
        </w:tc>
        <w:tc>
          <w:tcPr>
            <w:tcW w:w="1410" w:type="dxa"/>
            <w:tcBorders>
              <w:top w:val="single" w:color="000000" w:sz="4" w:space="0"/>
              <w:left w:val="nil"/>
              <w:bottom w:val="single" w:color="000000" w:sz="4" w:space="0"/>
              <w:right w:val="single" w:color="000000" w:sz="4" w:space="0"/>
            </w:tcBorders>
            <w:shd w:val="clear" w:color="auto" w:fill="FFFFFF"/>
            <w:vAlign w:val="center"/>
          </w:tcPr>
          <w:p>
            <w:pPr>
              <w:jc w:val="center"/>
              <w:rPr>
                <w:color w:val="000000"/>
                <w:sz w:val="18"/>
                <w:szCs w:val="18"/>
              </w:rPr>
            </w:pPr>
          </w:p>
        </w:tc>
        <w:tc>
          <w:tcPr>
            <w:tcW w:w="690" w:type="dxa"/>
            <w:tcBorders>
              <w:top w:val="single" w:color="000000" w:sz="4" w:space="0"/>
              <w:left w:val="nil"/>
              <w:bottom w:val="single" w:color="000000" w:sz="4" w:space="0"/>
              <w:right w:val="single" w:color="000000" w:sz="4" w:space="0"/>
            </w:tcBorders>
            <w:shd w:val="clear" w:color="auto" w:fill="FFFFFF"/>
            <w:vAlign w:val="center"/>
          </w:tcPr>
          <w:p>
            <w:pPr>
              <w:jc w:val="center"/>
              <w:rPr>
                <w:color w:val="000000"/>
                <w:sz w:val="18"/>
                <w:szCs w:val="18"/>
              </w:rPr>
            </w:pPr>
          </w:p>
        </w:tc>
        <w:tc>
          <w:tcPr>
            <w:tcW w:w="675" w:type="dxa"/>
            <w:tcBorders>
              <w:top w:val="single" w:color="000000" w:sz="4" w:space="0"/>
              <w:left w:val="nil"/>
              <w:bottom w:val="single" w:color="000000" w:sz="4" w:space="0"/>
              <w:right w:val="single" w:color="000000" w:sz="4" w:space="0"/>
            </w:tcBorders>
            <w:shd w:val="clear" w:color="auto" w:fill="FFFFFF"/>
            <w:vAlign w:val="center"/>
          </w:tcPr>
          <w:p>
            <w:pPr>
              <w:jc w:val="center"/>
              <w:rPr>
                <w:color w:val="000000"/>
                <w:sz w:val="18"/>
                <w:szCs w:val="18"/>
              </w:rPr>
            </w:pPr>
          </w:p>
        </w:tc>
        <w:tc>
          <w:tcPr>
            <w:tcW w:w="615" w:type="dxa"/>
            <w:tcBorders>
              <w:top w:val="single" w:color="000000" w:sz="4" w:space="0"/>
              <w:left w:val="nil"/>
              <w:bottom w:val="single" w:color="000000" w:sz="4" w:space="0"/>
              <w:right w:val="single" w:color="000000" w:sz="4" w:space="0"/>
            </w:tcBorders>
            <w:shd w:val="clear" w:color="auto" w:fill="FFFFFF"/>
            <w:vAlign w:val="center"/>
          </w:tcPr>
          <w:p>
            <w:pPr>
              <w:jc w:val="center"/>
              <w:rPr>
                <w:color w:val="000000"/>
                <w:sz w:val="18"/>
                <w:szCs w:val="18"/>
              </w:rPr>
            </w:pPr>
          </w:p>
        </w:tc>
      </w:tr>
      <w:tr>
        <w:tblPrEx>
          <w:tblCellMar>
            <w:top w:w="0" w:type="dxa"/>
            <w:left w:w="108" w:type="dxa"/>
            <w:bottom w:w="0" w:type="dxa"/>
            <w:right w:w="108" w:type="dxa"/>
          </w:tblCellMar>
        </w:tblPrEx>
        <w:trPr>
          <w:trHeight w:val="462" w:hRule="atLeast"/>
        </w:trPr>
        <w:tc>
          <w:tcPr>
            <w:tcW w:w="8140" w:type="dxa"/>
            <w:vMerge w:val="continue"/>
            <w:tcBorders>
              <w:top w:val="nil"/>
              <w:left w:val="single" w:color="000000" w:sz="4" w:space="0"/>
              <w:bottom w:val="nil"/>
              <w:right w:val="single" w:color="000000" w:sz="4" w:space="0"/>
            </w:tcBorders>
            <w:vAlign w:val="center"/>
          </w:tcPr>
          <w:p>
            <w:pPr>
              <w:rPr>
                <w:color w:val="000000"/>
                <w:sz w:val="18"/>
                <w:szCs w:val="18"/>
              </w:rPr>
            </w:pPr>
          </w:p>
        </w:tc>
        <w:tc>
          <w:tcPr>
            <w:tcW w:w="1360" w:type="dxa"/>
            <w:tcBorders>
              <w:top w:val="single" w:color="000000" w:sz="4" w:space="0"/>
              <w:left w:val="nil"/>
              <w:bottom w:val="nil"/>
              <w:right w:val="single" w:color="000000" w:sz="4" w:space="0"/>
            </w:tcBorders>
            <w:vAlign w:val="center"/>
          </w:tcPr>
          <w:p>
            <w:pPr>
              <w:textAlignment w:val="center"/>
              <w:rPr>
                <w:color w:val="000000"/>
                <w:sz w:val="18"/>
                <w:szCs w:val="18"/>
              </w:rPr>
            </w:pPr>
            <w:r>
              <w:rPr>
                <w:rFonts w:hint="eastAsia"/>
                <w:color w:val="000000"/>
                <w:sz w:val="18"/>
                <w:szCs w:val="18"/>
              </w:rPr>
              <w:t xml:space="preserve">     -社会效益</w:t>
            </w:r>
          </w:p>
        </w:tc>
        <w:tc>
          <w:tcPr>
            <w:tcW w:w="1440"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保障群众出行和生产生活</w:t>
            </w:r>
          </w:p>
        </w:tc>
        <w:tc>
          <w:tcPr>
            <w:tcW w:w="1110" w:type="dxa"/>
            <w:tcBorders>
              <w:top w:val="single" w:color="000000" w:sz="4" w:space="0"/>
              <w:left w:val="nil"/>
              <w:bottom w:val="single" w:color="000000" w:sz="4" w:space="0"/>
              <w:right w:val="single" w:color="000000" w:sz="4" w:space="0"/>
            </w:tcBorders>
            <w:shd w:val="clear" w:color="auto" w:fill="FFFFFF"/>
            <w:vAlign w:val="center"/>
          </w:tcPr>
          <w:p>
            <w:pPr>
              <w:textAlignment w:val="center"/>
              <w:rPr>
                <w:color w:val="000000"/>
                <w:sz w:val="18"/>
                <w:szCs w:val="18"/>
              </w:rPr>
            </w:pPr>
            <w:r>
              <w:rPr>
                <w:rFonts w:hint="eastAsia"/>
                <w:color w:val="000000"/>
                <w:sz w:val="18"/>
                <w:szCs w:val="18"/>
              </w:rPr>
              <w:t>≥95%</w:t>
            </w:r>
          </w:p>
        </w:tc>
        <w:tc>
          <w:tcPr>
            <w:tcW w:w="1410"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96%</w:t>
            </w:r>
          </w:p>
        </w:tc>
        <w:tc>
          <w:tcPr>
            <w:tcW w:w="690"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100%</w:t>
            </w:r>
          </w:p>
        </w:tc>
        <w:tc>
          <w:tcPr>
            <w:tcW w:w="675"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30</w:t>
            </w:r>
          </w:p>
        </w:tc>
        <w:tc>
          <w:tcPr>
            <w:tcW w:w="615"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 xml:space="preserve">30.00 </w:t>
            </w:r>
          </w:p>
        </w:tc>
      </w:tr>
      <w:tr>
        <w:tblPrEx>
          <w:tblCellMar>
            <w:top w:w="0" w:type="dxa"/>
            <w:left w:w="108" w:type="dxa"/>
            <w:bottom w:w="0" w:type="dxa"/>
            <w:right w:w="108" w:type="dxa"/>
          </w:tblCellMar>
        </w:tblPrEx>
        <w:trPr>
          <w:trHeight w:val="462" w:hRule="atLeast"/>
        </w:trPr>
        <w:tc>
          <w:tcPr>
            <w:tcW w:w="8140" w:type="dxa"/>
            <w:vMerge w:val="continue"/>
            <w:tcBorders>
              <w:top w:val="nil"/>
              <w:left w:val="single" w:color="000000" w:sz="4" w:space="0"/>
              <w:bottom w:val="nil"/>
              <w:right w:val="single" w:color="000000" w:sz="4" w:space="0"/>
            </w:tcBorders>
            <w:vAlign w:val="center"/>
          </w:tcPr>
          <w:p>
            <w:pPr>
              <w:rPr>
                <w:color w:val="000000"/>
                <w:sz w:val="18"/>
                <w:szCs w:val="18"/>
              </w:rPr>
            </w:pPr>
          </w:p>
        </w:tc>
        <w:tc>
          <w:tcPr>
            <w:tcW w:w="1360" w:type="dxa"/>
            <w:tcBorders>
              <w:top w:val="single" w:color="000000" w:sz="4" w:space="0"/>
              <w:left w:val="nil"/>
              <w:bottom w:val="nil"/>
              <w:right w:val="single" w:color="000000" w:sz="4" w:space="0"/>
            </w:tcBorders>
            <w:vAlign w:val="center"/>
          </w:tcPr>
          <w:p>
            <w:pPr>
              <w:textAlignment w:val="center"/>
              <w:rPr>
                <w:color w:val="000000"/>
                <w:sz w:val="18"/>
                <w:szCs w:val="18"/>
              </w:rPr>
            </w:pPr>
            <w:r>
              <w:rPr>
                <w:rFonts w:hint="eastAsia"/>
                <w:color w:val="000000"/>
                <w:sz w:val="18"/>
                <w:szCs w:val="18"/>
              </w:rPr>
              <w:t xml:space="preserve">     -生态效益</w:t>
            </w:r>
          </w:p>
        </w:tc>
        <w:tc>
          <w:tcPr>
            <w:tcW w:w="1440" w:type="dxa"/>
            <w:tcBorders>
              <w:top w:val="single" w:color="000000" w:sz="4" w:space="0"/>
              <w:left w:val="nil"/>
              <w:bottom w:val="single" w:color="000000" w:sz="4" w:space="0"/>
              <w:right w:val="single" w:color="000000" w:sz="4" w:space="0"/>
            </w:tcBorders>
            <w:shd w:val="clear" w:color="auto" w:fill="FFFFFF"/>
            <w:vAlign w:val="center"/>
          </w:tcPr>
          <w:p>
            <w:pPr>
              <w:jc w:val="center"/>
              <w:rPr>
                <w:color w:val="000000"/>
                <w:sz w:val="18"/>
                <w:szCs w:val="18"/>
              </w:rPr>
            </w:pPr>
          </w:p>
        </w:tc>
        <w:tc>
          <w:tcPr>
            <w:tcW w:w="1110" w:type="dxa"/>
            <w:tcBorders>
              <w:top w:val="single" w:color="000000" w:sz="4" w:space="0"/>
              <w:left w:val="nil"/>
              <w:bottom w:val="single" w:color="000000" w:sz="4" w:space="0"/>
              <w:right w:val="single" w:color="000000" w:sz="4" w:space="0"/>
            </w:tcBorders>
            <w:shd w:val="clear" w:color="auto" w:fill="FFFFFF"/>
            <w:vAlign w:val="center"/>
          </w:tcPr>
          <w:p>
            <w:pPr>
              <w:rPr>
                <w:color w:val="000000"/>
                <w:sz w:val="18"/>
                <w:szCs w:val="18"/>
              </w:rPr>
            </w:pPr>
          </w:p>
        </w:tc>
        <w:tc>
          <w:tcPr>
            <w:tcW w:w="1410" w:type="dxa"/>
            <w:tcBorders>
              <w:top w:val="single" w:color="000000" w:sz="4" w:space="0"/>
              <w:left w:val="nil"/>
              <w:bottom w:val="single" w:color="000000" w:sz="4" w:space="0"/>
              <w:right w:val="single" w:color="000000" w:sz="4" w:space="0"/>
            </w:tcBorders>
            <w:shd w:val="clear" w:color="auto" w:fill="FFFFFF"/>
            <w:vAlign w:val="center"/>
          </w:tcPr>
          <w:p>
            <w:pPr>
              <w:jc w:val="center"/>
              <w:rPr>
                <w:color w:val="000000"/>
                <w:sz w:val="18"/>
                <w:szCs w:val="18"/>
              </w:rPr>
            </w:pPr>
          </w:p>
        </w:tc>
        <w:tc>
          <w:tcPr>
            <w:tcW w:w="690" w:type="dxa"/>
            <w:tcBorders>
              <w:top w:val="single" w:color="000000" w:sz="4" w:space="0"/>
              <w:left w:val="nil"/>
              <w:bottom w:val="single" w:color="000000" w:sz="4" w:space="0"/>
              <w:right w:val="single" w:color="000000" w:sz="4" w:space="0"/>
            </w:tcBorders>
            <w:shd w:val="clear" w:color="auto" w:fill="FFFFFF"/>
            <w:vAlign w:val="center"/>
          </w:tcPr>
          <w:p>
            <w:pPr>
              <w:jc w:val="center"/>
              <w:rPr>
                <w:color w:val="000000"/>
                <w:sz w:val="18"/>
                <w:szCs w:val="18"/>
              </w:rPr>
            </w:pPr>
          </w:p>
        </w:tc>
        <w:tc>
          <w:tcPr>
            <w:tcW w:w="675" w:type="dxa"/>
            <w:tcBorders>
              <w:top w:val="single" w:color="000000" w:sz="4" w:space="0"/>
              <w:left w:val="nil"/>
              <w:bottom w:val="single" w:color="000000" w:sz="4" w:space="0"/>
              <w:right w:val="single" w:color="000000" w:sz="4" w:space="0"/>
            </w:tcBorders>
            <w:shd w:val="clear" w:color="auto" w:fill="FFFFFF"/>
            <w:vAlign w:val="center"/>
          </w:tcPr>
          <w:p>
            <w:pPr>
              <w:jc w:val="center"/>
              <w:rPr>
                <w:color w:val="000000"/>
                <w:sz w:val="18"/>
                <w:szCs w:val="18"/>
              </w:rPr>
            </w:pPr>
          </w:p>
        </w:tc>
        <w:tc>
          <w:tcPr>
            <w:tcW w:w="615" w:type="dxa"/>
            <w:tcBorders>
              <w:top w:val="single" w:color="000000" w:sz="4" w:space="0"/>
              <w:left w:val="nil"/>
              <w:bottom w:val="single" w:color="000000" w:sz="4" w:space="0"/>
              <w:right w:val="single" w:color="000000" w:sz="4" w:space="0"/>
            </w:tcBorders>
            <w:shd w:val="clear" w:color="auto" w:fill="FFFFFF"/>
            <w:vAlign w:val="center"/>
          </w:tcPr>
          <w:p>
            <w:pPr>
              <w:jc w:val="center"/>
              <w:rPr>
                <w:color w:val="000000"/>
                <w:sz w:val="18"/>
                <w:szCs w:val="18"/>
              </w:rPr>
            </w:pPr>
          </w:p>
        </w:tc>
      </w:tr>
      <w:tr>
        <w:tblPrEx>
          <w:tblCellMar>
            <w:top w:w="0" w:type="dxa"/>
            <w:left w:w="108" w:type="dxa"/>
            <w:bottom w:w="0" w:type="dxa"/>
            <w:right w:w="108" w:type="dxa"/>
          </w:tblCellMar>
        </w:tblPrEx>
        <w:trPr>
          <w:trHeight w:val="462" w:hRule="atLeast"/>
        </w:trPr>
        <w:tc>
          <w:tcPr>
            <w:tcW w:w="8140" w:type="dxa"/>
            <w:vMerge w:val="continue"/>
            <w:tcBorders>
              <w:top w:val="nil"/>
              <w:left w:val="single" w:color="000000" w:sz="4" w:space="0"/>
              <w:bottom w:val="nil"/>
              <w:right w:val="single" w:color="000000" w:sz="4" w:space="0"/>
            </w:tcBorders>
            <w:vAlign w:val="center"/>
          </w:tcPr>
          <w:p>
            <w:pPr>
              <w:rPr>
                <w:color w:val="000000"/>
                <w:sz w:val="18"/>
                <w:szCs w:val="18"/>
              </w:rPr>
            </w:pPr>
          </w:p>
        </w:tc>
        <w:tc>
          <w:tcPr>
            <w:tcW w:w="1360" w:type="dxa"/>
            <w:tcBorders>
              <w:top w:val="single" w:color="000000" w:sz="4" w:space="0"/>
              <w:left w:val="nil"/>
              <w:bottom w:val="nil"/>
              <w:right w:val="single" w:color="000000" w:sz="4" w:space="0"/>
            </w:tcBorders>
            <w:vAlign w:val="center"/>
          </w:tcPr>
          <w:p>
            <w:pPr>
              <w:textAlignment w:val="center"/>
              <w:rPr>
                <w:color w:val="000000"/>
                <w:sz w:val="18"/>
                <w:szCs w:val="18"/>
              </w:rPr>
            </w:pPr>
            <w:r>
              <w:rPr>
                <w:rFonts w:hint="eastAsia"/>
                <w:color w:val="000000"/>
                <w:sz w:val="18"/>
                <w:szCs w:val="18"/>
              </w:rPr>
              <w:t xml:space="preserve">     -可持续影响</w:t>
            </w:r>
          </w:p>
        </w:tc>
        <w:tc>
          <w:tcPr>
            <w:tcW w:w="1440" w:type="dxa"/>
            <w:tcBorders>
              <w:top w:val="single" w:color="000000" w:sz="4" w:space="0"/>
              <w:left w:val="nil"/>
              <w:bottom w:val="single" w:color="000000" w:sz="4" w:space="0"/>
              <w:right w:val="single" w:color="000000" w:sz="4" w:space="0"/>
            </w:tcBorders>
            <w:shd w:val="clear" w:color="auto" w:fill="FFFFFF"/>
            <w:vAlign w:val="center"/>
          </w:tcPr>
          <w:p>
            <w:pPr>
              <w:jc w:val="center"/>
              <w:rPr>
                <w:color w:val="000000"/>
                <w:sz w:val="18"/>
                <w:szCs w:val="18"/>
              </w:rPr>
            </w:pPr>
          </w:p>
        </w:tc>
        <w:tc>
          <w:tcPr>
            <w:tcW w:w="1110" w:type="dxa"/>
            <w:tcBorders>
              <w:top w:val="single" w:color="000000" w:sz="4" w:space="0"/>
              <w:left w:val="nil"/>
              <w:bottom w:val="single" w:color="000000" w:sz="4" w:space="0"/>
              <w:right w:val="single" w:color="000000" w:sz="4" w:space="0"/>
            </w:tcBorders>
            <w:shd w:val="clear" w:color="auto" w:fill="FFFFFF"/>
            <w:vAlign w:val="center"/>
          </w:tcPr>
          <w:p>
            <w:pPr>
              <w:rPr>
                <w:color w:val="000000"/>
                <w:sz w:val="18"/>
                <w:szCs w:val="18"/>
              </w:rPr>
            </w:pPr>
          </w:p>
        </w:tc>
        <w:tc>
          <w:tcPr>
            <w:tcW w:w="1410" w:type="dxa"/>
            <w:tcBorders>
              <w:top w:val="single" w:color="000000" w:sz="4" w:space="0"/>
              <w:left w:val="nil"/>
              <w:bottom w:val="single" w:color="000000" w:sz="4" w:space="0"/>
              <w:right w:val="single" w:color="000000" w:sz="4" w:space="0"/>
            </w:tcBorders>
            <w:shd w:val="clear" w:color="auto" w:fill="FFFFFF"/>
            <w:vAlign w:val="center"/>
          </w:tcPr>
          <w:p>
            <w:pPr>
              <w:jc w:val="center"/>
              <w:rPr>
                <w:color w:val="000000"/>
                <w:sz w:val="18"/>
                <w:szCs w:val="18"/>
              </w:rPr>
            </w:pPr>
          </w:p>
        </w:tc>
        <w:tc>
          <w:tcPr>
            <w:tcW w:w="690" w:type="dxa"/>
            <w:tcBorders>
              <w:top w:val="single" w:color="000000" w:sz="4" w:space="0"/>
              <w:left w:val="nil"/>
              <w:bottom w:val="single" w:color="000000" w:sz="4" w:space="0"/>
              <w:right w:val="single" w:color="000000" w:sz="4" w:space="0"/>
            </w:tcBorders>
            <w:shd w:val="clear" w:color="auto" w:fill="FFFFFF"/>
            <w:vAlign w:val="center"/>
          </w:tcPr>
          <w:p>
            <w:pPr>
              <w:jc w:val="center"/>
              <w:rPr>
                <w:color w:val="000000"/>
                <w:sz w:val="18"/>
                <w:szCs w:val="18"/>
              </w:rPr>
            </w:pPr>
          </w:p>
        </w:tc>
        <w:tc>
          <w:tcPr>
            <w:tcW w:w="675" w:type="dxa"/>
            <w:tcBorders>
              <w:top w:val="single" w:color="000000" w:sz="4" w:space="0"/>
              <w:left w:val="nil"/>
              <w:bottom w:val="single" w:color="000000" w:sz="4" w:space="0"/>
              <w:right w:val="single" w:color="000000" w:sz="4" w:space="0"/>
            </w:tcBorders>
            <w:shd w:val="clear" w:color="auto" w:fill="FFFFFF"/>
            <w:vAlign w:val="center"/>
          </w:tcPr>
          <w:p>
            <w:pPr>
              <w:jc w:val="center"/>
              <w:rPr>
                <w:color w:val="000000"/>
                <w:sz w:val="18"/>
                <w:szCs w:val="18"/>
              </w:rPr>
            </w:pPr>
          </w:p>
        </w:tc>
        <w:tc>
          <w:tcPr>
            <w:tcW w:w="615" w:type="dxa"/>
            <w:tcBorders>
              <w:top w:val="single" w:color="000000" w:sz="4" w:space="0"/>
              <w:left w:val="nil"/>
              <w:bottom w:val="single" w:color="000000" w:sz="4" w:space="0"/>
              <w:right w:val="single" w:color="000000" w:sz="4" w:space="0"/>
            </w:tcBorders>
            <w:shd w:val="clear" w:color="auto" w:fill="FFFFFF"/>
            <w:vAlign w:val="center"/>
          </w:tcPr>
          <w:p>
            <w:pPr>
              <w:jc w:val="center"/>
              <w:rPr>
                <w:color w:val="000000"/>
                <w:sz w:val="18"/>
                <w:szCs w:val="18"/>
              </w:rPr>
            </w:pPr>
          </w:p>
        </w:tc>
      </w:tr>
      <w:tr>
        <w:tblPrEx>
          <w:tblCellMar>
            <w:top w:w="0" w:type="dxa"/>
            <w:left w:w="108" w:type="dxa"/>
            <w:bottom w:w="0" w:type="dxa"/>
            <w:right w:w="108" w:type="dxa"/>
          </w:tblCellMar>
        </w:tblPrEx>
        <w:trPr>
          <w:trHeight w:val="499" w:hRule="atLeast"/>
        </w:trPr>
        <w:tc>
          <w:tcPr>
            <w:tcW w:w="8140" w:type="dxa"/>
            <w:vMerge w:val="continue"/>
            <w:tcBorders>
              <w:top w:val="nil"/>
              <w:left w:val="single" w:color="000000" w:sz="4" w:space="0"/>
              <w:bottom w:val="nil"/>
              <w:right w:val="single" w:color="000000" w:sz="4" w:space="0"/>
            </w:tcBorders>
            <w:vAlign w:val="center"/>
          </w:tcPr>
          <w:p>
            <w:pPr>
              <w:rPr>
                <w:color w:val="000000"/>
                <w:sz w:val="18"/>
                <w:szCs w:val="18"/>
              </w:rPr>
            </w:pPr>
          </w:p>
        </w:tc>
        <w:tc>
          <w:tcPr>
            <w:tcW w:w="1360" w:type="dxa"/>
            <w:tcBorders>
              <w:top w:val="single" w:color="000000" w:sz="4" w:space="0"/>
              <w:left w:val="nil"/>
              <w:bottom w:val="single" w:color="000000" w:sz="4" w:space="0"/>
              <w:right w:val="single" w:color="000000" w:sz="4" w:space="0"/>
            </w:tcBorders>
            <w:vAlign w:val="center"/>
          </w:tcPr>
          <w:p>
            <w:pPr>
              <w:textAlignment w:val="center"/>
              <w:rPr>
                <w:color w:val="000000"/>
                <w:sz w:val="18"/>
                <w:szCs w:val="18"/>
              </w:rPr>
            </w:pPr>
            <w:r>
              <w:rPr>
                <w:rFonts w:hint="eastAsia"/>
                <w:color w:val="000000"/>
                <w:sz w:val="18"/>
                <w:szCs w:val="18"/>
              </w:rPr>
              <w:t>满意度指标（10分）</w:t>
            </w:r>
          </w:p>
        </w:tc>
        <w:tc>
          <w:tcPr>
            <w:tcW w:w="1440" w:type="dxa"/>
            <w:tcBorders>
              <w:top w:val="single" w:color="000000" w:sz="4" w:space="0"/>
              <w:left w:val="nil"/>
              <w:bottom w:val="single" w:color="000000" w:sz="4" w:space="0"/>
              <w:right w:val="single" w:color="000000" w:sz="4" w:space="0"/>
            </w:tcBorders>
            <w:vAlign w:val="center"/>
          </w:tcPr>
          <w:p>
            <w:pPr>
              <w:textAlignment w:val="center"/>
              <w:rPr>
                <w:color w:val="000000"/>
                <w:sz w:val="18"/>
                <w:szCs w:val="18"/>
              </w:rPr>
            </w:pPr>
            <w:r>
              <w:rPr>
                <w:rFonts w:hint="eastAsia"/>
                <w:color w:val="000000"/>
                <w:sz w:val="18"/>
                <w:szCs w:val="18"/>
              </w:rPr>
              <w:t>服务对象满意度</w:t>
            </w:r>
          </w:p>
        </w:tc>
        <w:tc>
          <w:tcPr>
            <w:tcW w:w="1110" w:type="dxa"/>
            <w:tcBorders>
              <w:top w:val="single" w:color="000000" w:sz="4" w:space="0"/>
              <w:left w:val="nil"/>
              <w:bottom w:val="single" w:color="000000" w:sz="4" w:space="0"/>
              <w:right w:val="single" w:color="000000" w:sz="4" w:space="0"/>
            </w:tcBorders>
            <w:shd w:val="clear" w:color="auto" w:fill="FFFFFF"/>
            <w:vAlign w:val="center"/>
          </w:tcPr>
          <w:p>
            <w:pPr>
              <w:textAlignment w:val="center"/>
              <w:rPr>
                <w:color w:val="000000"/>
                <w:sz w:val="18"/>
                <w:szCs w:val="18"/>
              </w:rPr>
            </w:pPr>
            <w:r>
              <w:rPr>
                <w:rFonts w:hint="eastAsia"/>
                <w:color w:val="000000"/>
                <w:sz w:val="18"/>
                <w:szCs w:val="18"/>
              </w:rPr>
              <w:t>≥95%</w:t>
            </w:r>
          </w:p>
        </w:tc>
        <w:tc>
          <w:tcPr>
            <w:tcW w:w="1410"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100%</w:t>
            </w:r>
          </w:p>
        </w:tc>
        <w:tc>
          <w:tcPr>
            <w:tcW w:w="690"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100%</w:t>
            </w:r>
          </w:p>
        </w:tc>
        <w:tc>
          <w:tcPr>
            <w:tcW w:w="675"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10</w:t>
            </w:r>
          </w:p>
        </w:tc>
        <w:tc>
          <w:tcPr>
            <w:tcW w:w="615" w:type="dxa"/>
            <w:tcBorders>
              <w:top w:val="single" w:color="000000" w:sz="4" w:space="0"/>
              <w:left w:val="nil"/>
              <w:bottom w:val="single" w:color="000000" w:sz="4" w:space="0"/>
              <w:right w:val="single" w:color="000000" w:sz="4" w:space="0"/>
            </w:tcBorders>
            <w:shd w:val="clear" w:color="auto" w:fill="FFFFFF"/>
            <w:vAlign w:val="center"/>
          </w:tcPr>
          <w:p>
            <w:pPr>
              <w:jc w:val="center"/>
              <w:textAlignment w:val="center"/>
              <w:rPr>
                <w:color w:val="000000"/>
                <w:sz w:val="18"/>
                <w:szCs w:val="18"/>
              </w:rPr>
            </w:pPr>
            <w:r>
              <w:rPr>
                <w:rFonts w:hint="eastAsia"/>
                <w:color w:val="000000"/>
                <w:sz w:val="18"/>
                <w:szCs w:val="18"/>
              </w:rPr>
              <w:t xml:space="preserve">10.00 </w:t>
            </w:r>
          </w:p>
        </w:tc>
      </w:tr>
      <w:tr>
        <w:tblPrEx>
          <w:tblCellMar>
            <w:top w:w="0" w:type="dxa"/>
            <w:left w:w="108" w:type="dxa"/>
            <w:bottom w:w="0" w:type="dxa"/>
            <w:right w:w="108" w:type="dxa"/>
          </w:tblCellMar>
        </w:tblPrEx>
        <w:trPr>
          <w:trHeight w:val="645" w:hRule="atLeast"/>
        </w:trPr>
        <w:tc>
          <w:tcPr>
            <w:tcW w:w="2200"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000000"/>
                <w:sz w:val="18"/>
                <w:szCs w:val="18"/>
              </w:rPr>
            </w:pPr>
            <w:r>
              <w:rPr>
                <w:rFonts w:hint="eastAsia"/>
                <w:color w:val="000000"/>
                <w:sz w:val="18"/>
                <w:szCs w:val="18"/>
              </w:rPr>
              <w:t>绩效目标未全部完成原因分析及整改措施</w:t>
            </w:r>
          </w:p>
        </w:tc>
        <w:tc>
          <w:tcPr>
            <w:tcW w:w="1440"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4500" w:type="dxa"/>
            <w:gridSpan w:val="5"/>
            <w:tcBorders>
              <w:top w:val="single" w:color="000000" w:sz="4" w:space="0"/>
              <w:left w:val="nil"/>
              <w:bottom w:val="single" w:color="000000" w:sz="4" w:space="0"/>
              <w:right w:val="single" w:color="000000" w:sz="4" w:space="0"/>
            </w:tcBorders>
            <w:shd w:val="clear" w:color="auto" w:fill="FFFFFF"/>
          </w:tcPr>
          <w:p>
            <w:pPr>
              <w:textAlignment w:val="top"/>
              <w:rPr>
                <w:color w:val="000000"/>
                <w:sz w:val="18"/>
                <w:szCs w:val="18"/>
              </w:rPr>
            </w:pPr>
            <w:r>
              <w:rPr>
                <w:rFonts w:hint="eastAsia"/>
                <w:color w:val="000000"/>
                <w:sz w:val="18"/>
                <w:szCs w:val="18"/>
              </w:rPr>
              <w:t xml:space="preserve">                                                                                一、未全部完成原因分析:</w:t>
            </w:r>
          </w:p>
        </w:tc>
      </w:tr>
      <w:tr>
        <w:tblPrEx>
          <w:tblCellMar>
            <w:top w:w="0" w:type="dxa"/>
            <w:left w:w="108" w:type="dxa"/>
            <w:bottom w:w="0" w:type="dxa"/>
            <w:right w:w="108" w:type="dxa"/>
          </w:tblCellMar>
        </w:tblPrEx>
        <w:trPr>
          <w:trHeight w:val="600" w:hRule="atLeast"/>
        </w:trPr>
        <w:tc>
          <w:tcPr>
            <w:tcW w:w="13460"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8"/>
                <w:szCs w:val="18"/>
              </w:rPr>
            </w:pPr>
          </w:p>
        </w:tc>
        <w:tc>
          <w:tcPr>
            <w:tcW w:w="1440"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4500" w:type="dxa"/>
            <w:gridSpan w:val="5"/>
            <w:tcBorders>
              <w:top w:val="single" w:color="000000" w:sz="4" w:space="0"/>
              <w:left w:val="nil"/>
              <w:bottom w:val="single" w:color="000000" w:sz="4" w:space="0"/>
              <w:right w:val="single" w:color="000000" w:sz="4" w:space="0"/>
            </w:tcBorders>
            <w:shd w:val="clear" w:color="auto" w:fill="FFFFFF"/>
          </w:tcPr>
          <w:p>
            <w:pPr>
              <w:textAlignment w:val="top"/>
              <w:rPr>
                <w:color w:val="000000"/>
                <w:sz w:val="18"/>
                <w:szCs w:val="18"/>
              </w:rPr>
            </w:pPr>
            <w:r>
              <w:rPr>
                <w:rFonts w:hint="eastAsia"/>
                <w:color w:val="000000"/>
                <w:sz w:val="18"/>
                <w:szCs w:val="18"/>
              </w:rPr>
              <w:t>二、整改措施：</w:t>
            </w:r>
          </w:p>
        </w:tc>
      </w:tr>
      <w:tr>
        <w:tblPrEx>
          <w:tblCellMar>
            <w:top w:w="0" w:type="dxa"/>
            <w:left w:w="108" w:type="dxa"/>
            <w:bottom w:w="0" w:type="dxa"/>
            <w:right w:w="108" w:type="dxa"/>
          </w:tblCellMar>
        </w:tblPrEx>
        <w:trPr>
          <w:trHeight w:val="600" w:hRule="atLeast"/>
        </w:trPr>
        <w:tc>
          <w:tcPr>
            <w:tcW w:w="8140" w:type="dxa"/>
            <w:gridSpan w:val="8"/>
            <w:tcBorders>
              <w:top w:val="single" w:color="000000" w:sz="4" w:space="0"/>
              <w:left w:val="single" w:color="000000" w:sz="4" w:space="0"/>
              <w:bottom w:val="single" w:color="000000" w:sz="4" w:space="0"/>
              <w:right w:val="single" w:color="000000" w:sz="4" w:space="0"/>
            </w:tcBorders>
            <w:vAlign w:val="center"/>
          </w:tcPr>
          <w:p>
            <w:pPr>
              <w:textAlignment w:val="top"/>
              <w:rPr>
                <w:color w:val="000000"/>
                <w:sz w:val="18"/>
                <w:szCs w:val="18"/>
              </w:rPr>
            </w:pPr>
            <w:r>
              <w:rPr>
                <w:rFonts w:hint="eastAsia"/>
                <w:color w:val="000000"/>
                <w:sz w:val="18"/>
                <w:szCs w:val="18"/>
              </w:rPr>
              <w:t xml:space="preserve"> 填表人：何佼                 联系方式：13896660759              主要领导签字：张伟鹏  </w:t>
            </w:r>
          </w:p>
        </w:tc>
      </w:tr>
    </w:tbl>
    <w:p>
      <w:pPr>
        <w:pStyle w:val="25"/>
        <w:autoSpaceDE w:val="0"/>
        <w:spacing w:before="0" w:beforeAutospacing="0" w:after="0" w:afterAutospacing="0" w:line="594" w:lineRule="exact"/>
        <w:jc w:val="center"/>
        <w:rPr>
          <w:rFonts w:hint="eastAsia" w:ascii="仿宋" w:hAnsi="仿宋" w:eastAsia="仿宋"/>
          <w:sz w:val="32"/>
          <w:szCs w:val="32"/>
          <w:shd w:val="clear" w:color="auto" w:fill="FFFFFF"/>
        </w:rPr>
      </w:pPr>
      <w:r>
        <w:rPr>
          <w:rStyle w:val="45"/>
          <w:rFonts w:hint="eastAsia" w:ascii="仿宋" w:hAnsi="仿宋" w:eastAsia="仿宋"/>
          <w:b w:val="0"/>
          <w:bCs w:val="0"/>
          <w:sz w:val="32"/>
          <w:szCs w:val="32"/>
          <w:shd w:val="clear" w:color="auto" w:fill="FFFFFF"/>
        </w:rPr>
        <w:t xml:space="preserve"> </w:t>
      </w:r>
    </w:p>
    <w:p>
      <w:pPr>
        <w:pStyle w:val="25"/>
        <w:autoSpaceDE w:val="0"/>
        <w:spacing w:before="0" w:beforeAutospacing="0" w:after="0" w:afterAutospacing="0" w:line="594" w:lineRule="exact"/>
        <w:ind w:firstLine="643" w:firstLineChars="200"/>
        <w:rPr>
          <w:rFonts w:hint="eastAsia" w:ascii="Times New Roman" w:hAnsi="Times New Roman" w:eastAsia="仿宋" w:cs="Times New Roman"/>
          <w:sz w:val="32"/>
          <w:szCs w:val="32"/>
        </w:rPr>
      </w:pPr>
      <w:r>
        <w:rPr>
          <w:rStyle w:val="45"/>
          <w:rFonts w:eastAsia="仿宋"/>
          <w:sz w:val="32"/>
          <w:szCs w:val="32"/>
          <w:shd w:val="clear" w:color="auto" w:fill="FFFFFF"/>
        </w:rPr>
        <w:t>2.</w:t>
      </w:r>
      <w:r>
        <w:rPr>
          <w:rStyle w:val="45"/>
          <w:rFonts w:hint="eastAsia" w:ascii="仿宋" w:hAnsi="仿宋" w:eastAsia="仿宋"/>
          <w:sz w:val="32"/>
          <w:szCs w:val="32"/>
          <w:shd w:val="clear" w:color="auto" w:fill="FFFFFF"/>
        </w:rPr>
        <w:t>绩效自评报告或案例</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shd w:val="clear" w:color="auto" w:fill="FFFFFF"/>
        </w:rPr>
      </w:pPr>
      <w:r>
        <w:rPr>
          <w:rFonts w:hint="eastAsia" w:ascii="仿宋" w:hAnsi="仿宋" w:eastAsia="仿宋"/>
          <w:sz w:val="32"/>
          <w:szCs w:val="32"/>
          <w:shd w:val="clear" w:color="auto" w:fill="FFFFFF"/>
        </w:rPr>
        <w:t>本单位无委托第三方开展绩效自评。</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（三）重点绩效评价结果</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shd w:val="clear" w:color="auto" w:fill="FFFF00"/>
        </w:rPr>
      </w:pPr>
      <w:r>
        <w:rPr>
          <w:rFonts w:hint="eastAsia" w:ascii="仿宋" w:hAnsi="仿宋" w:eastAsia="仿宋"/>
          <w:sz w:val="32"/>
          <w:szCs w:val="32"/>
          <w:shd w:val="clear" w:color="auto" w:fill="FFFFFF"/>
        </w:rPr>
        <w:t>本单位无县财政局委托第三方对部门政策或项目开展重点绩效评价。</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六、专业名词解释</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（一）财政拨款收入</w:t>
      </w:r>
      <w:r>
        <w:rPr>
          <w:rFonts w:hint="eastAsia" w:ascii="仿宋" w:hAnsi="仿宋" w:eastAsia="仿宋"/>
          <w:sz w:val="32"/>
          <w:szCs w:val="32"/>
          <w:shd w:val="clear" w:color="auto" w:fill="FFFFFF"/>
        </w:rPr>
        <w:t>：指本年度从本级财政部门取得的财政拨款，包括一般公共预算财政拨款和政府性基金预算财政拨款。</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（二）事业收入</w:t>
      </w:r>
      <w:r>
        <w:rPr>
          <w:rFonts w:hint="eastAsia" w:ascii="仿宋" w:hAnsi="仿宋" w:eastAsia="仿宋"/>
          <w:sz w:val="32"/>
          <w:szCs w:val="32"/>
          <w:shd w:val="clear" w:color="auto" w:fill="FFFFFF"/>
        </w:rPr>
        <w:t>：指事业单位开展专业业务活动及其辅助活动取得的现金流入；事业单位收到的财政专户实际核拨的教育收费等资金在此反映。</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（三）经营收入</w:t>
      </w:r>
      <w:r>
        <w:rPr>
          <w:rFonts w:hint="eastAsia" w:ascii="仿宋" w:hAnsi="仿宋" w:eastAsia="仿宋"/>
          <w:sz w:val="32"/>
          <w:szCs w:val="32"/>
          <w:shd w:val="clear" w:color="auto" w:fill="FFFFFF"/>
        </w:rPr>
        <w:t>：指事业单位在专业业务活动及其辅助活动之外开展非独立核算经营活动取得的现金流入。</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（四）其他收入</w:t>
      </w:r>
      <w:r>
        <w:rPr>
          <w:rFonts w:hint="eastAsia" w:ascii="仿宋" w:hAnsi="仿宋" w:eastAsia="仿宋"/>
          <w:sz w:val="32"/>
          <w:szCs w:val="32"/>
          <w:shd w:val="clear" w:color="auto" w:fill="FFFFFF"/>
        </w:rPr>
        <w:t>：指单位取得的除</w:t>
      </w:r>
      <w:r>
        <w:rPr>
          <w:rFonts w:ascii="Times New Roman" w:hAnsi="Times New Roman" w:eastAsia="仿宋" w:cs="Times New Roman"/>
          <w:sz w:val="32"/>
          <w:szCs w:val="32"/>
          <w:shd w:val="clear" w:color="auto" w:fill="FFFFFF"/>
        </w:rPr>
        <w:t>“</w:t>
      </w:r>
      <w:r>
        <w:rPr>
          <w:rFonts w:hint="eastAsia" w:ascii="仿宋" w:hAnsi="仿宋" w:eastAsia="仿宋"/>
          <w:sz w:val="32"/>
          <w:szCs w:val="32"/>
          <w:shd w:val="clear" w:color="auto" w:fill="FFFFFF"/>
        </w:rPr>
        <w:t>财政拨款收入</w:t>
      </w:r>
      <w:r>
        <w:rPr>
          <w:rFonts w:ascii="Times New Roman" w:hAnsi="Times New Roman" w:eastAsia="仿宋" w:cs="Times New Roman"/>
          <w:sz w:val="32"/>
          <w:szCs w:val="32"/>
          <w:shd w:val="clear" w:color="auto" w:fill="FFFFFF"/>
        </w:rPr>
        <w:t>”</w:t>
      </w:r>
      <w:r>
        <w:rPr>
          <w:rFonts w:hint="eastAsia" w:ascii="仿宋" w:hAnsi="仿宋" w:eastAsia="仿宋"/>
          <w:sz w:val="32"/>
          <w:szCs w:val="32"/>
          <w:shd w:val="clear" w:color="auto" w:fill="FFFFFF"/>
        </w:rPr>
        <w:t>、</w:t>
      </w:r>
      <w:r>
        <w:rPr>
          <w:rFonts w:ascii="Times New Roman" w:hAnsi="Times New Roman" w:eastAsia="仿宋" w:cs="Times New Roman"/>
          <w:sz w:val="32"/>
          <w:szCs w:val="32"/>
          <w:shd w:val="clear" w:color="auto" w:fill="FFFFFF"/>
        </w:rPr>
        <w:t>“</w:t>
      </w:r>
      <w:r>
        <w:rPr>
          <w:rFonts w:hint="eastAsia" w:ascii="仿宋" w:hAnsi="仿宋" w:eastAsia="仿宋"/>
          <w:sz w:val="32"/>
          <w:szCs w:val="32"/>
          <w:shd w:val="clear" w:color="auto" w:fill="FFFFFF"/>
        </w:rPr>
        <w:t>事业收入</w:t>
      </w:r>
      <w:r>
        <w:rPr>
          <w:rFonts w:ascii="Times New Roman" w:hAnsi="Times New Roman" w:eastAsia="仿宋" w:cs="Times New Roman"/>
          <w:sz w:val="32"/>
          <w:szCs w:val="32"/>
          <w:shd w:val="clear" w:color="auto" w:fill="FFFFFF"/>
        </w:rPr>
        <w:t>”</w:t>
      </w:r>
      <w:r>
        <w:rPr>
          <w:rFonts w:hint="eastAsia" w:ascii="仿宋" w:hAnsi="仿宋" w:eastAsia="仿宋"/>
          <w:sz w:val="32"/>
          <w:szCs w:val="32"/>
          <w:shd w:val="clear" w:color="auto" w:fill="FFFFFF"/>
        </w:rPr>
        <w:t>、</w:t>
      </w:r>
      <w:r>
        <w:rPr>
          <w:rFonts w:ascii="Times New Roman" w:hAnsi="Times New Roman" w:eastAsia="仿宋" w:cs="Times New Roman"/>
          <w:sz w:val="32"/>
          <w:szCs w:val="32"/>
          <w:shd w:val="clear" w:color="auto" w:fill="FFFFFF"/>
        </w:rPr>
        <w:t>“</w:t>
      </w:r>
      <w:r>
        <w:rPr>
          <w:rFonts w:hint="eastAsia" w:ascii="仿宋" w:hAnsi="仿宋" w:eastAsia="仿宋"/>
          <w:sz w:val="32"/>
          <w:szCs w:val="32"/>
          <w:shd w:val="clear" w:color="auto" w:fill="FFFFFF"/>
        </w:rPr>
        <w:t>经营收入</w:t>
      </w:r>
      <w:r>
        <w:rPr>
          <w:rFonts w:ascii="Times New Roman" w:hAnsi="Times New Roman" w:eastAsia="仿宋" w:cs="Times New Roman"/>
          <w:sz w:val="32"/>
          <w:szCs w:val="32"/>
          <w:shd w:val="clear" w:color="auto" w:fill="FFFFFF"/>
        </w:rPr>
        <w:t>”</w:t>
      </w:r>
      <w:r>
        <w:rPr>
          <w:rFonts w:hint="eastAsia" w:ascii="仿宋" w:hAnsi="仿宋" w:eastAsia="仿宋"/>
          <w:sz w:val="32"/>
          <w:szCs w:val="32"/>
          <w:shd w:val="clear" w:color="auto"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（五）使用非财政拨款结余</w:t>
      </w:r>
      <w:r>
        <w:rPr>
          <w:rFonts w:hint="eastAsia" w:ascii="仿宋" w:hAnsi="仿宋" w:eastAsia="仿宋"/>
          <w:sz w:val="32"/>
          <w:szCs w:val="32"/>
          <w:shd w:val="clear" w:color="auto" w:fill="FFFFFF"/>
        </w:rPr>
        <w:t>：指单位在当年的</w:t>
      </w:r>
      <w:r>
        <w:rPr>
          <w:rFonts w:ascii="Times New Roman" w:hAnsi="Times New Roman" w:eastAsia="仿宋" w:cs="Times New Roman"/>
          <w:sz w:val="32"/>
          <w:szCs w:val="32"/>
          <w:shd w:val="clear" w:color="auto" w:fill="FFFFFF"/>
        </w:rPr>
        <w:t>“</w:t>
      </w:r>
      <w:r>
        <w:rPr>
          <w:rFonts w:hint="eastAsia" w:ascii="仿宋" w:hAnsi="仿宋" w:eastAsia="仿宋"/>
          <w:sz w:val="32"/>
          <w:szCs w:val="32"/>
          <w:shd w:val="clear" w:color="auto" w:fill="FFFFFF"/>
        </w:rPr>
        <w:t>财政拨款收入</w:t>
      </w:r>
      <w:r>
        <w:rPr>
          <w:rFonts w:ascii="Times New Roman" w:hAnsi="Times New Roman" w:eastAsia="仿宋" w:cs="Times New Roman"/>
          <w:sz w:val="32"/>
          <w:szCs w:val="32"/>
          <w:shd w:val="clear" w:color="auto" w:fill="FFFFFF"/>
        </w:rPr>
        <w:t>”</w:t>
      </w:r>
      <w:r>
        <w:rPr>
          <w:rFonts w:hint="eastAsia" w:ascii="仿宋" w:hAnsi="仿宋" w:eastAsia="仿宋"/>
          <w:sz w:val="32"/>
          <w:szCs w:val="32"/>
          <w:shd w:val="clear" w:color="auto" w:fill="FFFFFF"/>
        </w:rPr>
        <w:t>、</w:t>
      </w:r>
      <w:r>
        <w:rPr>
          <w:rFonts w:ascii="Times New Roman" w:hAnsi="Times New Roman" w:eastAsia="仿宋" w:cs="Times New Roman"/>
          <w:sz w:val="32"/>
          <w:szCs w:val="32"/>
          <w:shd w:val="clear" w:color="auto" w:fill="FFFFFF"/>
        </w:rPr>
        <w:t>“</w:t>
      </w:r>
      <w:r>
        <w:rPr>
          <w:rFonts w:hint="eastAsia" w:ascii="仿宋" w:hAnsi="仿宋" w:eastAsia="仿宋"/>
          <w:sz w:val="32"/>
          <w:szCs w:val="32"/>
          <w:shd w:val="clear" w:color="auto" w:fill="FFFFFF"/>
        </w:rPr>
        <w:t>事业收入</w:t>
      </w:r>
      <w:r>
        <w:rPr>
          <w:rFonts w:ascii="Times New Roman" w:hAnsi="Times New Roman" w:eastAsia="仿宋" w:cs="Times New Roman"/>
          <w:sz w:val="32"/>
          <w:szCs w:val="32"/>
          <w:shd w:val="clear" w:color="auto" w:fill="FFFFFF"/>
        </w:rPr>
        <w:t>”</w:t>
      </w:r>
      <w:r>
        <w:rPr>
          <w:rFonts w:hint="eastAsia" w:ascii="仿宋" w:hAnsi="仿宋" w:eastAsia="仿宋"/>
          <w:sz w:val="32"/>
          <w:szCs w:val="32"/>
          <w:shd w:val="clear" w:color="auto" w:fill="FFFFFF"/>
        </w:rPr>
        <w:t>、</w:t>
      </w:r>
      <w:r>
        <w:rPr>
          <w:rFonts w:ascii="Times New Roman" w:hAnsi="Times New Roman" w:eastAsia="仿宋" w:cs="Times New Roman"/>
          <w:sz w:val="32"/>
          <w:szCs w:val="32"/>
          <w:shd w:val="clear" w:color="auto" w:fill="FFFFFF"/>
        </w:rPr>
        <w:t>“</w:t>
      </w:r>
      <w:r>
        <w:rPr>
          <w:rFonts w:hint="eastAsia" w:ascii="仿宋" w:hAnsi="仿宋" w:eastAsia="仿宋"/>
          <w:sz w:val="32"/>
          <w:szCs w:val="32"/>
          <w:shd w:val="clear" w:color="auto" w:fill="FFFFFF"/>
        </w:rPr>
        <w:t>经营收入</w:t>
      </w:r>
      <w:r>
        <w:rPr>
          <w:rFonts w:ascii="Times New Roman" w:hAnsi="Times New Roman" w:eastAsia="仿宋" w:cs="Times New Roman"/>
          <w:sz w:val="32"/>
          <w:szCs w:val="32"/>
          <w:shd w:val="clear" w:color="auto" w:fill="FFFFFF"/>
        </w:rPr>
        <w:t>”</w:t>
      </w:r>
      <w:r>
        <w:rPr>
          <w:rFonts w:hint="eastAsia" w:ascii="仿宋" w:hAnsi="仿宋" w:eastAsia="仿宋"/>
          <w:sz w:val="32"/>
          <w:szCs w:val="32"/>
          <w:shd w:val="clear" w:color="auto" w:fill="FFFFFF"/>
        </w:rPr>
        <w:t>、</w:t>
      </w:r>
      <w:r>
        <w:rPr>
          <w:rFonts w:ascii="Times New Roman" w:hAnsi="Times New Roman" w:eastAsia="仿宋" w:cs="Times New Roman"/>
          <w:sz w:val="32"/>
          <w:szCs w:val="32"/>
          <w:shd w:val="clear" w:color="auto" w:fill="FFFFFF"/>
        </w:rPr>
        <w:t>“</w:t>
      </w:r>
      <w:r>
        <w:rPr>
          <w:rFonts w:hint="eastAsia" w:ascii="仿宋" w:hAnsi="仿宋" w:eastAsia="仿宋"/>
          <w:sz w:val="32"/>
          <w:szCs w:val="32"/>
          <w:shd w:val="clear" w:color="auto" w:fill="FFFFFF"/>
        </w:rPr>
        <w:t>其他收入</w:t>
      </w:r>
      <w:r>
        <w:rPr>
          <w:rFonts w:ascii="Times New Roman" w:hAnsi="Times New Roman" w:eastAsia="仿宋" w:cs="Times New Roman"/>
          <w:sz w:val="32"/>
          <w:szCs w:val="32"/>
          <w:shd w:val="clear" w:color="auto" w:fill="FFFFFF"/>
        </w:rPr>
        <w:t>”</w:t>
      </w:r>
      <w:r>
        <w:rPr>
          <w:rFonts w:hint="eastAsia" w:ascii="仿宋" w:hAnsi="仿宋" w:eastAsia="仿宋"/>
          <w:sz w:val="32"/>
          <w:szCs w:val="32"/>
          <w:shd w:val="clear" w:color="auto" w:fill="FFFFFF"/>
        </w:rPr>
        <w:t>等不足以安排当年支出的情况下，使用以前年度积累的非财政拨款结余弥补本年度收支缺口的资金。</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（六）年初结转和结余</w:t>
      </w:r>
      <w:r>
        <w:rPr>
          <w:rFonts w:hint="eastAsia" w:ascii="仿宋" w:hAnsi="仿宋" w:eastAsia="仿宋"/>
          <w:sz w:val="32"/>
          <w:szCs w:val="32"/>
          <w:shd w:val="clear" w:color="auto" w:fill="FFFFFF"/>
        </w:rPr>
        <w:t>：指单位上年结转本年使用的基本支出结转、项目支出结转和结余、经营结余。</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（七）结余分配</w:t>
      </w:r>
      <w:r>
        <w:rPr>
          <w:rFonts w:hint="eastAsia" w:ascii="仿宋" w:hAnsi="仿宋" w:eastAsia="仿宋"/>
          <w:sz w:val="32"/>
          <w:szCs w:val="32"/>
          <w:shd w:val="clear" w:color="auto" w:fill="FFFFFF"/>
        </w:rPr>
        <w:t>：指单位按照国家有关规定，缴纳所得税、提取专用基金、转入非财政拨款结余等当年结余的分配情况。</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（八）年末结转和结余</w:t>
      </w:r>
      <w:r>
        <w:rPr>
          <w:rFonts w:hint="eastAsia" w:ascii="仿宋" w:hAnsi="仿宋" w:eastAsia="仿宋"/>
          <w:sz w:val="32"/>
          <w:szCs w:val="32"/>
          <w:shd w:val="clear" w:color="auto" w:fill="FFFFFF"/>
        </w:rPr>
        <w:t>：指单位结转下年的基本支出结转、项目支出结转和结余、经营结余。</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（九）基本支出</w:t>
      </w:r>
      <w:r>
        <w:rPr>
          <w:rFonts w:hint="eastAsia" w:ascii="仿宋" w:hAnsi="仿宋" w:eastAsia="仿宋"/>
          <w:sz w:val="32"/>
          <w:szCs w:val="32"/>
          <w:shd w:val="clear" w:color="auto" w:fill="FFFFFF"/>
        </w:rPr>
        <w:t>：指为保障机构正常运转、完成日常工作任务而发生的人员经费和公用经费。其中：人员经费指政府收支分类经济科目中的</w:t>
      </w:r>
      <w:r>
        <w:rPr>
          <w:rFonts w:ascii="Times New Roman" w:hAnsi="Times New Roman" w:eastAsia="仿宋" w:cs="Times New Roman"/>
          <w:sz w:val="32"/>
          <w:szCs w:val="32"/>
          <w:shd w:val="clear" w:color="auto" w:fill="FFFFFF"/>
        </w:rPr>
        <w:t>“</w:t>
      </w:r>
      <w:r>
        <w:rPr>
          <w:rFonts w:hint="eastAsia" w:ascii="仿宋" w:hAnsi="仿宋" w:eastAsia="仿宋"/>
          <w:sz w:val="32"/>
          <w:szCs w:val="32"/>
          <w:shd w:val="clear" w:color="auto" w:fill="FFFFFF"/>
        </w:rPr>
        <w:t>工资福利支出</w:t>
      </w:r>
      <w:r>
        <w:rPr>
          <w:rFonts w:ascii="Times New Roman" w:hAnsi="Times New Roman" w:eastAsia="仿宋" w:cs="Times New Roman"/>
          <w:sz w:val="32"/>
          <w:szCs w:val="32"/>
          <w:shd w:val="clear" w:color="auto" w:fill="FFFFFF"/>
        </w:rPr>
        <w:t>”</w:t>
      </w:r>
      <w:r>
        <w:rPr>
          <w:rFonts w:hint="eastAsia" w:ascii="仿宋" w:hAnsi="仿宋" w:eastAsia="仿宋"/>
          <w:sz w:val="32"/>
          <w:szCs w:val="32"/>
          <w:shd w:val="clear" w:color="auto" w:fill="FFFFFF"/>
        </w:rPr>
        <w:t>和</w:t>
      </w:r>
      <w:r>
        <w:rPr>
          <w:rFonts w:ascii="Times New Roman" w:hAnsi="Times New Roman" w:eastAsia="仿宋" w:cs="Times New Roman"/>
          <w:sz w:val="32"/>
          <w:szCs w:val="32"/>
          <w:shd w:val="clear" w:color="auto" w:fill="FFFFFF"/>
        </w:rPr>
        <w:t>“</w:t>
      </w:r>
      <w:r>
        <w:rPr>
          <w:rFonts w:hint="eastAsia" w:ascii="仿宋" w:hAnsi="仿宋" w:eastAsia="仿宋"/>
          <w:sz w:val="32"/>
          <w:szCs w:val="32"/>
          <w:shd w:val="clear" w:color="auto" w:fill="FFFFFF"/>
        </w:rPr>
        <w:t>对个人和家庭的补助</w:t>
      </w:r>
      <w:r>
        <w:rPr>
          <w:rFonts w:ascii="Times New Roman" w:hAnsi="Times New Roman" w:eastAsia="仿宋" w:cs="Times New Roman"/>
          <w:sz w:val="32"/>
          <w:szCs w:val="32"/>
          <w:shd w:val="clear" w:color="auto" w:fill="FFFFFF"/>
        </w:rPr>
        <w:t>”</w:t>
      </w:r>
      <w:r>
        <w:rPr>
          <w:rFonts w:hint="eastAsia" w:ascii="仿宋" w:hAnsi="仿宋" w:eastAsia="仿宋"/>
          <w:sz w:val="32"/>
          <w:szCs w:val="32"/>
          <w:shd w:val="clear" w:color="auto" w:fill="FFFFFF"/>
        </w:rPr>
        <w:t>；公用经费指政府收支分类经济科目中除</w:t>
      </w:r>
      <w:r>
        <w:rPr>
          <w:rFonts w:ascii="Times New Roman" w:hAnsi="Times New Roman" w:eastAsia="仿宋" w:cs="Times New Roman"/>
          <w:sz w:val="32"/>
          <w:szCs w:val="32"/>
          <w:shd w:val="clear" w:color="auto" w:fill="FFFFFF"/>
        </w:rPr>
        <w:t>“</w:t>
      </w:r>
      <w:r>
        <w:rPr>
          <w:rFonts w:hint="eastAsia" w:ascii="仿宋" w:hAnsi="仿宋" w:eastAsia="仿宋"/>
          <w:sz w:val="32"/>
          <w:szCs w:val="32"/>
          <w:shd w:val="clear" w:color="auto" w:fill="FFFFFF"/>
        </w:rPr>
        <w:t>工资福利支出</w:t>
      </w:r>
      <w:r>
        <w:rPr>
          <w:rFonts w:ascii="Times New Roman" w:hAnsi="Times New Roman" w:eastAsia="仿宋" w:cs="Times New Roman"/>
          <w:sz w:val="32"/>
          <w:szCs w:val="32"/>
          <w:shd w:val="clear" w:color="auto" w:fill="FFFFFF"/>
        </w:rPr>
        <w:t>”</w:t>
      </w:r>
      <w:r>
        <w:rPr>
          <w:rFonts w:hint="eastAsia" w:ascii="仿宋" w:hAnsi="仿宋" w:eastAsia="仿宋"/>
          <w:sz w:val="32"/>
          <w:szCs w:val="32"/>
          <w:shd w:val="clear" w:color="auto" w:fill="FFFFFF"/>
        </w:rPr>
        <w:t>和</w:t>
      </w:r>
      <w:r>
        <w:rPr>
          <w:rFonts w:ascii="Times New Roman" w:hAnsi="Times New Roman" w:eastAsia="仿宋" w:cs="Times New Roman"/>
          <w:sz w:val="32"/>
          <w:szCs w:val="32"/>
          <w:shd w:val="clear" w:color="auto" w:fill="FFFFFF"/>
        </w:rPr>
        <w:t>“</w:t>
      </w:r>
      <w:r>
        <w:rPr>
          <w:rFonts w:hint="eastAsia" w:ascii="仿宋" w:hAnsi="仿宋" w:eastAsia="仿宋"/>
          <w:sz w:val="32"/>
          <w:szCs w:val="32"/>
          <w:shd w:val="clear" w:color="auto" w:fill="FFFFFF"/>
        </w:rPr>
        <w:t>对个人和家庭的补助</w:t>
      </w:r>
      <w:r>
        <w:rPr>
          <w:rFonts w:ascii="Times New Roman" w:hAnsi="Times New Roman" w:eastAsia="仿宋" w:cs="Times New Roman"/>
          <w:sz w:val="32"/>
          <w:szCs w:val="32"/>
          <w:shd w:val="clear" w:color="auto" w:fill="FFFFFF"/>
        </w:rPr>
        <w:t>”</w:t>
      </w:r>
      <w:r>
        <w:rPr>
          <w:rFonts w:hint="eastAsia" w:ascii="仿宋" w:hAnsi="仿宋" w:eastAsia="仿宋"/>
          <w:sz w:val="32"/>
          <w:szCs w:val="32"/>
          <w:shd w:val="clear" w:color="auto" w:fill="FFFFFF"/>
        </w:rPr>
        <w:t>外的其他支出。</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（十）项目支出</w:t>
      </w:r>
      <w:r>
        <w:rPr>
          <w:rFonts w:hint="eastAsia" w:ascii="仿宋" w:hAnsi="仿宋" w:eastAsia="仿宋"/>
          <w:sz w:val="32"/>
          <w:szCs w:val="32"/>
          <w:shd w:val="clear" w:color="auto" w:fill="FFFFFF"/>
        </w:rPr>
        <w:t>：指在基本支出之外为完成特定行政任务和事业发展目标所发生的支出。</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（十一）经营支出</w:t>
      </w:r>
      <w:r>
        <w:rPr>
          <w:rFonts w:hint="eastAsia" w:ascii="仿宋" w:hAnsi="仿宋" w:eastAsia="仿宋"/>
          <w:sz w:val="32"/>
          <w:szCs w:val="32"/>
          <w:shd w:val="clear" w:color="auto" w:fill="FFFFFF"/>
        </w:rPr>
        <w:t>：指事业单位在专业业务活动及其辅助活动之外开展非独立核算经营活动发生的支出。</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（十二）</w:t>
      </w:r>
      <w:r>
        <w:rPr>
          <w:rStyle w:val="45"/>
          <w:rFonts w:eastAsia="仿宋"/>
          <w:sz w:val="32"/>
          <w:szCs w:val="32"/>
          <w:shd w:val="clear" w:color="auto" w:fill="FFFFFF"/>
        </w:rPr>
        <w:t>“</w:t>
      </w:r>
      <w:r>
        <w:rPr>
          <w:rStyle w:val="45"/>
          <w:rFonts w:hint="eastAsia" w:ascii="仿宋" w:hAnsi="仿宋" w:eastAsia="仿宋"/>
          <w:sz w:val="32"/>
          <w:szCs w:val="32"/>
          <w:shd w:val="clear" w:color="auto" w:fill="FFFFFF"/>
        </w:rPr>
        <w:t>三公</w:t>
      </w:r>
      <w:r>
        <w:rPr>
          <w:rStyle w:val="45"/>
          <w:rFonts w:eastAsia="仿宋"/>
          <w:sz w:val="32"/>
          <w:szCs w:val="32"/>
          <w:shd w:val="clear" w:color="auto" w:fill="FFFFFF"/>
        </w:rPr>
        <w:t>”</w:t>
      </w:r>
      <w:r>
        <w:rPr>
          <w:rStyle w:val="45"/>
          <w:rFonts w:hint="eastAsia" w:ascii="仿宋" w:hAnsi="仿宋" w:eastAsia="仿宋"/>
          <w:sz w:val="32"/>
          <w:szCs w:val="32"/>
          <w:shd w:val="clear" w:color="auto" w:fill="FFFFFF"/>
        </w:rPr>
        <w:t>经费</w:t>
      </w:r>
      <w:r>
        <w:rPr>
          <w:rFonts w:hint="eastAsia" w:ascii="仿宋" w:hAnsi="仿宋" w:eastAsia="仿宋"/>
          <w:sz w:val="32"/>
          <w:szCs w:val="32"/>
          <w:shd w:val="clear" w:color="auto"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（十三）机关运行经费</w:t>
      </w:r>
      <w:r>
        <w:rPr>
          <w:rFonts w:hint="eastAsia" w:ascii="仿宋" w:hAnsi="仿宋" w:eastAsia="仿宋"/>
          <w:sz w:val="32"/>
          <w:szCs w:val="32"/>
          <w:shd w:val="clear" w:color="auto" w:fill="FFFFFF"/>
        </w:rPr>
        <w:t>：为保障行政单位（含参照公务员法管理的事业单位）运行用于购买货物和服务等的各项公用经费，包括办公及印刷费、邮电费、差旅费、会议费、福利费、日常维护</w:t>
      </w:r>
      <w:r>
        <w:rPr>
          <w:rFonts w:ascii="Times New Roman" w:hAnsi="Times New Roman" w:eastAsia="仿宋" w:cs="Times New Roman"/>
          <w:sz w:val="32"/>
          <w:szCs w:val="32"/>
          <w:shd w:val="clear" w:color="auto" w:fill="FFFFFF"/>
        </w:rPr>
        <w:t xml:space="preserve"> </w:t>
      </w:r>
      <w:r>
        <w:rPr>
          <w:rFonts w:hint="eastAsia" w:ascii="仿宋" w:hAnsi="仿宋" w:eastAsia="仿宋"/>
          <w:sz w:val="32"/>
          <w:szCs w:val="32"/>
          <w:shd w:val="clear" w:color="auto" w:fill="FFFFFF"/>
        </w:rPr>
        <w:t>费、专用材料及一般设备购置费、办公用房水电费、办公用房取暖费、办公用房物业管理费、公务用车运行维护费以及其他费用。</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（十四）工资福利支出（支出经济分类科目类级）</w:t>
      </w:r>
      <w:r>
        <w:rPr>
          <w:rFonts w:hint="eastAsia" w:ascii="仿宋" w:hAnsi="仿宋" w:eastAsia="仿宋"/>
          <w:sz w:val="32"/>
          <w:szCs w:val="32"/>
          <w:shd w:val="clear" w:color="auto" w:fill="FFFFFF"/>
        </w:rPr>
        <w:t>：反映单位开支的在职职工和编制外长期聘用人员的各类劳动报酬，以及为上述人员缴纳的各项社会保险费等。</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（十五）商品和服务支出（支出经济分类科目类级）</w:t>
      </w:r>
      <w:r>
        <w:rPr>
          <w:rFonts w:hint="eastAsia" w:ascii="仿宋" w:hAnsi="仿宋" w:eastAsia="仿宋"/>
          <w:sz w:val="32"/>
          <w:szCs w:val="32"/>
          <w:shd w:val="clear" w:color="auto" w:fill="FFFFFF"/>
        </w:rPr>
        <w:t>：反映单位购买商品和服务的支出（不包括用于购置固定资产的支出、战略性和应急储备支出）。</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（十六）对个人和家庭的补助（支出经济分类科目类级）</w:t>
      </w:r>
      <w:r>
        <w:rPr>
          <w:rFonts w:hint="eastAsia" w:ascii="仿宋" w:hAnsi="仿宋" w:eastAsia="仿宋"/>
          <w:sz w:val="32"/>
          <w:szCs w:val="32"/>
          <w:shd w:val="clear" w:color="auto" w:fill="FFFFFF"/>
        </w:rPr>
        <w:t>：反映用于对个人和家庭的补助支出。</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（十七）其他资本性支出（支出经济分类科目类级）</w:t>
      </w:r>
      <w:r>
        <w:rPr>
          <w:rFonts w:hint="eastAsia" w:ascii="仿宋" w:hAnsi="仿宋" w:eastAsia="仿宋"/>
          <w:sz w:val="32"/>
          <w:szCs w:val="32"/>
          <w:shd w:val="clear" w:color="auto" w:fill="FFFFFF"/>
        </w:rPr>
        <w:t>：反映非各级发展与改革部门集中安排的用于购置固定资产、战略性和应急性储备、土地和无形资产，以及构建基础设施、大型修缮和财政支持企业更新改造所发生的支出。</w:t>
      </w:r>
    </w:p>
    <w:p>
      <w:pPr>
        <w:pStyle w:val="25"/>
        <w:autoSpaceDE w:val="0"/>
        <w:spacing w:before="0" w:beforeAutospacing="0" w:after="0" w:afterAutospacing="0" w:line="594" w:lineRule="exact"/>
        <w:ind w:firstLine="643" w:firstLineChars="200"/>
        <w:rPr>
          <w:rFonts w:ascii="Times New Roman" w:hAnsi="Times New Roman" w:eastAsia="仿宋" w:cs="Times New Roman"/>
          <w:sz w:val="32"/>
          <w:szCs w:val="32"/>
        </w:rPr>
      </w:pPr>
      <w:r>
        <w:rPr>
          <w:rStyle w:val="45"/>
          <w:rFonts w:hint="eastAsia" w:ascii="仿宋" w:hAnsi="仿宋" w:eastAsia="仿宋"/>
          <w:sz w:val="32"/>
          <w:szCs w:val="32"/>
          <w:shd w:val="clear" w:color="auto" w:fill="FFFFFF"/>
        </w:rPr>
        <w:t>七、决算公开联系方式及信息反馈渠道</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shd w:val="clear" w:color="auto" w:fill="FFFFFF"/>
        </w:rPr>
      </w:pPr>
      <w:r>
        <w:rPr>
          <w:rFonts w:hint="eastAsia" w:ascii="仿宋" w:hAnsi="仿宋" w:eastAsia="仿宋"/>
          <w:sz w:val="32"/>
          <w:szCs w:val="32"/>
          <w:shd w:val="clear" w:color="auto" w:fill="FFFFFF"/>
        </w:rPr>
        <w:t>本单位决算公开信息反馈和联系方式：</w:t>
      </w:r>
      <w:r>
        <w:rPr>
          <w:rFonts w:hint="eastAsia" w:ascii="Times New Roman" w:hAnsi="Times New Roman" w:eastAsia="仿宋" w:cs="Times New Roman"/>
          <w:sz w:val="32"/>
          <w:szCs w:val="32"/>
          <w:shd w:val="clear" w:color="auto" w:fill="FFFFFF"/>
        </w:rPr>
        <w:t>023-74638771</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 xml:space="preserve"> </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 xml:space="preserve"> </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 xml:space="preserve"> </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 xml:space="preserve"> </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 xml:space="preserve"> </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 xml:space="preserve"> </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 xml:space="preserve"> </w:t>
      </w: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shd w:val="clear" w:color="auto" w:fill="FFFFFF"/>
        </w:rPr>
      </w:pPr>
    </w:p>
    <w:p>
      <w:pPr>
        <w:pStyle w:val="25"/>
        <w:autoSpaceDE w:val="0"/>
        <w:spacing w:before="0" w:beforeAutospacing="0" w:after="0" w:afterAutospacing="0" w:line="594" w:lineRule="exact"/>
        <w:ind w:firstLine="640" w:firstLineChars="200"/>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 xml:space="preserve"> </w:t>
      </w:r>
    </w:p>
    <w:tbl>
      <w:tblPr>
        <w:tblStyle w:val="13"/>
        <w:tblW w:w="8070" w:type="dxa"/>
        <w:tblInd w:w="592" w:type="dxa"/>
        <w:tblLayout w:type="fixed"/>
        <w:tblCellMar>
          <w:top w:w="15" w:type="dxa"/>
          <w:left w:w="15" w:type="dxa"/>
          <w:bottom w:w="15" w:type="dxa"/>
          <w:right w:w="15" w:type="dxa"/>
        </w:tblCellMar>
      </w:tblPr>
      <w:tblGrid>
        <w:gridCol w:w="3240"/>
        <w:gridCol w:w="1005"/>
        <w:gridCol w:w="2910"/>
        <w:gridCol w:w="915"/>
      </w:tblGrid>
      <w:tr>
        <w:tblPrEx>
          <w:tblCellMar>
            <w:top w:w="15" w:type="dxa"/>
            <w:left w:w="15" w:type="dxa"/>
            <w:bottom w:w="15" w:type="dxa"/>
            <w:right w:w="15" w:type="dxa"/>
          </w:tblCellMar>
        </w:tblPrEx>
        <w:trPr>
          <w:trHeight w:val="497" w:hRule="atLeast"/>
        </w:trPr>
        <w:tc>
          <w:tcPr>
            <w:tcW w:w="8070" w:type="dxa"/>
            <w:gridSpan w:val="4"/>
            <w:tcBorders>
              <w:top w:val="nil"/>
              <w:left w:val="nil"/>
              <w:bottom w:val="nil"/>
              <w:right w:val="single" w:color="808080" w:sz="4" w:space="0"/>
            </w:tcBorders>
            <w:shd w:val="clear" w:color="auto" w:fill="FFFFFF"/>
            <w:vAlign w:val="center"/>
          </w:tcPr>
          <w:p>
            <w:pPr>
              <w:autoSpaceDE w:val="0"/>
              <w:spacing w:line="240" w:lineRule="atLeast"/>
              <w:jc w:val="center"/>
              <w:rPr>
                <w:rFonts w:ascii="Times New Roman" w:hAnsi="Times New Roman" w:cs="Times New Roman"/>
                <w:color w:val="000000"/>
                <w:sz w:val="20"/>
                <w:szCs w:val="20"/>
              </w:rPr>
            </w:pPr>
            <w:r>
              <w:rPr>
                <w:rFonts w:hint="eastAsia" w:ascii="方正仿宋_GBK" w:eastAsia="方正仿宋_GBK"/>
                <w:color w:val="000000"/>
                <w:sz w:val="32"/>
                <w:szCs w:val="32"/>
              </w:rPr>
              <w:t>收入支出决算总表</w:t>
            </w:r>
          </w:p>
        </w:tc>
      </w:tr>
      <w:tr>
        <w:tblPrEx>
          <w:tblCellMar>
            <w:top w:w="15" w:type="dxa"/>
            <w:left w:w="15" w:type="dxa"/>
            <w:bottom w:w="15" w:type="dxa"/>
            <w:right w:w="15" w:type="dxa"/>
          </w:tblCellMar>
        </w:tblPrEx>
        <w:trPr>
          <w:trHeight w:val="318" w:hRule="atLeast"/>
        </w:trPr>
        <w:tc>
          <w:tcPr>
            <w:tcW w:w="8070" w:type="dxa"/>
            <w:gridSpan w:val="4"/>
            <w:tcBorders>
              <w:top w:val="nil"/>
              <w:left w:val="nil"/>
              <w:bottom w:val="nil"/>
              <w:right w:val="single" w:color="808080" w:sz="4" w:space="0"/>
            </w:tcBorders>
            <w:shd w:val="clear" w:color="auto" w:fill="FFFFFF"/>
            <w:vAlign w:val="center"/>
          </w:tcPr>
          <w:p>
            <w:pPr>
              <w:autoSpaceDE w:val="0"/>
              <w:spacing w:line="240" w:lineRule="atLeast"/>
              <w:jc w:val="righ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公开</w:t>
            </w:r>
            <w:r>
              <w:rPr>
                <w:rStyle w:val="38"/>
              </w:rPr>
              <w:t>01</w:t>
            </w:r>
            <w:r>
              <w:rPr>
                <w:rStyle w:val="47"/>
                <w:rFonts w:hint="default"/>
              </w:rPr>
              <w:t>表</w:t>
            </w:r>
          </w:p>
        </w:tc>
      </w:tr>
      <w:tr>
        <w:tblPrEx>
          <w:tblCellMar>
            <w:top w:w="15" w:type="dxa"/>
            <w:left w:w="15" w:type="dxa"/>
            <w:bottom w:w="15" w:type="dxa"/>
            <w:right w:w="15" w:type="dxa"/>
          </w:tblCellMar>
        </w:tblPrEx>
        <w:trPr>
          <w:trHeight w:val="245" w:hRule="atLeast"/>
        </w:trPr>
        <w:tc>
          <w:tcPr>
            <w:tcW w:w="8070" w:type="dxa"/>
            <w:gridSpan w:val="4"/>
            <w:tcBorders>
              <w:top w:val="nil"/>
              <w:left w:val="nil"/>
              <w:bottom w:val="single" w:color="808080" w:sz="4" w:space="0"/>
              <w:right w:val="single" w:color="80808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公开部门：重庆市垫江县交通建设工程服务中心</w:t>
            </w:r>
            <w:r>
              <w:rPr>
                <w:rFonts w:hint="eastAsia" w:ascii="Times New Roman" w:hAnsi="Times New Roman" w:cs="Times New Roman"/>
                <w:color w:val="000000"/>
                <w:sz w:val="20"/>
                <w:szCs w:val="20"/>
              </w:rPr>
              <w:t xml:space="preserve">         </w:t>
            </w:r>
            <w:r>
              <w:rPr>
                <w:rFonts w:ascii="Times New Roman" w:hAnsi="Times New Roman" w:cs="Times New Roman"/>
                <w:color w:val="000000"/>
                <w:sz w:val="20"/>
                <w:szCs w:val="20"/>
              </w:rPr>
              <w:t>2020</w:t>
            </w:r>
            <w:r>
              <w:rPr>
                <w:rStyle w:val="47"/>
                <w:rFonts w:hint="default"/>
              </w:rPr>
              <w:t xml:space="preserve">年度                          </w:t>
            </w:r>
            <w:r>
              <w:rPr>
                <w:rFonts w:ascii="Times New Roman" w:hAnsi="Times New Roman" w:cs="Times New Roman"/>
                <w:color w:val="000000"/>
                <w:sz w:val="20"/>
                <w:szCs w:val="20"/>
              </w:rPr>
              <w:t>单位：万元</w:t>
            </w:r>
          </w:p>
        </w:tc>
      </w:tr>
      <w:tr>
        <w:tblPrEx>
          <w:tblCellMar>
            <w:top w:w="15" w:type="dxa"/>
            <w:left w:w="15" w:type="dxa"/>
            <w:bottom w:w="15" w:type="dxa"/>
            <w:right w:w="15" w:type="dxa"/>
          </w:tblCellMar>
        </w:tblPrEx>
        <w:trPr>
          <w:trHeight w:val="207" w:hRule="atLeast"/>
        </w:trPr>
        <w:tc>
          <w:tcPr>
            <w:tcW w:w="4245" w:type="dxa"/>
            <w:gridSpan w:val="2"/>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收入</w:t>
            </w:r>
          </w:p>
        </w:tc>
        <w:tc>
          <w:tcPr>
            <w:tcW w:w="3825" w:type="dxa"/>
            <w:gridSpan w:val="2"/>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支出</w:t>
            </w:r>
          </w:p>
        </w:tc>
      </w:tr>
      <w:tr>
        <w:tblPrEx>
          <w:tblCellMar>
            <w:top w:w="15" w:type="dxa"/>
            <w:left w:w="15" w:type="dxa"/>
            <w:bottom w:w="15" w:type="dxa"/>
            <w:right w:w="15" w:type="dxa"/>
          </w:tblCellMar>
        </w:tblPrEx>
        <w:trPr>
          <w:trHeight w:val="315" w:hRule="atLeast"/>
        </w:trPr>
        <w:tc>
          <w:tcPr>
            <w:tcW w:w="324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项目</w:t>
            </w:r>
          </w:p>
        </w:tc>
        <w:tc>
          <w:tcPr>
            <w:tcW w:w="100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决算数</w:t>
            </w: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功能分类科目</w:t>
            </w:r>
          </w:p>
        </w:tc>
        <w:tc>
          <w:tcPr>
            <w:tcW w:w="91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决算数</w:t>
            </w:r>
          </w:p>
        </w:tc>
      </w:tr>
      <w:tr>
        <w:tblPrEx>
          <w:tblCellMar>
            <w:top w:w="15" w:type="dxa"/>
            <w:left w:w="15" w:type="dxa"/>
            <w:bottom w:w="15" w:type="dxa"/>
            <w:right w:w="15" w:type="dxa"/>
          </w:tblCellMar>
        </w:tblPrEx>
        <w:trPr>
          <w:trHeight w:val="329" w:hRule="atLeast"/>
        </w:trPr>
        <w:tc>
          <w:tcPr>
            <w:tcW w:w="324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一、一般公共预算财政拨款收入</w:t>
            </w:r>
          </w:p>
        </w:tc>
        <w:tc>
          <w:tcPr>
            <w:tcW w:w="100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241.25</w:t>
            </w: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一、一般公共服务支出</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CellMar>
            <w:top w:w="15" w:type="dxa"/>
            <w:left w:w="15" w:type="dxa"/>
            <w:bottom w:w="15" w:type="dxa"/>
            <w:right w:w="15" w:type="dxa"/>
          </w:tblCellMar>
        </w:tblPrEx>
        <w:trPr>
          <w:trHeight w:val="270" w:hRule="atLeast"/>
        </w:trPr>
        <w:tc>
          <w:tcPr>
            <w:tcW w:w="324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二、政府性基金预算财政拨款收入</w:t>
            </w:r>
          </w:p>
        </w:tc>
        <w:tc>
          <w:tcPr>
            <w:tcW w:w="100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二、外交支出</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CellMar>
            <w:top w:w="15" w:type="dxa"/>
            <w:left w:w="15" w:type="dxa"/>
            <w:bottom w:w="15" w:type="dxa"/>
            <w:right w:w="15" w:type="dxa"/>
          </w:tblCellMar>
        </w:tblPrEx>
        <w:trPr>
          <w:trHeight w:val="273" w:hRule="atLeast"/>
        </w:trPr>
        <w:tc>
          <w:tcPr>
            <w:tcW w:w="324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三、国有资本经营预算财政拨款收入</w:t>
            </w:r>
          </w:p>
        </w:tc>
        <w:tc>
          <w:tcPr>
            <w:tcW w:w="100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三、国防支出</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CellMar>
            <w:top w:w="15" w:type="dxa"/>
            <w:left w:w="15" w:type="dxa"/>
            <w:bottom w:w="15" w:type="dxa"/>
            <w:right w:w="15" w:type="dxa"/>
          </w:tblCellMar>
        </w:tblPrEx>
        <w:trPr>
          <w:trHeight w:val="315" w:hRule="atLeast"/>
        </w:trPr>
        <w:tc>
          <w:tcPr>
            <w:tcW w:w="324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四、上级补助收入</w:t>
            </w:r>
          </w:p>
        </w:tc>
        <w:tc>
          <w:tcPr>
            <w:tcW w:w="100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四、公共安全支出</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CellMar>
            <w:top w:w="15" w:type="dxa"/>
            <w:left w:w="15" w:type="dxa"/>
            <w:bottom w:w="15" w:type="dxa"/>
            <w:right w:w="15" w:type="dxa"/>
          </w:tblCellMar>
        </w:tblPrEx>
        <w:trPr>
          <w:trHeight w:val="279" w:hRule="atLeast"/>
        </w:trPr>
        <w:tc>
          <w:tcPr>
            <w:tcW w:w="324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五、事业收入</w:t>
            </w:r>
          </w:p>
        </w:tc>
        <w:tc>
          <w:tcPr>
            <w:tcW w:w="100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五、教育支出</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0.72</w:t>
            </w:r>
          </w:p>
        </w:tc>
      </w:tr>
      <w:tr>
        <w:tblPrEx>
          <w:tblCellMar>
            <w:top w:w="15" w:type="dxa"/>
            <w:left w:w="15" w:type="dxa"/>
            <w:bottom w:w="15" w:type="dxa"/>
            <w:right w:w="15" w:type="dxa"/>
          </w:tblCellMar>
        </w:tblPrEx>
        <w:trPr>
          <w:trHeight w:val="297" w:hRule="atLeast"/>
        </w:trPr>
        <w:tc>
          <w:tcPr>
            <w:tcW w:w="324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六、经营收入</w:t>
            </w:r>
          </w:p>
        </w:tc>
        <w:tc>
          <w:tcPr>
            <w:tcW w:w="100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六、科学技术支出</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CellMar>
            <w:top w:w="15" w:type="dxa"/>
            <w:left w:w="15" w:type="dxa"/>
            <w:bottom w:w="15" w:type="dxa"/>
            <w:right w:w="15" w:type="dxa"/>
          </w:tblCellMar>
        </w:tblPrEx>
        <w:trPr>
          <w:trHeight w:val="309" w:hRule="atLeast"/>
        </w:trPr>
        <w:tc>
          <w:tcPr>
            <w:tcW w:w="324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七、附属单位上缴收入</w:t>
            </w:r>
          </w:p>
        </w:tc>
        <w:tc>
          <w:tcPr>
            <w:tcW w:w="100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七、文化旅游体育与传媒支出</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CellMar>
            <w:top w:w="15" w:type="dxa"/>
            <w:left w:w="15" w:type="dxa"/>
            <w:bottom w:w="15" w:type="dxa"/>
            <w:right w:w="15" w:type="dxa"/>
          </w:tblCellMar>
        </w:tblPrEx>
        <w:trPr>
          <w:trHeight w:val="330" w:hRule="atLeast"/>
        </w:trPr>
        <w:tc>
          <w:tcPr>
            <w:tcW w:w="324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八、其他收入</w:t>
            </w:r>
          </w:p>
        </w:tc>
        <w:tc>
          <w:tcPr>
            <w:tcW w:w="100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八、社会保障和就业支出</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25.70</w:t>
            </w:r>
          </w:p>
        </w:tc>
      </w:tr>
      <w:tr>
        <w:tblPrEx>
          <w:tblCellMar>
            <w:top w:w="15" w:type="dxa"/>
            <w:left w:w="15" w:type="dxa"/>
            <w:bottom w:w="15" w:type="dxa"/>
            <w:right w:w="15" w:type="dxa"/>
          </w:tblCellMar>
        </w:tblPrEx>
        <w:trPr>
          <w:trHeight w:val="267" w:hRule="atLeast"/>
        </w:trPr>
        <w:tc>
          <w:tcPr>
            <w:tcW w:w="324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rPr>
                <w:rFonts w:ascii="Times New Roman" w:hAnsi="Times New Roman" w:cs="Times New Roman"/>
                <w:color w:val="000000"/>
                <w:sz w:val="20"/>
                <w:szCs w:val="20"/>
              </w:rPr>
            </w:pPr>
          </w:p>
        </w:tc>
        <w:tc>
          <w:tcPr>
            <w:tcW w:w="1005" w:type="dxa"/>
            <w:tcBorders>
              <w:top w:val="nil"/>
              <w:left w:val="nil"/>
              <w:bottom w:val="single" w:color="000000" w:sz="4" w:space="0"/>
              <w:right w:val="single" w:color="000000" w:sz="4" w:space="0"/>
            </w:tcBorders>
            <w:shd w:val="clear" w:color="auto" w:fill="FFFFFF"/>
            <w:vAlign w:val="center"/>
          </w:tcPr>
          <w:p>
            <w:pPr>
              <w:autoSpaceDE w:val="0"/>
              <w:spacing w:line="240" w:lineRule="atLeast"/>
              <w:rPr>
                <w:rFonts w:ascii="Times New Roman" w:hAnsi="Times New Roman" w:cs="Times New Roman"/>
                <w:color w:val="000000"/>
                <w:sz w:val="20"/>
                <w:szCs w:val="20"/>
              </w:rPr>
            </w:pP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九、卫生健康支出</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r>
      <w:tr>
        <w:tblPrEx>
          <w:tblCellMar>
            <w:top w:w="15" w:type="dxa"/>
            <w:left w:w="15" w:type="dxa"/>
            <w:bottom w:w="15" w:type="dxa"/>
            <w:right w:w="15" w:type="dxa"/>
          </w:tblCellMar>
        </w:tblPrEx>
        <w:trPr>
          <w:trHeight w:val="297" w:hRule="atLeast"/>
        </w:trPr>
        <w:tc>
          <w:tcPr>
            <w:tcW w:w="324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rPr>
                <w:rFonts w:ascii="Times New Roman" w:hAnsi="Times New Roman" w:cs="Times New Roman"/>
                <w:color w:val="000000"/>
                <w:sz w:val="20"/>
                <w:szCs w:val="20"/>
              </w:rPr>
            </w:pPr>
          </w:p>
        </w:tc>
        <w:tc>
          <w:tcPr>
            <w:tcW w:w="1005" w:type="dxa"/>
            <w:tcBorders>
              <w:top w:val="nil"/>
              <w:left w:val="nil"/>
              <w:bottom w:val="single" w:color="000000" w:sz="4" w:space="0"/>
              <w:right w:val="single" w:color="000000" w:sz="4" w:space="0"/>
            </w:tcBorders>
            <w:shd w:val="clear" w:color="auto" w:fill="FFFFFF"/>
            <w:vAlign w:val="center"/>
          </w:tcPr>
          <w:p>
            <w:pPr>
              <w:autoSpaceDE w:val="0"/>
              <w:spacing w:line="240" w:lineRule="atLeast"/>
              <w:rPr>
                <w:rFonts w:ascii="Times New Roman" w:hAnsi="Times New Roman" w:cs="Times New Roman"/>
                <w:color w:val="000000"/>
                <w:sz w:val="20"/>
                <w:szCs w:val="20"/>
              </w:rPr>
            </w:pP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十、节能环保支出</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CellMar>
            <w:top w:w="15" w:type="dxa"/>
            <w:left w:w="15" w:type="dxa"/>
            <w:bottom w:w="15" w:type="dxa"/>
            <w:right w:w="15" w:type="dxa"/>
          </w:tblCellMar>
        </w:tblPrEx>
        <w:trPr>
          <w:trHeight w:val="375" w:hRule="atLeast"/>
        </w:trPr>
        <w:tc>
          <w:tcPr>
            <w:tcW w:w="324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rPr>
                <w:rFonts w:ascii="Times New Roman" w:hAnsi="Times New Roman" w:cs="Times New Roman"/>
                <w:color w:val="000000"/>
                <w:sz w:val="20"/>
                <w:szCs w:val="20"/>
              </w:rPr>
            </w:pPr>
          </w:p>
        </w:tc>
        <w:tc>
          <w:tcPr>
            <w:tcW w:w="1005" w:type="dxa"/>
            <w:tcBorders>
              <w:top w:val="nil"/>
              <w:left w:val="nil"/>
              <w:bottom w:val="single" w:color="000000" w:sz="4" w:space="0"/>
              <w:right w:val="single" w:color="000000" w:sz="4" w:space="0"/>
            </w:tcBorders>
            <w:shd w:val="clear" w:color="auto" w:fill="FFFFFF"/>
            <w:vAlign w:val="center"/>
          </w:tcPr>
          <w:p>
            <w:pPr>
              <w:autoSpaceDE w:val="0"/>
              <w:spacing w:line="240" w:lineRule="atLeast"/>
              <w:rPr>
                <w:rFonts w:ascii="Times New Roman" w:hAnsi="Times New Roman" w:cs="Times New Roman"/>
                <w:color w:val="000000"/>
                <w:sz w:val="20"/>
                <w:szCs w:val="20"/>
              </w:rPr>
            </w:pP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十一、城乡社区支出</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CellMar>
            <w:top w:w="15" w:type="dxa"/>
            <w:left w:w="15" w:type="dxa"/>
            <w:bottom w:w="15" w:type="dxa"/>
            <w:right w:w="15" w:type="dxa"/>
          </w:tblCellMar>
        </w:tblPrEx>
        <w:trPr>
          <w:trHeight w:val="375" w:hRule="atLeast"/>
        </w:trPr>
        <w:tc>
          <w:tcPr>
            <w:tcW w:w="324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rPr>
                <w:rFonts w:ascii="Times New Roman" w:hAnsi="Times New Roman" w:cs="Times New Roman"/>
                <w:color w:val="000000"/>
                <w:sz w:val="20"/>
                <w:szCs w:val="20"/>
              </w:rPr>
            </w:pPr>
          </w:p>
        </w:tc>
        <w:tc>
          <w:tcPr>
            <w:tcW w:w="1005" w:type="dxa"/>
            <w:tcBorders>
              <w:top w:val="nil"/>
              <w:left w:val="nil"/>
              <w:bottom w:val="single" w:color="000000" w:sz="4" w:space="0"/>
              <w:right w:val="single" w:color="000000" w:sz="4" w:space="0"/>
            </w:tcBorders>
            <w:shd w:val="clear" w:color="auto" w:fill="FFFFFF"/>
            <w:vAlign w:val="center"/>
          </w:tcPr>
          <w:p>
            <w:pPr>
              <w:autoSpaceDE w:val="0"/>
              <w:spacing w:line="240" w:lineRule="atLeast"/>
              <w:rPr>
                <w:rFonts w:ascii="Times New Roman" w:hAnsi="Times New Roman" w:cs="Times New Roman"/>
                <w:color w:val="000000"/>
                <w:sz w:val="20"/>
                <w:szCs w:val="20"/>
              </w:rPr>
            </w:pP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十二、农林水支出</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CellMar>
            <w:top w:w="15" w:type="dxa"/>
            <w:left w:w="15" w:type="dxa"/>
            <w:bottom w:w="15" w:type="dxa"/>
            <w:right w:w="15" w:type="dxa"/>
          </w:tblCellMar>
        </w:tblPrEx>
        <w:trPr>
          <w:trHeight w:val="375" w:hRule="atLeast"/>
        </w:trPr>
        <w:tc>
          <w:tcPr>
            <w:tcW w:w="324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rPr>
                <w:rFonts w:ascii="Times New Roman" w:hAnsi="Times New Roman" w:cs="Times New Roman"/>
                <w:color w:val="000000"/>
                <w:sz w:val="20"/>
                <w:szCs w:val="20"/>
              </w:rPr>
            </w:pPr>
          </w:p>
        </w:tc>
        <w:tc>
          <w:tcPr>
            <w:tcW w:w="1005" w:type="dxa"/>
            <w:tcBorders>
              <w:top w:val="nil"/>
              <w:left w:val="nil"/>
              <w:bottom w:val="single" w:color="000000" w:sz="4" w:space="0"/>
              <w:right w:val="single" w:color="000000" w:sz="4" w:space="0"/>
            </w:tcBorders>
            <w:shd w:val="clear" w:color="auto" w:fill="FFFFFF"/>
            <w:vAlign w:val="center"/>
          </w:tcPr>
          <w:p>
            <w:pPr>
              <w:autoSpaceDE w:val="0"/>
              <w:spacing w:line="240" w:lineRule="atLeast"/>
              <w:rPr>
                <w:rFonts w:ascii="Times New Roman" w:hAnsi="Times New Roman" w:cs="Times New Roman"/>
                <w:color w:val="000000"/>
                <w:sz w:val="20"/>
                <w:szCs w:val="20"/>
              </w:rPr>
            </w:pP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十三、交通运输支出</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240.51</w:t>
            </w:r>
          </w:p>
        </w:tc>
      </w:tr>
      <w:tr>
        <w:tblPrEx>
          <w:tblCellMar>
            <w:top w:w="15" w:type="dxa"/>
            <w:left w:w="15" w:type="dxa"/>
            <w:bottom w:w="15" w:type="dxa"/>
            <w:right w:w="15" w:type="dxa"/>
          </w:tblCellMar>
        </w:tblPrEx>
        <w:trPr>
          <w:trHeight w:val="375" w:hRule="atLeast"/>
        </w:trPr>
        <w:tc>
          <w:tcPr>
            <w:tcW w:w="324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rPr>
                <w:rFonts w:ascii="Times New Roman" w:hAnsi="Times New Roman" w:cs="Times New Roman"/>
                <w:color w:val="000000"/>
                <w:sz w:val="20"/>
                <w:szCs w:val="20"/>
              </w:rPr>
            </w:pPr>
          </w:p>
        </w:tc>
        <w:tc>
          <w:tcPr>
            <w:tcW w:w="1005" w:type="dxa"/>
            <w:tcBorders>
              <w:top w:val="nil"/>
              <w:left w:val="nil"/>
              <w:bottom w:val="single" w:color="000000" w:sz="4" w:space="0"/>
              <w:right w:val="single" w:color="000000" w:sz="4" w:space="0"/>
            </w:tcBorders>
            <w:shd w:val="clear" w:color="auto" w:fill="FFFFFF"/>
            <w:vAlign w:val="center"/>
          </w:tcPr>
          <w:p>
            <w:pPr>
              <w:autoSpaceDE w:val="0"/>
              <w:spacing w:line="240" w:lineRule="atLeast"/>
              <w:rPr>
                <w:rFonts w:ascii="Times New Roman" w:hAnsi="Times New Roman" w:cs="Times New Roman"/>
                <w:color w:val="000000"/>
                <w:sz w:val="20"/>
                <w:szCs w:val="20"/>
              </w:rPr>
            </w:pP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十四、资源勘探信息等支出</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CellMar>
            <w:top w:w="15" w:type="dxa"/>
            <w:left w:w="15" w:type="dxa"/>
            <w:bottom w:w="15" w:type="dxa"/>
            <w:right w:w="15" w:type="dxa"/>
          </w:tblCellMar>
        </w:tblPrEx>
        <w:trPr>
          <w:trHeight w:val="297" w:hRule="atLeast"/>
        </w:trPr>
        <w:tc>
          <w:tcPr>
            <w:tcW w:w="324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rPr>
                <w:rFonts w:ascii="Times New Roman" w:hAnsi="Times New Roman" w:cs="Times New Roman"/>
                <w:color w:val="000000"/>
                <w:sz w:val="20"/>
                <w:szCs w:val="20"/>
              </w:rPr>
            </w:pPr>
          </w:p>
        </w:tc>
        <w:tc>
          <w:tcPr>
            <w:tcW w:w="1005" w:type="dxa"/>
            <w:tcBorders>
              <w:top w:val="nil"/>
              <w:left w:val="nil"/>
              <w:bottom w:val="single" w:color="000000" w:sz="4" w:space="0"/>
              <w:right w:val="single" w:color="000000" w:sz="4" w:space="0"/>
            </w:tcBorders>
            <w:shd w:val="clear" w:color="auto" w:fill="FFFFFF"/>
            <w:vAlign w:val="center"/>
          </w:tcPr>
          <w:p>
            <w:pPr>
              <w:autoSpaceDE w:val="0"/>
              <w:spacing w:line="240" w:lineRule="atLeast"/>
              <w:rPr>
                <w:rFonts w:ascii="Times New Roman" w:hAnsi="Times New Roman" w:cs="Times New Roman"/>
                <w:color w:val="000000"/>
                <w:sz w:val="20"/>
                <w:szCs w:val="20"/>
              </w:rPr>
            </w:pP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十五、商业服务业等支出</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CellMar>
            <w:top w:w="15" w:type="dxa"/>
            <w:left w:w="15" w:type="dxa"/>
            <w:bottom w:w="15" w:type="dxa"/>
            <w:right w:w="15" w:type="dxa"/>
          </w:tblCellMar>
        </w:tblPrEx>
        <w:trPr>
          <w:trHeight w:val="285" w:hRule="atLeast"/>
        </w:trPr>
        <w:tc>
          <w:tcPr>
            <w:tcW w:w="324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rPr>
                <w:rFonts w:ascii="Times New Roman" w:hAnsi="Times New Roman" w:cs="Times New Roman"/>
                <w:color w:val="000000"/>
                <w:sz w:val="20"/>
                <w:szCs w:val="20"/>
              </w:rPr>
            </w:pPr>
          </w:p>
        </w:tc>
        <w:tc>
          <w:tcPr>
            <w:tcW w:w="1005" w:type="dxa"/>
            <w:tcBorders>
              <w:top w:val="nil"/>
              <w:left w:val="nil"/>
              <w:bottom w:val="single" w:color="000000" w:sz="4" w:space="0"/>
              <w:right w:val="single" w:color="000000" w:sz="4" w:space="0"/>
            </w:tcBorders>
            <w:shd w:val="clear" w:color="auto" w:fill="FFFFFF"/>
            <w:vAlign w:val="center"/>
          </w:tcPr>
          <w:p>
            <w:pPr>
              <w:autoSpaceDE w:val="0"/>
              <w:spacing w:line="240" w:lineRule="atLeast"/>
              <w:rPr>
                <w:rFonts w:ascii="Times New Roman" w:hAnsi="Times New Roman" w:cs="Times New Roman"/>
                <w:color w:val="000000"/>
                <w:sz w:val="20"/>
                <w:szCs w:val="20"/>
              </w:rPr>
            </w:pP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十六、金融支出</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CellMar>
            <w:top w:w="15" w:type="dxa"/>
            <w:left w:w="15" w:type="dxa"/>
            <w:bottom w:w="15" w:type="dxa"/>
            <w:right w:w="15" w:type="dxa"/>
          </w:tblCellMar>
        </w:tblPrEx>
        <w:trPr>
          <w:trHeight w:val="321" w:hRule="atLeast"/>
        </w:trPr>
        <w:tc>
          <w:tcPr>
            <w:tcW w:w="324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rPr>
                <w:rFonts w:ascii="Times New Roman" w:hAnsi="Times New Roman" w:cs="Times New Roman"/>
                <w:color w:val="000000"/>
                <w:sz w:val="20"/>
                <w:szCs w:val="20"/>
              </w:rPr>
            </w:pPr>
          </w:p>
        </w:tc>
        <w:tc>
          <w:tcPr>
            <w:tcW w:w="1005" w:type="dxa"/>
            <w:tcBorders>
              <w:top w:val="nil"/>
              <w:left w:val="nil"/>
              <w:bottom w:val="single" w:color="000000" w:sz="4" w:space="0"/>
              <w:right w:val="single" w:color="000000" w:sz="4" w:space="0"/>
            </w:tcBorders>
            <w:shd w:val="clear" w:color="auto" w:fill="FFFFFF"/>
            <w:vAlign w:val="center"/>
          </w:tcPr>
          <w:p>
            <w:pPr>
              <w:autoSpaceDE w:val="0"/>
              <w:spacing w:line="240" w:lineRule="atLeast"/>
              <w:rPr>
                <w:rFonts w:ascii="Times New Roman" w:hAnsi="Times New Roman" w:cs="Times New Roman"/>
                <w:color w:val="000000"/>
                <w:sz w:val="20"/>
                <w:szCs w:val="20"/>
              </w:rPr>
            </w:pP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十七、援助其他地区支出</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CellMar>
            <w:top w:w="15" w:type="dxa"/>
            <w:left w:w="15" w:type="dxa"/>
            <w:bottom w:w="15" w:type="dxa"/>
            <w:right w:w="15" w:type="dxa"/>
          </w:tblCellMar>
        </w:tblPrEx>
        <w:trPr>
          <w:trHeight w:val="375" w:hRule="atLeast"/>
        </w:trPr>
        <w:tc>
          <w:tcPr>
            <w:tcW w:w="324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rPr>
                <w:rFonts w:ascii="Times New Roman" w:hAnsi="Times New Roman" w:cs="Times New Roman"/>
                <w:color w:val="000000"/>
                <w:sz w:val="20"/>
                <w:szCs w:val="20"/>
              </w:rPr>
            </w:pPr>
          </w:p>
        </w:tc>
        <w:tc>
          <w:tcPr>
            <w:tcW w:w="1005" w:type="dxa"/>
            <w:tcBorders>
              <w:top w:val="nil"/>
              <w:left w:val="nil"/>
              <w:bottom w:val="single" w:color="000000" w:sz="4" w:space="0"/>
              <w:right w:val="single" w:color="000000" w:sz="4" w:space="0"/>
            </w:tcBorders>
            <w:shd w:val="clear" w:color="auto" w:fill="FFFFFF"/>
            <w:vAlign w:val="center"/>
          </w:tcPr>
          <w:p>
            <w:pPr>
              <w:autoSpaceDE w:val="0"/>
              <w:spacing w:line="240" w:lineRule="atLeast"/>
              <w:rPr>
                <w:rFonts w:ascii="Times New Roman" w:hAnsi="Times New Roman" w:cs="Times New Roman"/>
                <w:color w:val="000000"/>
                <w:sz w:val="20"/>
                <w:szCs w:val="20"/>
              </w:rPr>
            </w:pP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十八、自然资源海洋气象等支出</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CellMar>
            <w:top w:w="15" w:type="dxa"/>
            <w:left w:w="15" w:type="dxa"/>
            <w:bottom w:w="15" w:type="dxa"/>
            <w:right w:w="15" w:type="dxa"/>
          </w:tblCellMar>
        </w:tblPrEx>
        <w:trPr>
          <w:trHeight w:val="375" w:hRule="atLeast"/>
        </w:trPr>
        <w:tc>
          <w:tcPr>
            <w:tcW w:w="324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rPr>
                <w:rFonts w:ascii="Times New Roman" w:hAnsi="Times New Roman" w:cs="Times New Roman"/>
                <w:color w:val="000000"/>
                <w:sz w:val="20"/>
                <w:szCs w:val="20"/>
              </w:rPr>
            </w:pPr>
          </w:p>
        </w:tc>
        <w:tc>
          <w:tcPr>
            <w:tcW w:w="1005" w:type="dxa"/>
            <w:tcBorders>
              <w:top w:val="nil"/>
              <w:left w:val="nil"/>
              <w:bottom w:val="single" w:color="000000" w:sz="4" w:space="0"/>
              <w:right w:val="single" w:color="000000" w:sz="4" w:space="0"/>
            </w:tcBorders>
            <w:shd w:val="clear" w:color="auto" w:fill="FFFFFF"/>
            <w:vAlign w:val="center"/>
          </w:tcPr>
          <w:p>
            <w:pPr>
              <w:autoSpaceDE w:val="0"/>
              <w:spacing w:line="240" w:lineRule="atLeast"/>
              <w:rPr>
                <w:rFonts w:ascii="Times New Roman" w:hAnsi="Times New Roman" w:cs="Times New Roman"/>
                <w:color w:val="000000"/>
                <w:sz w:val="20"/>
                <w:szCs w:val="20"/>
              </w:rPr>
            </w:pP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十九、住房保障支出</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11.75</w:t>
            </w:r>
          </w:p>
        </w:tc>
      </w:tr>
      <w:tr>
        <w:tblPrEx>
          <w:tblCellMar>
            <w:top w:w="15" w:type="dxa"/>
            <w:left w:w="15" w:type="dxa"/>
            <w:bottom w:w="15" w:type="dxa"/>
            <w:right w:w="15" w:type="dxa"/>
          </w:tblCellMar>
        </w:tblPrEx>
        <w:trPr>
          <w:trHeight w:val="375" w:hRule="atLeast"/>
        </w:trPr>
        <w:tc>
          <w:tcPr>
            <w:tcW w:w="324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rPr>
                <w:rFonts w:ascii="Times New Roman" w:hAnsi="Times New Roman" w:cs="Times New Roman"/>
                <w:color w:val="000000"/>
                <w:sz w:val="20"/>
                <w:szCs w:val="20"/>
              </w:rPr>
            </w:pPr>
          </w:p>
        </w:tc>
        <w:tc>
          <w:tcPr>
            <w:tcW w:w="1005" w:type="dxa"/>
            <w:tcBorders>
              <w:top w:val="nil"/>
              <w:left w:val="nil"/>
              <w:bottom w:val="single" w:color="000000" w:sz="4" w:space="0"/>
              <w:right w:val="single" w:color="000000" w:sz="4" w:space="0"/>
            </w:tcBorders>
            <w:shd w:val="clear" w:color="auto" w:fill="FFFFFF"/>
            <w:vAlign w:val="center"/>
          </w:tcPr>
          <w:p>
            <w:pPr>
              <w:autoSpaceDE w:val="0"/>
              <w:spacing w:line="240" w:lineRule="atLeast"/>
              <w:rPr>
                <w:rFonts w:ascii="Times New Roman" w:hAnsi="Times New Roman" w:cs="Times New Roman"/>
                <w:color w:val="000000"/>
                <w:sz w:val="20"/>
                <w:szCs w:val="20"/>
              </w:rPr>
            </w:pP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二十、粮油物资储备支出</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CellMar>
            <w:top w:w="15" w:type="dxa"/>
            <w:left w:w="15" w:type="dxa"/>
            <w:bottom w:w="15" w:type="dxa"/>
            <w:right w:w="15" w:type="dxa"/>
          </w:tblCellMar>
        </w:tblPrEx>
        <w:trPr>
          <w:trHeight w:val="375" w:hRule="atLeast"/>
        </w:trPr>
        <w:tc>
          <w:tcPr>
            <w:tcW w:w="324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rPr>
                <w:rFonts w:ascii="Times New Roman" w:hAnsi="Times New Roman" w:cs="Times New Roman"/>
                <w:color w:val="000000"/>
                <w:sz w:val="20"/>
                <w:szCs w:val="20"/>
              </w:rPr>
            </w:pPr>
          </w:p>
        </w:tc>
        <w:tc>
          <w:tcPr>
            <w:tcW w:w="1005" w:type="dxa"/>
            <w:tcBorders>
              <w:top w:val="nil"/>
              <w:left w:val="nil"/>
              <w:bottom w:val="single" w:color="000000" w:sz="4" w:space="0"/>
              <w:right w:val="single" w:color="000000" w:sz="4" w:space="0"/>
            </w:tcBorders>
            <w:shd w:val="clear" w:color="auto" w:fill="FFFFFF"/>
            <w:vAlign w:val="center"/>
          </w:tcPr>
          <w:p>
            <w:pPr>
              <w:autoSpaceDE w:val="0"/>
              <w:spacing w:line="240" w:lineRule="atLeast"/>
              <w:rPr>
                <w:rFonts w:ascii="Times New Roman" w:hAnsi="Times New Roman" w:cs="Times New Roman"/>
                <w:color w:val="000000"/>
                <w:sz w:val="20"/>
                <w:szCs w:val="20"/>
              </w:rPr>
            </w:pP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二十一、国有资本经营预算支出</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CellMar>
            <w:top w:w="15" w:type="dxa"/>
            <w:left w:w="15" w:type="dxa"/>
            <w:bottom w:w="15" w:type="dxa"/>
            <w:right w:w="15" w:type="dxa"/>
          </w:tblCellMar>
        </w:tblPrEx>
        <w:trPr>
          <w:trHeight w:val="375" w:hRule="atLeast"/>
        </w:trPr>
        <w:tc>
          <w:tcPr>
            <w:tcW w:w="324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rPr>
                <w:rFonts w:ascii="Times New Roman" w:hAnsi="Times New Roman" w:cs="Times New Roman"/>
                <w:color w:val="000000"/>
                <w:sz w:val="20"/>
                <w:szCs w:val="20"/>
              </w:rPr>
            </w:pPr>
          </w:p>
        </w:tc>
        <w:tc>
          <w:tcPr>
            <w:tcW w:w="1005" w:type="dxa"/>
            <w:tcBorders>
              <w:top w:val="nil"/>
              <w:left w:val="nil"/>
              <w:bottom w:val="single" w:color="000000" w:sz="4" w:space="0"/>
              <w:right w:val="single" w:color="000000" w:sz="4" w:space="0"/>
            </w:tcBorders>
            <w:shd w:val="clear" w:color="auto" w:fill="FFFFFF"/>
            <w:vAlign w:val="center"/>
          </w:tcPr>
          <w:p>
            <w:pPr>
              <w:autoSpaceDE w:val="0"/>
              <w:spacing w:line="240" w:lineRule="atLeast"/>
              <w:rPr>
                <w:rFonts w:ascii="Times New Roman" w:hAnsi="Times New Roman" w:cs="Times New Roman"/>
                <w:color w:val="000000"/>
                <w:sz w:val="20"/>
                <w:szCs w:val="20"/>
              </w:rPr>
            </w:pP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二十二、灾害防治及应急管理支出</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CellMar>
            <w:top w:w="15" w:type="dxa"/>
            <w:left w:w="15" w:type="dxa"/>
            <w:bottom w:w="15" w:type="dxa"/>
            <w:right w:w="15" w:type="dxa"/>
          </w:tblCellMar>
        </w:tblPrEx>
        <w:trPr>
          <w:trHeight w:val="375" w:hRule="atLeast"/>
        </w:trPr>
        <w:tc>
          <w:tcPr>
            <w:tcW w:w="3240" w:type="dxa"/>
            <w:tcBorders>
              <w:top w:val="nil"/>
              <w:left w:val="single" w:color="000000" w:sz="4" w:space="0"/>
              <w:bottom w:val="single" w:color="auto" w:sz="4" w:space="0"/>
              <w:right w:val="single" w:color="000000" w:sz="4" w:space="0"/>
            </w:tcBorders>
            <w:shd w:val="clear" w:color="auto" w:fill="C0C0C0"/>
            <w:vAlign w:val="center"/>
          </w:tcPr>
          <w:p>
            <w:pPr>
              <w:autoSpaceDE w:val="0"/>
              <w:spacing w:line="240" w:lineRule="atLeast"/>
              <w:rPr>
                <w:rFonts w:ascii="Times New Roman" w:hAnsi="Times New Roman" w:cs="Times New Roman"/>
                <w:color w:val="000000"/>
                <w:sz w:val="20"/>
                <w:szCs w:val="20"/>
              </w:rPr>
            </w:pPr>
          </w:p>
        </w:tc>
        <w:tc>
          <w:tcPr>
            <w:tcW w:w="1005" w:type="dxa"/>
            <w:tcBorders>
              <w:top w:val="nil"/>
              <w:left w:val="nil"/>
              <w:bottom w:val="single" w:color="000000" w:sz="4" w:space="0"/>
              <w:right w:val="single" w:color="000000" w:sz="4" w:space="0"/>
            </w:tcBorders>
            <w:shd w:val="clear" w:color="auto" w:fill="FFFFFF"/>
            <w:vAlign w:val="center"/>
          </w:tcPr>
          <w:p>
            <w:pPr>
              <w:autoSpaceDE w:val="0"/>
              <w:spacing w:line="240" w:lineRule="atLeast"/>
              <w:rPr>
                <w:rFonts w:ascii="Times New Roman" w:hAnsi="Times New Roman" w:cs="Times New Roman"/>
                <w:color w:val="000000"/>
                <w:sz w:val="20"/>
                <w:szCs w:val="20"/>
              </w:rPr>
            </w:pP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二十三、其他支出</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CellMar>
            <w:top w:w="15" w:type="dxa"/>
            <w:left w:w="15" w:type="dxa"/>
            <w:bottom w:w="15" w:type="dxa"/>
            <w:right w:w="15" w:type="dxa"/>
          </w:tblCellMar>
        </w:tblPrEx>
        <w:trPr>
          <w:trHeight w:val="330" w:hRule="atLeast"/>
        </w:trPr>
        <w:tc>
          <w:tcPr>
            <w:tcW w:w="3240" w:type="dxa"/>
            <w:tcBorders>
              <w:top w:val="single" w:color="auto" w:sz="4" w:space="0"/>
              <w:left w:val="single" w:color="auto" w:sz="4" w:space="0"/>
              <w:bottom w:val="single" w:color="auto" w:sz="4" w:space="0"/>
              <w:right w:val="single" w:color="auto"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p>
        </w:tc>
        <w:tc>
          <w:tcPr>
            <w:tcW w:w="100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二十四、债务还本支出</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CellMar>
            <w:top w:w="15" w:type="dxa"/>
            <w:left w:w="15" w:type="dxa"/>
            <w:bottom w:w="15" w:type="dxa"/>
            <w:right w:w="15" w:type="dxa"/>
          </w:tblCellMar>
        </w:tblPrEx>
        <w:trPr>
          <w:trHeight w:val="309" w:hRule="atLeast"/>
        </w:trPr>
        <w:tc>
          <w:tcPr>
            <w:tcW w:w="3240" w:type="dxa"/>
            <w:tcBorders>
              <w:top w:val="single" w:color="auto" w:sz="4" w:space="0"/>
              <w:left w:val="single" w:color="auto" w:sz="4" w:space="0"/>
              <w:bottom w:val="single" w:color="auto" w:sz="4" w:space="0"/>
              <w:right w:val="single" w:color="auto" w:sz="4" w:space="0"/>
            </w:tcBorders>
            <w:shd w:val="clear" w:color="auto" w:fill="C0C0C0"/>
            <w:vAlign w:val="center"/>
          </w:tcPr>
          <w:p>
            <w:pPr>
              <w:autoSpaceDE w:val="0"/>
              <w:spacing w:line="240" w:lineRule="atLeast"/>
              <w:rPr>
                <w:rFonts w:ascii="Times New Roman" w:hAnsi="Times New Roman" w:cs="Times New Roman"/>
                <w:b/>
                <w:bCs/>
                <w:color w:val="000000"/>
                <w:sz w:val="20"/>
                <w:szCs w:val="20"/>
              </w:rPr>
            </w:pPr>
          </w:p>
        </w:tc>
        <w:tc>
          <w:tcPr>
            <w:tcW w:w="1005" w:type="dxa"/>
            <w:tcBorders>
              <w:top w:val="nil"/>
              <w:left w:val="nil"/>
              <w:bottom w:val="single" w:color="000000" w:sz="4" w:space="0"/>
              <w:right w:val="single" w:color="000000" w:sz="4" w:space="0"/>
            </w:tcBorders>
            <w:shd w:val="clear" w:color="auto" w:fill="C0C0C0"/>
            <w:vAlign w:val="center"/>
          </w:tcPr>
          <w:p>
            <w:pPr>
              <w:autoSpaceDE w:val="0"/>
              <w:spacing w:line="240" w:lineRule="atLeast"/>
              <w:rPr>
                <w:rFonts w:ascii="Times New Roman" w:hAnsi="Times New Roman" w:cs="Times New Roman"/>
                <w:b/>
                <w:bCs/>
                <w:color w:val="000000"/>
                <w:sz w:val="20"/>
                <w:szCs w:val="20"/>
              </w:rPr>
            </w:pP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二十五、债务付息支出</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CellMar>
            <w:top w:w="15" w:type="dxa"/>
            <w:left w:w="15" w:type="dxa"/>
            <w:bottom w:w="15" w:type="dxa"/>
            <w:right w:w="15" w:type="dxa"/>
          </w:tblCellMar>
        </w:tblPrEx>
        <w:trPr>
          <w:trHeight w:val="333" w:hRule="atLeast"/>
        </w:trPr>
        <w:tc>
          <w:tcPr>
            <w:tcW w:w="3240" w:type="dxa"/>
            <w:tcBorders>
              <w:top w:val="single" w:color="auto" w:sz="4" w:space="0"/>
              <w:left w:val="single" w:color="auto" w:sz="4" w:space="0"/>
              <w:bottom w:val="single" w:color="auto" w:sz="4" w:space="0"/>
              <w:right w:val="single" w:color="auto"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p>
        </w:tc>
        <w:tc>
          <w:tcPr>
            <w:tcW w:w="100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二十六、抗疫特别国债安排的支出</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CellMar>
            <w:top w:w="15" w:type="dxa"/>
            <w:left w:w="15" w:type="dxa"/>
            <w:bottom w:w="15" w:type="dxa"/>
            <w:right w:w="15" w:type="dxa"/>
          </w:tblCellMar>
        </w:tblPrEx>
        <w:trPr>
          <w:trHeight w:val="297" w:hRule="atLeast"/>
        </w:trPr>
        <w:tc>
          <w:tcPr>
            <w:tcW w:w="3240" w:type="dxa"/>
            <w:tcBorders>
              <w:top w:val="single" w:color="auto" w:sz="4" w:space="0"/>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本年收入合计</w:t>
            </w:r>
          </w:p>
        </w:tc>
        <w:tc>
          <w:tcPr>
            <w:tcW w:w="100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241.25</w:t>
            </w: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本年支出合计</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288.59</w:t>
            </w:r>
          </w:p>
        </w:tc>
      </w:tr>
      <w:tr>
        <w:tblPrEx>
          <w:tblCellMar>
            <w:top w:w="15" w:type="dxa"/>
            <w:left w:w="15" w:type="dxa"/>
            <w:bottom w:w="15" w:type="dxa"/>
            <w:right w:w="15" w:type="dxa"/>
          </w:tblCellMar>
        </w:tblPrEx>
        <w:trPr>
          <w:trHeight w:val="225" w:hRule="atLeast"/>
        </w:trPr>
        <w:tc>
          <w:tcPr>
            <w:tcW w:w="324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使用非财政拨款结余</w:t>
            </w:r>
          </w:p>
        </w:tc>
        <w:tc>
          <w:tcPr>
            <w:tcW w:w="100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结余分配</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CellMar>
            <w:top w:w="15" w:type="dxa"/>
            <w:left w:w="15" w:type="dxa"/>
            <w:bottom w:w="15" w:type="dxa"/>
            <w:right w:w="15" w:type="dxa"/>
          </w:tblCellMar>
        </w:tblPrEx>
        <w:trPr>
          <w:trHeight w:val="291" w:hRule="atLeast"/>
        </w:trPr>
        <w:tc>
          <w:tcPr>
            <w:tcW w:w="324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年初结转和结余</w:t>
            </w:r>
          </w:p>
        </w:tc>
        <w:tc>
          <w:tcPr>
            <w:tcW w:w="100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48.56</w:t>
            </w: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年末结转和结余</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1.22</w:t>
            </w:r>
          </w:p>
        </w:tc>
      </w:tr>
      <w:tr>
        <w:tblPrEx>
          <w:tblCellMar>
            <w:top w:w="15" w:type="dxa"/>
            <w:left w:w="15" w:type="dxa"/>
            <w:bottom w:w="15" w:type="dxa"/>
            <w:right w:w="15" w:type="dxa"/>
          </w:tblCellMar>
        </w:tblPrEx>
        <w:trPr>
          <w:trHeight w:val="199" w:hRule="atLeast"/>
        </w:trPr>
        <w:tc>
          <w:tcPr>
            <w:tcW w:w="324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总计</w:t>
            </w:r>
          </w:p>
        </w:tc>
        <w:tc>
          <w:tcPr>
            <w:tcW w:w="100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289.81</w:t>
            </w:r>
          </w:p>
        </w:tc>
        <w:tc>
          <w:tcPr>
            <w:tcW w:w="29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总计</w:t>
            </w:r>
          </w:p>
        </w:tc>
        <w:tc>
          <w:tcPr>
            <w:tcW w:w="91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289.81</w:t>
            </w:r>
          </w:p>
        </w:tc>
      </w:tr>
      <w:tr>
        <w:tblPrEx>
          <w:tblCellMar>
            <w:top w:w="15" w:type="dxa"/>
            <w:left w:w="15" w:type="dxa"/>
            <w:bottom w:w="15" w:type="dxa"/>
            <w:right w:w="15" w:type="dxa"/>
          </w:tblCellMar>
        </w:tblPrEx>
        <w:trPr>
          <w:trHeight w:val="375" w:hRule="atLeast"/>
        </w:trPr>
        <w:tc>
          <w:tcPr>
            <w:tcW w:w="8070" w:type="dxa"/>
            <w:gridSpan w:val="4"/>
            <w:tcBorders>
              <w:top w:val="nil"/>
              <w:left w:val="nil"/>
              <w:bottom w:val="nil"/>
            </w:tcBorders>
            <w:shd w:val="clear" w:color="auto" w:fill="FFFFFF"/>
            <w:vAlign w:val="center"/>
          </w:tcPr>
          <w:p>
            <w:pPr>
              <w:rPr>
                <w:rFonts w:ascii="Times New Roman" w:hAnsi="Times New Roman" w:cs="Times New Roman"/>
                <w:sz w:val="20"/>
                <w:szCs w:val="20"/>
              </w:rPr>
            </w:pPr>
            <w:r>
              <w:rPr>
                <w:rFonts w:ascii="Times New Roman" w:hAnsi="Times New Roman" w:cs="Times New Roman"/>
                <w:color w:val="000000"/>
                <w:sz w:val="20"/>
                <w:szCs w:val="20"/>
              </w:rPr>
              <w:t>备注：本表反映部门本年度的总收支和年末结转结余等情况。</w:t>
            </w:r>
            <w:r>
              <w:rPr>
                <w:rStyle w:val="33"/>
              </w:rPr>
              <w:t> </w:t>
            </w:r>
          </w:p>
        </w:tc>
      </w:tr>
    </w:tbl>
    <w:p>
      <w:pPr>
        <w:rPr>
          <w:vanish/>
        </w:rPr>
      </w:pPr>
      <w:r>
        <w:rPr>
          <w:rFonts w:hint="eastAsia"/>
          <w:vanish/>
        </w:rPr>
        <w:t xml:space="preserve"> </w:t>
      </w:r>
    </w:p>
    <w:tbl>
      <w:tblPr>
        <w:tblStyle w:val="13"/>
        <w:tblW w:w="8289" w:type="dxa"/>
        <w:tblInd w:w="414" w:type="dxa"/>
        <w:tblLayout w:type="fixed"/>
        <w:tblCellMar>
          <w:top w:w="15" w:type="dxa"/>
          <w:left w:w="15" w:type="dxa"/>
          <w:bottom w:w="15" w:type="dxa"/>
          <w:right w:w="15" w:type="dxa"/>
        </w:tblCellMar>
      </w:tblPr>
      <w:tblGrid>
        <w:gridCol w:w="595"/>
        <w:gridCol w:w="1910"/>
        <w:gridCol w:w="707"/>
        <w:gridCol w:w="616"/>
        <w:gridCol w:w="616"/>
        <w:gridCol w:w="687"/>
        <w:gridCol w:w="673"/>
        <w:gridCol w:w="745"/>
        <w:gridCol w:w="630"/>
        <w:gridCol w:w="653"/>
        <w:gridCol w:w="457"/>
      </w:tblGrid>
      <w:tr>
        <w:tblPrEx>
          <w:tblCellMar>
            <w:top w:w="15" w:type="dxa"/>
            <w:left w:w="15" w:type="dxa"/>
            <w:bottom w:w="15" w:type="dxa"/>
            <w:right w:w="15" w:type="dxa"/>
          </w:tblCellMar>
        </w:tblPrEx>
        <w:trPr>
          <w:gridAfter w:val="1"/>
          <w:wAfter w:w="480" w:type="dxa"/>
          <w:trHeight w:val="690" w:hRule="atLeast"/>
        </w:trPr>
        <w:tc>
          <w:tcPr>
            <w:tcW w:w="8206" w:type="dxa"/>
            <w:gridSpan w:val="10"/>
            <w:tcBorders>
              <w:top w:val="nil"/>
              <w:left w:val="nil"/>
              <w:bottom w:val="nil"/>
              <w:right w:val="single" w:color="808080" w:sz="4" w:space="0"/>
            </w:tcBorders>
            <w:shd w:val="clear" w:color="auto" w:fill="FFFFFF"/>
            <w:vAlign w:val="center"/>
          </w:tcPr>
          <w:p>
            <w:pPr>
              <w:autoSpaceDE w:val="0"/>
              <w:spacing w:line="240" w:lineRule="atLeast"/>
              <w:jc w:val="center"/>
              <w:rPr>
                <w:rFonts w:ascii="Times New Roman" w:hAnsi="Times New Roman" w:cs="Times New Roman"/>
                <w:color w:val="000000"/>
                <w:sz w:val="16"/>
                <w:szCs w:val="16"/>
              </w:rPr>
            </w:pPr>
            <w:r>
              <w:rPr>
                <w:rFonts w:hint="eastAsia" w:ascii="方正仿宋_GBK" w:eastAsia="方正仿宋_GBK"/>
                <w:color w:val="000000"/>
                <w:sz w:val="32"/>
                <w:szCs w:val="32"/>
              </w:rPr>
              <w:t>收入决算表</w:t>
            </w:r>
          </w:p>
        </w:tc>
      </w:tr>
      <w:tr>
        <w:tblPrEx>
          <w:tblCellMar>
            <w:top w:w="15" w:type="dxa"/>
            <w:left w:w="15" w:type="dxa"/>
            <w:bottom w:w="15" w:type="dxa"/>
            <w:right w:w="15" w:type="dxa"/>
          </w:tblCellMar>
        </w:tblPrEx>
        <w:trPr>
          <w:gridAfter w:val="1"/>
          <w:wAfter w:w="480" w:type="dxa"/>
          <w:trHeight w:val="381" w:hRule="atLeast"/>
        </w:trPr>
        <w:tc>
          <w:tcPr>
            <w:tcW w:w="8206" w:type="dxa"/>
            <w:gridSpan w:val="10"/>
            <w:tcBorders>
              <w:top w:val="nil"/>
              <w:left w:val="nil"/>
              <w:bottom w:val="nil"/>
              <w:right w:val="single" w:color="808080" w:sz="4" w:space="0"/>
            </w:tcBorders>
            <w:shd w:val="clear" w:color="auto" w:fill="FFFFFF"/>
            <w:vAlign w:val="center"/>
          </w:tcPr>
          <w:p>
            <w:pPr>
              <w:autoSpaceDE w:val="0"/>
              <w:spacing w:line="240" w:lineRule="atLeast"/>
              <w:jc w:val="righ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公开</w:t>
            </w:r>
            <w:r>
              <w:rPr>
                <w:rStyle w:val="52"/>
              </w:rPr>
              <w:t>02</w:t>
            </w:r>
            <w:r>
              <w:rPr>
                <w:rStyle w:val="48"/>
                <w:rFonts w:hint="default"/>
              </w:rPr>
              <w:t>表</w:t>
            </w:r>
          </w:p>
        </w:tc>
      </w:tr>
      <w:tr>
        <w:tblPrEx>
          <w:tblCellMar>
            <w:top w:w="15" w:type="dxa"/>
            <w:left w:w="15" w:type="dxa"/>
            <w:bottom w:w="15" w:type="dxa"/>
            <w:right w:w="15" w:type="dxa"/>
          </w:tblCellMar>
        </w:tblPrEx>
        <w:trPr>
          <w:gridAfter w:val="1"/>
          <w:wAfter w:w="480" w:type="dxa"/>
          <w:trHeight w:val="375" w:hRule="atLeast"/>
        </w:trPr>
        <w:tc>
          <w:tcPr>
            <w:tcW w:w="8206" w:type="dxa"/>
            <w:gridSpan w:val="10"/>
            <w:tcBorders>
              <w:top w:val="nil"/>
              <w:left w:val="nil"/>
              <w:bottom w:val="single" w:color="808080" w:sz="4" w:space="0"/>
              <w:right w:val="single" w:color="80808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公开部门：重庆市垫江县交通建设工程服务中心</w:t>
            </w:r>
            <w:r>
              <w:rPr>
                <w:rFonts w:hint="eastAsia"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2020</w:t>
            </w:r>
            <w:r>
              <w:rPr>
                <w:rStyle w:val="48"/>
                <w:rFonts w:hint="default"/>
              </w:rPr>
              <w:t xml:space="preserve">年度                                       </w:t>
            </w:r>
            <w:r>
              <w:rPr>
                <w:rFonts w:ascii="Times New Roman" w:hAnsi="Times New Roman" w:cs="Times New Roman"/>
                <w:color w:val="000000"/>
                <w:sz w:val="16"/>
                <w:szCs w:val="16"/>
              </w:rPr>
              <w:t>单位：万元</w:t>
            </w:r>
          </w:p>
        </w:tc>
      </w:tr>
      <w:tr>
        <w:tblPrEx>
          <w:tblCellMar>
            <w:top w:w="15" w:type="dxa"/>
            <w:left w:w="15" w:type="dxa"/>
            <w:bottom w:w="15" w:type="dxa"/>
            <w:right w:w="15" w:type="dxa"/>
          </w:tblCellMar>
        </w:tblPrEx>
        <w:trPr>
          <w:gridAfter w:val="1"/>
          <w:wAfter w:w="480" w:type="dxa"/>
          <w:trHeight w:val="375" w:hRule="atLeast"/>
        </w:trPr>
        <w:tc>
          <w:tcPr>
            <w:tcW w:w="2626" w:type="dxa"/>
            <w:gridSpan w:val="2"/>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项目</w:t>
            </w:r>
          </w:p>
        </w:tc>
        <w:tc>
          <w:tcPr>
            <w:tcW w:w="741" w:type="dxa"/>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本年收入合计</w:t>
            </w:r>
          </w:p>
        </w:tc>
        <w:tc>
          <w:tcPr>
            <w:tcW w:w="645" w:type="dxa"/>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财政拨款收入</w:t>
            </w:r>
          </w:p>
        </w:tc>
        <w:tc>
          <w:tcPr>
            <w:tcW w:w="645" w:type="dxa"/>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上级补助收入</w:t>
            </w:r>
          </w:p>
        </w:tc>
        <w:tc>
          <w:tcPr>
            <w:tcW w:w="1425" w:type="dxa"/>
            <w:gridSpan w:val="2"/>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事业收入</w:t>
            </w:r>
          </w:p>
        </w:tc>
        <w:tc>
          <w:tcPr>
            <w:tcW w:w="780" w:type="dxa"/>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经营收入</w:t>
            </w:r>
          </w:p>
        </w:tc>
        <w:tc>
          <w:tcPr>
            <w:tcW w:w="660" w:type="dxa"/>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附属单位上缴收入</w:t>
            </w:r>
          </w:p>
        </w:tc>
        <w:tc>
          <w:tcPr>
            <w:tcW w:w="684" w:type="dxa"/>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其他收入</w:t>
            </w:r>
          </w:p>
        </w:tc>
      </w:tr>
      <w:tr>
        <w:tblPrEx>
          <w:tblCellMar>
            <w:top w:w="15" w:type="dxa"/>
            <w:left w:w="15" w:type="dxa"/>
            <w:bottom w:w="15" w:type="dxa"/>
            <w:right w:w="15" w:type="dxa"/>
          </w:tblCellMar>
        </w:tblPrEx>
        <w:trPr>
          <w:gridAfter w:val="1"/>
          <w:wAfter w:w="480" w:type="dxa"/>
          <w:trHeight w:val="300" w:hRule="atLeast"/>
        </w:trPr>
        <w:tc>
          <w:tcPr>
            <w:tcW w:w="622" w:type="dxa"/>
            <w:vMerge w:val="restart"/>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功能分类科目编码</w:t>
            </w:r>
          </w:p>
        </w:tc>
        <w:tc>
          <w:tcPr>
            <w:tcW w:w="2004" w:type="dxa"/>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项目（按</w:t>
            </w:r>
            <w:r>
              <w:rPr>
                <w:rStyle w:val="46"/>
              </w:rPr>
              <w:t>“</w:t>
            </w:r>
            <w:r>
              <w:rPr>
                <w:rFonts w:hint="eastAsia" w:ascii="方正仿宋_GBK" w:eastAsia="方正仿宋_GBK"/>
                <w:b/>
                <w:bCs/>
                <w:color w:val="000000"/>
                <w:sz w:val="16"/>
                <w:szCs w:val="16"/>
              </w:rPr>
              <w:t>项</w:t>
            </w:r>
            <w:r>
              <w:rPr>
                <w:rStyle w:val="46"/>
              </w:rPr>
              <w:t>”</w:t>
            </w:r>
            <w:r>
              <w:rPr>
                <w:rFonts w:hint="eastAsia" w:ascii="方正仿宋_GBK" w:eastAsia="方正仿宋_GBK"/>
                <w:b/>
                <w:bCs/>
                <w:color w:val="000000"/>
                <w:sz w:val="16"/>
                <w:szCs w:val="16"/>
              </w:rPr>
              <w:t>级功能分类科目）</w:t>
            </w:r>
          </w:p>
        </w:tc>
        <w:tc>
          <w:tcPr>
            <w:tcW w:w="741"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645"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645"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2130" w:type="dxa"/>
            <w:gridSpan w:val="2"/>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780"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660"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684"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r>
      <w:tr>
        <w:tblPrEx>
          <w:tblCellMar>
            <w:top w:w="15" w:type="dxa"/>
            <w:left w:w="15" w:type="dxa"/>
            <w:bottom w:w="15" w:type="dxa"/>
            <w:right w:w="15" w:type="dxa"/>
          </w:tblCellMar>
        </w:tblPrEx>
        <w:trPr>
          <w:gridAfter w:val="1"/>
          <w:wAfter w:w="480" w:type="dxa"/>
          <w:trHeight w:val="300" w:hRule="atLeast"/>
        </w:trPr>
        <w:tc>
          <w:tcPr>
            <w:tcW w:w="8286" w:type="dxa"/>
            <w:vMerge w:val="continue"/>
            <w:tcBorders>
              <w:top w:val="nil"/>
              <w:left w:val="single" w:color="000000" w:sz="4" w:space="0"/>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2004"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741"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645"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645"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720" w:type="dxa"/>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小计</w:t>
            </w:r>
          </w:p>
        </w:tc>
        <w:tc>
          <w:tcPr>
            <w:tcW w:w="705" w:type="dxa"/>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其中：教育收费</w:t>
            </w:r>
          </w:p>
        </w:tc>
        <w:tc>
          <w:tcPr>
            <w:tcW w:w="780" w:type="dxa"/>
            <w:tcBorders>
              <w:top w:val="nil"/>
              <w:left w:val="nil"/>
              <w:bottom w:val="single" w:color="000000" w:sz="4" w:space="0"/>
              <w:right w:val="single" w:color="000000" w:sz="4" w:space="0"/>
            </w:tcBorders>
            <w:shd w:val="clear" w:color="auto" w:fill="C0C0C0"/>
            <w:vAlign w:val="center"/>
          </w:tcPr>
          <w:p>
            <w:pPr>
              <w:autoSpaceDE w:val="0"/>
              <w:spacing w:line="240" w:lineRule="atLeast"/>
              <w:rPr>
                <w:rFonts w:ascii="Times New Roman" w:hAnsi="Times New Roman" w:cs="Times New Roman"/>
                <w:b/>
                <w:bCs/>
                <w:color w:val="000000"/>
                <w:sz w:val="16"/>
                <w:szCs w:val="16"/>
              </w:rPr>
            </w:pPr>
          </w:p>
        </w:tc>
        <w:tc>
          <w:tcPr>
            <w:tcW w:w="660" w:type="dxa"/>
            <w:tcBorders>
              <w:top w:val="nil"/>
              <w:left w:val="nil"/>
              <w:bottom w:val="single" w:color="000000" w:sz="4" w:space="0"/>
              <w:right w:val="single" w:color="000000" w:sz="4" w:space="0"/>
            </w:tcBorders>
            <w:shd w:val="clear" w:color="auto" w:fill="C0C0C0"/>
            <w:vAlign w:val="center"/>
          </w:tcPr>
          <w:p>
            <w:pPr>
              <w:autoSpaceDE w:val="0"/>
              <w:spacing w:line="240" w:lineRule="atLeast"/>
              <w:rPr>
                <w:rFonts w:ascii="Times New Roman" w:hAnsi="Times New Roman" w:cs="Times New Roman"/>
                <w:b/>
                <w:bCs/>
                <w:color w:val="000000"/>
                <w:sz w:val="16"/>
                <w:szCs w:val="16"/>
              </w:rPr>
            </w:pPr>
          </w:p>
        </w:tc>
        <w:tc>
          <w:tcPr>
            <w:tcW w:w="684" w:type="dxa"/>
            <w:tcBorders>
              <w:top w:val="nil"/>
              <w:left w:val="nil"/>
              <w:bottom w:val="single" w:color="000000" w:sz="4" w:space="0"/>
              <w:right w:val="single" w:color="000000" w:sz="4" w:space="0"/>
            </w:tcBorders>
            <w:shd w:val="clear" w:color="auto" w:fill="C0C0C0"/>
            <w:vAlign w:val="center"/>
          </w:tcPr>
          <w:p>
            <w:pPr>
              <w:autoSpaceDE w:val="0"/>
              <w:spacing w:line="240" w:lineRule="atLeast"/>
              <w:rPr>
                <w:rFonts w:ascii="Times New Roman" w:hAnsi="Times New Roman" w:cs="Times New Roman"/>
                <w:b/>
                <w:bCs/>
                <w:color w:val="000000"/>
                <w:sz w:val="16"/>
                <w:szCs w:val="16"/>
              </w:rPr>
            </w:pPr>
          </w:p>
        </w:tc>
      </w:tr>
      <w:tr>
        <w:tblPrEx>
          <w:tblCellMar>
            <w:top w:w="15" w:type="dxa"/>
            <w:left w:w="15" w:type="dxa"/>
            <w:bottom w:w="15" w:type="dxa"/>
            <w:right w:w="15" w:type="dxa"/>
          </w:tblCellMar>
        </w:tblPrEx>
        <w:trPr>
          <w:gridAfter w:val="1"/>
          <w:wAfter w:w="480" w:type="dxa"/>
          <w:trHeight w:val="300" w:hRule="atLeast"/>
        </w:trPr>
        <w:tc>
          <w:tcPr>
            <w:tcW w:w="8286" w:type="dxa"/>
            <w:vMerge w:val="continue"/>
            <w:tcBorders>
              <w:top w:val="nil"/>
              <w:left w:val="single" w:color="000000" w:sz="4" w:space="0"/>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2004"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741"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645"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645"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1425"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705"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780" w:type="dxa"/>
            <w:tcBorders>
              <w:top w:val="nil"/>
              <w:left w:val="nil"/>
              <w:bottom w:val="single" w:color="000000" w:sz="4" w:space="0"/>
              <w:right w:val="single" w:color="000000" w:sz="4" w:space="0"/>
            </w:tcBorders>
            <w:shd w:val="clear" w:color="auto" w:fill="C0C0C0"/>
            <w:vAlign w:val="center"/>
          </w:tcPr>
          <w:p>
            <w:pPr>
              <w:autoSpaceDE w:val="0"/>
              <w:spacing w:line="240" w:lineRule="atLeast"/>
              <w:rPr>
                <w:rFonts w:ascii="Times New Roman" w:hAnsi="Times New Roman" w:cs="Times New Roman"/>
                <w:b/>
                <w:bCs/>
                <w:color w:val="000000"/>
                <w:sz w:val="16"/>
                <w:szCs w:val="16"/>
              </w:rPr>
            </w:pPr>
          </w:p>
        </w:tc>
        <w:tc>
          <w:tcPr>
            <w:tcW w:w="660" w:type="dxa"/>
            <w:tcBorders>
              <w:top w:val="nil"/>
              <w:left w:val="nil"/>
              <w:bottom w:val="single" w:color="000000" w:sz="4" w:space="0"/>
              <w:right w:val="single" w:color="000000" w:sz="4" w:space="0"/>
            </w:tcBorders>
            <w:shd w:val="clear" w:color="auto" w:fill="C0C0C0"/>
            <w:vAlign w:val="center"/>
          </w:tcPr>
          <w:p>
            <w:pPr>
              <w:autoSpaceDE w:val="0"/>
              <w:spacing w:line="240" w:lineRule="atLeast"/>
              <w:rPr>
                <w:rFonts w:ascii="Times New Roman" w:hAnsi="Times New Roman" w:cs="Times New Roman"/>
                <w:b/>
                <w:bCs/>
                <w:color w:val="000000"/>
                <w:sz w:val="16"/>
                <w:szCs w:val="16"/>
              </w:rPr>
            </w:pPr>
          </w:p>
        </w:tc>
        <w:tc>
          <w:tcPr>
            <w:tcW w:w="684" w:type="dxa"/>
            <w:tcBorders>
              <w:top w:val="nil"/>
              <w:left w:val="nil"/>
              <w:bottom w:val="single" w:color="000000" w:sz="4" w:space="0"/>
              <w:right w:val="single" w:color="000000" w:sz="4" w:space="0"/>
            </w:tcBorders>
            <w:shd w:val="clear" w:color="auto" w:fill="C0C0C0"/>
            <w:vAlign w:val="center"/>
          </w:tcPr>
          <w:p>
            <w:pPr>
              <w:autoSpaceDE w:val="0"/>
              <w:spacing w:line="240" w:lineRule="atLeast"/>
              <w:rPr>
                <w:rFonts w:ascii="Times New Roman" w:hAnsi="Times New Roman" w:cs="Times New Roman"/>
                <w:b/>
                <w:bCs/>
                <w:color w:val="000000"/>
                <w:sz w:val="16"/>
                <w:szCs w:val="16"/>
              </w:rPr>
            </w:pPr>
          </w:p>
        </w:tc>
      </w:tr>
      <w:tr>
        <w:tblPrEx>
          <w:tblCellMar>
            <w:top w:w="15" w:type="dxa"/>
            <w:left w:w="15" w:type="dxa"/>
            <w:bottom w:w="15" w:type="dxa"/>
            <w:right w:w="15" w:type="dxa"/>
          </w:tblCellMar>
        </w:tblPrEx>
        <w:trPr>
          <w:gridAfter w:val="1"/>
          <w:wAfter w:w="480" w:type="dxa"/>
          <w:trHeight w:val="375" w:hRule="atLeast"/>
        </w:trPr>
        <w:tc>
          <w:tcPr>
            <w:tcW w:w="2626" w:type="dxa"/>
            <w:gridSpan w:val="2"/>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合计</w:t>
            </w:r>
          </w:p>
        </w:tc>
        <w:tc>
          <w:tcPr>
            <w:tcW w:w="741"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241.25</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241.25</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2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0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8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6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684"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tblPrEx>
          <w:tblCellMar>
            <w:top w:w="15" w:type="dxa"/>
            <w:left w:w="15" w:type="dxa"/>
            <w:bottom w:w="15" w:type="dxa"/>
            <w:right w:w="15" w:type="dxa"/>
          </w:tblCellMar>
        </w:tblPrEx>
        <w:trPr>
          <w:gridAfter w:val="1"/>
          <w:wAfter w:w="480" w:type="dxa"/>
          <w:trHeight w:val="375" w:hRule="atLeast"/>
        </w:trPr>
        <w:tc>
          <w:tcPr>
            <w:tcW w:w="622"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205</w:t>
            </w:r>
          </w:p>
        </w:tc>
        <w:tc>
          <w:tcPr>
            <w:tcW w:w="2004"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教育支出</w:t>
            </w:r>
          </w:p>
        </w:tc>
        <w:tc>
          <w:tcPr>
            <w:tcW w:w="741"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0.72</w:t>
            </w:r>
          </w:p>
        </w:tc>
        <w:tc>
          <w:tcPr>
            <w:tcW w:w="6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0.72</w:t>
            </w:r>
          </w:p>
        </w:tc>
        <w:tc>
          <w:tcPr>
            <w:tcW w:w="6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0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8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6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684"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r>
      <w:tr>
        <w:tblPrEx>
          <w:tblCellMar>
            <w:top w:w="15" w:type="dxa"/>
            <w:left w:w="15" w:type="dxa"/>
            <w:bottom w:w="15" w:type="dxa"/>
            <w:right w:w="15" w:type="dxa"/>
          </w:tblCellMar>
        </w:tblPrEx>
        <w:trPr>
          <w:gridAfter w:val="1"/>
          <w:wAfter w:w="480" w:type="dxa"/>
          <w:trHeight w:val="375" w:hRule="atLeast"/>
        </w:trPr>
        <w:tc>
          <w:tcPr>
            <w:tcW w:w="622"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20508</w:t>
            </w:r>
          </w:p>
        </w:tc>
        <w:tc>
          <w:tcPr>
            <w:tcW w:w="2004"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进修及培训</w:t>
            </w:r>
          </w:p>
        </w:tc>
        <w:tc>
          <w:tcPr>
            <w:tcW w:w="741"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0.72</w:t>
            </w:r>
          </w:p>
        </w:tc>
        <w:tc>
          <w:tcPr>
            <w:tcW w:w="6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0.72</w:t>
            </w:r>
          </w:p>
        </w:tc>
        <w:tc>
          <w:tcPr>
            <w:tcW w:w="6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0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8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6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684"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r>
      <w:tr>
        <w:tblPrEx>
          <w:tblCellMar>
            <w:top w:w="15" w:type="dxa"/>
            <w:left w:w="15" w:type="dxa"/>
            <w:bottom w:w="15" w:type="dxa"/>
            <w:right w:w="15" w:type="dxa"/>
          </w:tblCellMar>
        </w:tblPrEx>
        <w:trPr>
          <w:gridAfter w:val="1"/>
          <w:wAfter w:w="480" w:type="dxa"/>
          <w:trHeight w:val="375" w:hRule="atLeast"/>
        </w:trPr>
        <w:tc>
          <w:tcPr>
            <w:tcW w:w="622" w:type="dxa"/>
            <w:tcBorders>
              <w:top w:val="nil"/>
              <w:left w:val="single" w:color="000000" w:sz="4" w:space="0"/>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2050803</w:t>
            </w:r>
          </w:p>
        </w:tc>
        <w:tc>
          <w:tcPr>
            <w:tcW w:w="2004" w:type="dxa"/>
            <w:tcBorders>
              <w:top w:val="nil"/>
              <w:left w:val="nil"/>
              <w:bottom w:val="single" w:color="000000" w:sz="4" w:space="0"/>
              <w:right w:val="single" w:color="000000" w:sz="4" w:space="0"/>
            </w:tcBorders>
            <w:shd w:val="clear" w:color="auto" w:fill="CC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hint="eastAsia" w:ascii="方正仿宋_GBK" w:eastAsia="方正仿宋_GBK"/>
                <w:color w:val="000000"/>
                <w:sz w:val="16"/>
                <w:szCs w:val="16"/>
              </w:rPr>
              <w:t>培训支出</w:t>
            </w:r>
          </w:p>
        </w:tc>
        <w:tc>
          <w:tcPr>
            <w:tcW w:w="741"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0.72</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0.72</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2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0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8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6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684"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tblPrEx>
          <w:tblCellMar>
            <w:top w:w="15" w:type="dxa"/>
            <w:left w:w="15" w:type="dxa"/>
            <w:bottom w:w="15" w:type="dxa"/>
            <w:right w:w="15" w:type="dxa"/>
          </w:tblCellMar>
        </w:tblPrEx>
        <w:trPr>
          <w:gridAfter w:val="1"/>
          <w:wAfter w:w="480" w:type="dxa"/>
          <w:trHeight w:val="375" w:hRule="atLeast"/>
        </w:trPr>
        <w:tc>
          <w:tcPr>
            <w:tcW w:w="622"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208</w:t>
            </w:r>
          </w:p>
        </w:tc>
        <w:tc>
          <w:tcPr>
            <w:tcW w:w="2004"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社会保障和就业支出</w:t>
            </w:r>
          </w:p>
        </w:tc>
        <w:tc>
          <w:tcPr>
            <w:tcW w:w="741"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25.40</w:t>
            </w:r>
          </w:p>
        </w:tc>
        <w:tc>
          <w:tcPr>
            <w:tcW w:w="6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25.40</w:t>
            </w:r>
          </w:p>
        </w:tc>
        <w:tc>
          <w:tcPr>
            <w:tcW w:w="6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0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8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6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684"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r>
      <w:tr>
        <w:tblPrEx>
          <w:tblCellMar>
            <w:top w:w="15" w:type="dxa"/>
            <w:left w:w="15" w:type="dxa"/>
            <w:bottom w:w="15" w:type="dxa"/>
            <w:right w:w="15" w:type="dxa"/>
          </w:tblCellMar>
        </w:tblPrEx>
        <w:trPr>
          <w:gridAfter w:val="1"/>
          <w:wAfter w:w="480" w:type="dxa"/>
          <w:trHeight w:val="375" w:hRule="atLeast"/>
        </w:trPr>
        <w:tc>
          <w:tcPr>
            <w:tcW w:w="622"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20805</w:t>
            </w:r>
          </w:p>
        </w:tc>
        <w:tc>
          <w:tcPr>
            <w:tcW w:w="2004"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行政事业单位养老支出</w:t>
            </w:r>
          </w:p>
        </w:tc>
        <w:tc>
          <w:tcPr>
            <w:tcW w:w="741"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25.40</w:t>
            </w:r>
          </w:p>
        </w:tc>
        <w:tc>
          <w:tcPr>
            <w:tcW w:w="6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25.40</w:t>
            </w:r>
          </w:p>
        </w:tc>
        <w:tc>
          <w:tcPr>
            <w:tcW w:w="6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0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8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6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684"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r>
      <w:tr>
        <w:tblPrEx>
          <w:tblCellMar>
            <w:top w:w="15" w:type="dxa"/>
            <w:left w:w="15" w:type="dxa"/>
            <w:bottom w:w="15" w:type="dxa"/>
            <w:right w:w="15" w:type="dxa"/>
          </w:tblCellMar>
        </w:tblPrEx>
        <w:trPr>
          <w:gridAfter w:val="1"/>
          <w:wAfter w:w="480" w:type="dxa"/>
          <w:trHeight w:val="375" w:hRule="atLeast"/>
        </w:trPr>
        <w:tc>
          <w:tcPr>
            <w:tcW w:w="622" w:type="dxa"/>
            <w:tcBorders>
              <w:top w:val="nil"/>
              <w:left w:val="single" w:color="000000" w:sz="4" w:space="0"/>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2080505</w:t>
            </w:r>
          </w:p>
        </w:tc>
        <w:tc>
          <w:tcPr>
            <w:tcW w:w="2004" w:type="dxa"/>
            <w:tcBorders>
              <w:top w:val="nil"/>
              <w:left w:val="nil"/>
              <w:bottom w:val="single" w:color="000000" w:sz="4" w:space="0"/>
              <w:right w:val="single" w:color="000000" w:sz="4" w:space="0"/>
            </w:tcBorders>
            <w:shd w:val="clear" w:color="auto" w:fill="CC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hint="eastAsia" w:ascii="方正仿宋_GBK" w:eastAsia="方正仿宋_GBK"/>
                <w:color w:val="000000"/>
                <w:sz w:val="16"/>
                <w:szCs w:val="16"/>
              </w:rPr>
              <w:t>机关事业单位基本养老保险缴费支出</w:t>
            </w:r>
          </w:p>
        </w:tc>
        <w:tc>
          <w:tcPr>
            <w:tcW w:w="741"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15.67</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15.67</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2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0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8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6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684"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tblPrEx>
          <w:tblCellMar>
            <w:top w:w="15" w:type="dxa"/>
            <w:left w:w="15" w:type="dxa"/>
            <w:bottom w:w="15" w:type="dxa"/>
            <w:right w:w="15" w:type="dxa"/>
          </w:tblCellMar>
        </w:tblPrEx>
        <w:trPr>
          <w:gridAfter w:val="1"/>
          <w:wAfter w:w="480" w:type="dxa"/>
          <w:trHeight w:val="375" w:hRule="atLeast"/>
        </w:trPr>
        <w:tc>
          <w:tcPr>
            <w:tcW w:w="622" w:type="dxa"/>
            <w:tcBorders>
              <w:top w:val="nil"/>
              <w:left w:val="single" w:color="000000" w:sz="4" w:space="0"/>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2080506</w:t>
            </w:r>
          </w:p>
        </w:tc>
        <w:tc>
          <w:tcPr>
            <w:tcW w:w="2004" w:type="dxa"/>
            <w:tcBorders>
              <w:top w:val="nil"/>
              <w:left w:val="nil"/>
              <w:bottom w:val="single" w:color="000000" w:sz="4" w:space="0"/>
              <w:right w:val="single" w:color="000000" w:sz="4" w:space="0"/>
            </w:tcBorders>
            <w:shd w:val="clear" w:color="auto" w:fill="CC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hint="eastAsia" w:ascii="方正仿宋_GBK" w:eastAsia="方正仿宋_GBK"/>
                <w:color w:val="000000"/>
                <w:sz w:val="16"/>
                <w:szCs w:val="16"/>
              </w:rPr>
              <w:t>机关事业单位职业年金缴费支出</w:t>
            </w:r>
          </w:p>
        </w:tc>
        <w:tc>
          <w:tcPr>
            <w:tcW w:w="741"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7.83</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7.83</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2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0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8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6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684"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tblPrEx>
          <w:tblCellMar>
            <w:top w:w="15" w:type="dxa"/>
            <w:left w:w="15" w:type="dxa"/>
            <w:bottom w:w="15" w:type="dxa"/>
            <w:right w:w="15" w:type="dxa"/>
          </w:tblCellMar>
        </w:tblPrEx>
        <w:trPr>
          <w:gridAfter w:val="1"/>
          <w:wAfter w:w="480" w:type="dxa"/>
          <w:trHeight w:val="375" w:hRule="atLeast"/>
        </w:trPr>
        <w:tc>
          <w:tcPr>
            <w:tcW w:w="622" w:type="dxa"/>
            <w:tcBorders>
              <w:top w:val="nil"/>
              <w:left w:val="single" w:color="000000" w:sz="4" w:space="0"/>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2080599</w:t>
            </w:r>
          </w:p>
        </w:tc>
        <w:tc>
          <w:tcPr>
            <w:tcW w:w="2004" w:type="dxa"/>
            <w:tcBorders>
              <w:top w:val="nil"/>
              <w:left w:val="nil"/>
              <w:bottom w:val="single" w:color="000000" w:sz="4" w:space="0"/>
              <w:right w:val="single" w:color="000000" w:sz="4" w:space="0"/>
            </w:tcBorders>
            <w:shd w:val="clear" w:color="auto" w:fill="CC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hint="eastAsia" w:ascii="方正仿宋_GBK" w:eastAsia="方正仿宋_GBK"/>
                <w:color w:val="000000"/>
                <w:sz w:val="16"/>
                <w:szCs w:val="16"/>
              </w:rPr>
              <w:t>其他行政事业单位养老支出</w:t>
            </w:r>
          </w:p>
        </w:tc>
        <w:tc>
          <w:tcPr>
            <w:tcW w:w="741"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1.90</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1.90</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2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0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8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6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684"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tblPrEx>
          <w:tblCellMar>
            <w:top w:w="15" w:type="dxa"/>
            <w:left w:w="15" w:type="dxa"/>
            <w:bottom w:w="15" w:type="dxa"/>
            <w:right w:w="15" w:type="dxa"/>
          </w:tblCellMar>
        </w:tblPrEx>
        <w:trPr>
          <w:gridAfter w:val="1"/>
          <w:wAfter w:w="480" w:type="dxa"/>
          <w:trHeight w:val="375" w:hRule="atLeast"/>
        </w:trPr>
        <w:tc>
          <w:tcPr>
            <w:tcW w:w="622"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210</w:t>
            </w:r>
          </w:p>
        </w:tc>
        <w:tc>
          <w:tcPr>
            <w:tcW w:w="2004"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卫生健康支出</w:t>
            </w:r>
          </w:p>
        </w:tc>
        <w:tc>
          <w:tcPr>
            <w:tcW w:w="741"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9.91</w:t>
            </w:r>
          </w:p>
        </w:tc>
        <w:tc>
          <w:tcPr>
            <w:tcW w:w="6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9.91</w:t>
            </w:r>
          </w:p>
        </w:tc>
        <w:tc>
          <w:tcPr>
            <w:tcW w:w="6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0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8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6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684"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r>
      <w:tr>
        <w:tblPrEx>
          <w:tblCellMar>
            <w:top w:w="15" w:type="dxa"/>
            <w:left w:w="15" w:type="dxa"/>
            <w:bottom w:w="15" w:type="dxa"/>
            <w:right w:w="15" w:type="dxa"/>
          </w:tblCellMar>
        </w:tblPrEx>
        <w:trPr>
          <w:gridAfter w:val="1"/>
          <w:wAfter w:w="480" w:type="dxa"/>
          <w:trHeight w:val="374" w:hRule="atLeast"/>
        </w:trPr>
        <w:tc>
          <w:tcPr>
            <w:tcW w:w="622"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21011</w:t>
            </w:r>
          </w:p>
        </w:tc>
        <w:tc>
          <w:tcPr>
            <w:tcW w:w="2004"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行政事业单位医疗</w:t>
            </w:r>
          </w:p>
        </w:tc>
        <w:tc>
          <w:tcPr>
            <w:tcW w:w="741"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9.91</w:t>
            </w:r>
          </w:p>
        </w:tc>
        <w:tc>
          <w:tcPr>
            <w:tcW w:w="6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9.91</w:t>
            </w:r>
          </w:p>
        </w:tc>
        <w:tc>
          <w:tcPr>
            <w:tcW w:w="6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0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8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6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684"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r>
      <w:tr>
        <w:tblPrEx>
          <w:tblCellMar>
            <w:top w:w="15" w:type="dxa"/>
            <w:left w:w="15" w:type="dxa"/>
            <w:bottom w:w="15" w:type="dxa"/>
            <w:right w:w="15" w:type="dxa"/>
          </w:tblCellMar>
        </w:tblPrEx>
        <w:trPr>
          <w:gridAfter w:val="1"/>
          <w:wAfter w:w="480" w:type="dxa"/>
          <w:trHeight w:val="374" w:hRule="atLeast"/>
        </w:trPr>
        <w:tc>
          <w:tcPr>
            <w:tcW w:w="622" w:type="dxa"/>
            <w:tcBorders>
              <w:top w:val="nil"/>
              <w:left w:val="single" w:color="000000" w:sz="4" w:space="0"/>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2101102</w:t>
            </w:r>
          </w:p>
        </w:tc>
        <w:tc>
          <w:tcPr>
            <w:tcW w:w="2004" w:type="dxa"/>
            <w:tcBorders>
              <w:top w:val="nil"/>
              <w:left w:val="nil"/>
              <w:bottom w:val="single" w:color="000000" w:sz="4" w:space="0"/>
              <w:right w:val="single" w:color="000000" w:sz="4" w:space="0"/>
            </w:tcBorders>
            <w:shd w:val="clear" w:color="auto" w:fill="CC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hint="eastAsia" w:ascii="方正仿宋_GBK" w:eastAsia="方正仿宋_GBK"/>
                <w:color w:val="000000"/>
                <w:sz w:val="16"/>
                <w:szCs w:val="16"/>
              </w:rPr>
              <w:t>事业单位医疗</w:t>
            </w:r>
          </w:p>
        </w:tc>
        <w:tc>
          <w:tcPr>
            <w:tcW w:w="741"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9.91</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9.91</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2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0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8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6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684"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tblPrEx>
          <w:tblCellMar>
            <w:top w:w="15" w:type="dxa"/>
            <w:left w:w="15" w:type="dxa"/>
            <w:bottom w:w="15" w:type="dxa"/>
            <w:right w:w="15" w:type="dxa"/>
          </w:tblCellMar>
        </w:tblPrEx>
        <w:trPr>
          <w:gridAfter w:val="1"/>
          <w:wAfter w:w="480" w:type="dxa"/>
          <w:trHeight w:val="374" w:hRule="atLeast"/>
        </w:trPr>
        <w:tc>
          <w:tcPr>
            <w:tcW w:w="622"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214</w:t>
            </w:r>
          </w:p>
        </w:tc>
        <w:tc>
          <w:tcPr>
            <w:tcW w:w="2004"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交通运输支出</w:t>
            </w:r>
          </w:p>
        </w:tc>
        <w:tc>
          <w:tcPr>
            <w:tcW w:w="741"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193.47</w:t>
            </w:r>
          </w:p>
        </w:tc>
        <w:tc>
          <w:tcPr>
            <w:tcW w:w="6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193.47</w:t>
            </w:r>
          </w:p>
        </w:tc>
        <w:tc>
          <w:tcPr>
            <w:tcW w:w="6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0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8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6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684"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r>
      <w:tr>
        <w:tblPrEx>
          <w:tblCellMar>
            <w:top w:w="15" w:type="dxa"/>
            <w:left w:w="15" w:type="dxa"/>
            <w:bottom w:w="15" w:type="dxa"/>
            <w:right w:w="15" w:type="dxa"/>
          </w:tblCellMar>
        </w:tblPrEx>
        <w:trPr>
          <w:gridAfter w:val="1"/>
          <w:wAfter w:w="480" w:type="dxa"/>
          <w:trHeight w:val="374" w:hRule="atLeast"/>
        </w:trPr>
        <w:tc>
          <w:tcPr>
            <w:tcW w:w="622"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21401</w:t>
            </w:r>
          </w:p>
        </w:tc>
        <w:tc>
          <w:tcPr>
            <w:tcW w:w="2004"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公路水路运输</w:t>
            </w:r>
          </w:p>
        </w:tc>
        <w:tc>
          <w:tcPr>
            <w:tcW w:w="741"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193.47</w:t>
            </w:r>
          </w:p>
        </w:tc>
        <w:tc>
          <w:tcPr>
            <w:tcW w:w="6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193.47</w:t>
            </w:r>
          </w:p>
        </w:tc>
        <w:tc>
          <w:tcPr>
            <w:tcW w:w="6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0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8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6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684"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r>
      <w:tr>
        <w:tblPrEx>
          <w:tblCellMar>
            <w:top w:w="15" w:type="dxa"/>
            <w:left w:w="15" w:type="dxa"/>
            <w:bottom w:w="15" w:type="dxa"/>
            <w:right w:w="15" w:type="dxa"/>
          </w:tblCellMar>
        </w:tblPrEx>
        <w:trPr>
          <w:gridAfter w:val="1"/>
          <w:wAfter w:w="480" w:type="dxa"/>
          <w:trHeight w:val="374" w:hRule="atLeast"/>
        </w:trPr>
        <w:tc>
          <w:tcPr>
            <w:tcW w:w="622" w:type="dxa"/>
            <w:tcBorders>
              <w:top w:val="nil"/>
              <w:left w:val="single" w:color="000000" w:sz="4" w:space="0"/>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2140199</w:t>
            </w:r>
          </w:p>
        </w:tc>
        <w:tc>
          <w:tcPr>
            <w:tcW w:w="2004" w:type="dxa"/>
            <w:tcBorders>
              <w:top w:val="nil"/>
              <w:left w:val="nil"/>
              <w:bottom w:val="single" w:color="000000" w:sz="4" w:space="0"/>
              <w:right w:val="single" w:color="000000" w:sz="4" w:space="0"/>
            </w:tcBorders>
            <w:shd w:val="clear" w:color="auto" w:fill="CC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hint="eastAsia" w:ascii="方正仿宋_GBK" w:eastAsia="方正仿宋_GBK"/>
                <w:color w:val="000000"/>
                <w:sz w:val="16"/>
                <w:szCs w:val="16"/>
              </w:rPr>
              <w:t>其他公路水路运输支出</w:t>
            </w:r>
          </w:p>
        </w:tc>
        <w:tc>
          <w:tcPr>
            <w:tcW w:w="741"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193.47</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193.47</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2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0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8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6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684"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tblPrEx>
          <w:tblCellMar>
            <w:top w:w="15" w:type="dxa"/>
            <w:left w:w="15" w:type="dxa"/>
            <w:bottom w:w="15" w:type="dxa"/>
            <w:right w:w="15" w:type="dxa"/>
          </w:tblCellMar>
        </w:tblPrEx>
        <w:trPr>
          <w:gridAfter w:val="1"/>
          <w:wAfter w:w="480" w:type="dxa"/>
          <w:trHeight w:val="374" w:hRule="atLeast"/>
        </w:trPr>
        <w:tc>
          <w:tcPr>
            <w:tcW w:w="622"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221</w:t>
            </w:r>
          </w:p>
        </w:tc>
        <w:tc>
          <w:tcPr>
            <w:tcW w:w="2004"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住房保障支出</w:t>
            </w:r>
          </w:p>
        </w:tc>
        <w:tc>
          <w:tcPr>
            <w:tcW w:w="741"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11.75</w:t>
            </w:r>
          </w:p>
        </w:tc>
        <w:tc>
          <w:tcPr>
            <w:tcW w:w="6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11.75</w:t>
            </w:r>
          </w:p>
        </w:tc>
        <w:tc>
          <w:tcPr>
            <w:tcW w:w="6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0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8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6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684"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r>
      <w:tr>
        <w:tblPrEx>
          <w:tblCellMar>
            <w:top w:w="15" w:type="dxa"/>
            <w:left w:w="15" w:type="dxa"/>
            <w:bottom w:w="15" w:type="dxa"/>
            <w:right w:w="15" w:type="dxa"/>
          </w:tblCellMar>
        </w:tblPrEx>
        <w:trPr>
          <w:gridAfter w:val="1"/>
          <w:wAfter w:w="480" w:type="dxa"/>
          <w:trHeight w:val="374" w:hRule="atLeast"/>
        </w:trPr>
        <w:tc>
          <w:tcPr>
            <w:tcW w:w="622"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22102</w:t>
            </w:r>
          </w:p>
        </w:tc>
        <w:tc>
          <w:tcPr>
            <w:tcW w:w="2004"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住房改革支出</w:t>
            </w:r>
          </w:p>
        </w:tc>
        <w:tc>
          <w:tcPr>
            <w:tcW w:w="741"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11.75</w:t>
            </w:r>
          </w:p>
        </w:tc>
        <w:tc>
          <w:tcPr>
            <w:tcW w:w="6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11.75</w:t>
            </w:r>
          </w:p>
        </w:tc>
        <w:tc>
          <w:tcPr>
            <w:tcW w:w="6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0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8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6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684"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r>
      <w:tr>
        <w:tblPrEx>
          <w:tblCellMar>
            <w:top w:w="15" w:type="dxa"/>
            <w:left w:w="15" w:type="dxa"/>
            <w:bottom w:w="15" w:type="dxa"/>
            <w:right w:w="15" w:type="dxa"/>
          </w:tblCellMar>
        </w:tblPrEx>
        <w:trPr>
          <w:gridAfter w:val="1"/>
          <w:wAfter w:w="480" w:type="dxa"/>
          <w:trHeight w:val="374" w:hRule="atLeast"/>
        </w:trPr>
        <w:tc>
          <w:tcPr>
            <w:tcW w:w="622" w:type="dxa"/>
            <w:tcBorders>
              <w:top w:val="nil"/>
              <w:left w:val="single" w:color="000000" w:sz="4" w:space="0"/>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2210201</w:t>
            </w:r>
          </w:p>
        </w:tc>
        <w:tc>
          <w:tcPr>
            <w:tcW w:w="2004" w:type="dxa"/>
            <w:tcBorders>
              <w:top w:val="nil"/>
              <w:left w:val="nil"/>
              <w:bottom w:val="single" w:color="000000" w:sz="4" w:space="0"/>
              <w:right w:val="single" w:color="000000" w:sz="4" w:space="0"/>
            </w:tcBorders>
            <w:shd w:val="clear" w:color="auto" w:fill="CC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hint="eastAsia" w:ascii="方正仿宋_GBK" w:eastAsia="方正仿宋_GBK"/>
                <w:color w:val="000000"/>
                <w:sz w:val="16"/>
                <w:szCs w:val="16"/>
              </w:rPr>
              <w:t>住房公积金</w:t>
            </w:r>
          </w:p>
        </w:tc>
        <w:tc>
          <w:tcPr>
            <w:tcW w:w="741"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11.75</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11.75</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2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0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8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6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684"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tblPrEx>
          <w:tblCellMar>
            <w:top w:w="15" w:type="dxa"/>
            <w:left w:w="15" w:type="dxa"/>
            <w:bottom w:w="15" w:type="dxa"/>
            <w:right w:w="15" w:type="dxa"/>
          </w:tblCellMar>
        </w:tblPrEx>
        <w:trPr>
          <w:trHeight w:val="375" w:hRule="atLeast"/>
        </w:trPr>
        <w:tc>
          <w:tcPr>
            <w:tcW w:w="8286" w:type="dxa"/>
            <w:gridSpan w:val="11"/>
            <w:tcBorders>
              <w:top w:val="nil"/>
              <w:left w:val="nil"/>
              <w:bottom w:val="nil"/>
              <w:right w:val="nil"/>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备注：本表反映部门本年度取得的各项收入情况。</w:t>
            </w:r>
          </w:p>
        </w:tc>
      </w:tr>
    </w:tbl>
    <w:p>
      <w:pPr>
        <w:autoSpaceDE w:val="0"/>
        <w:spacing w:line="240" w:lineRule="atLeast"/>
        <w:rPr>
          <w:rFonts w:hint="eastAsia" w:ascii="Calibri" w:hAnsi="Calibri"/>
          <w:color w:val="000000"/>
          <w:sz w:val="21"/>
          <w:szCs w:val="21"/>
        </w:rPr>
      </w:pPr>
      <w:r>
        <w:rPr>
          <w:rFonts w:hint="eastAsia" w:ascii="Calibri" w:hAnsi="Calibri"/>
          <w:color w:val="000000"/>
          <w:sz w:val="21"/>
          <w:szCs w:val="21"/>
        </w:rPr>
        <w:t xml:space="preserve"> </w:t>
      </w:r>
    </w:p>
    <w:p>
      <w:pPr>
        <w:pStyle w:val="25"/>
        <w:autoSpaceDE w:val="0"/>
        <w:spacing w:before="0" w:beforeAutospacing="0" w:after="0" w:afterAutospacing="0" w:line="240" w:lineRule="atLeast"/>
        <w:rPr>
          <w:rFonts w:hint="eastAsia"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 xml:space="preserve"> </w:t>
      </w:r>
    </w:p>
    <w:p>
      <w:pPr>
        <w:pStyle w:val="25"/>
        <w:autoSpaceDE w:val="0"/>
        <w:spacing w:before="0" w:beforeAutospacing="0" w:after="0" w:afterAutospacing="0" w:line="240" w:lineRule="atLeast"/>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 xml:space="preserve"> </w:t>
      </w:r>
    </w:p>
    <w:p>
      <w:pPr>
        <w:pStyle w:val="25"/>
        <w:autoSpaceDE w:val="0"/>
        <w:spacing w:before="0" w:beforeAutospacing="0" w:after="0" w:afterAutospacing="0" w:line="240" w:lineRule="atLeast"/>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 xml:space="preserve"> </w:t>
      </w:r>
    </w:p>
    <w:tbl>
      <w:tblPr>
        <w:tblStyle w:val="13"/>
        <w:tblW w:w="8092" w:type="dxa"/>
        <w:tblInd w:w="414" w:type="dxa"/>
        <w:tblLayout w:type="fixed"/>
        <w:tblCellMar>
          <w:top w:w="15" w:type="dxa"/>
          <w:left w:w="15" w:type="dxa"/>
          <w:bottom w:w="15" w:type="dxa"/>
          <w:right w:w="15" w:type="dxa"/>
        </w:tblCellMar>
      </w:tblPr>
      <w:tblGrid>
        <w:gridCol w:w="1066"/>
        <w:gridCol w:w="2808"/>
        <w:gridCol w:w="672"/>
        <w:gridCol w:w="711"/>
        <w:gridCol w:w="660"/>
        <w:gridCol w:w="693"/>
        <w:gridCol w:w="720"/>
        <w:gridCol w:w="762"/>
      </w:tblGrid>
      <w:tr>
        <w:tblPrEx>
          <w:tblCellMar>
            <w:top w:w="15" w:type="dxa"/>
            <w:left w:w="15" w:type="dxa"/>
            <w:bottom w:w="15" w:type="dxa"/>
            <w:right w:w="15" w:type="dxa"/>
          </w:tblCellMar>
        </w:tblPrEx>
        <w:trPr>
          <w:trHeight w:val="690" w:hRule="atLeast"/>
        </w:trPr>
        <w:tc>
          <w:tcPr>
            <w:tcW w:w="8092" w:type="dxa"/>
            <w:gridSpan w:val="8"/>
            <w:tcBorders>
              <w:top w:val="nil"/>
              <w:left w:val="nil"/>
              <w:bottom w:val="nil"/>
              <w:right w:val="single" w:color="808080" w:sz="4" w:space="0"/>
            </w:tcBorders>
            <w:shd w:val="clear" w:color="auto" w:fill="FFFFFF"/>
            <w:vAlign w:val="center"/>
          </w:tcPr>
          <w:p>
            <w:pPr>
              <w:autoSpaceDE w:val="0"/>
              <w:spacing w:line="240" w:lineRule="atLeast"/>
              <w:jc w:val="center"/>
              <w:rPr>
                <w:rFonts w:ascii="Times New Roman" w:hAnsi="Times New Roman" w:cs="Times New Roman"/>
                <w:color w:val="000000"/>
                <w:sz w:val="16"/>
                <w:szCs w:val="16"/>
              </w:rPr>
            </w:pPr>
            <w:r>
              <w:rPr>
                <w:rFonts w:hint="eastAsia" w:ascii="方正仿宋_GBK" w:eastAsia="方正仿宋_GBK"/>
                <w:color w:val="000000"/>
                <w:sz w:val="32"/>
                <w:szCs w:val="32"/>
              </w:rPr>
              <w:t>支出决算表</w:t>
            </w:r>
          </w:p>
        </w:tc>
      </w:tr>
      <w:tr>
        <w:tblPrEx>
          <w:tblCellMar>
            <w:top w:w="15" w:type="dxa"/>
            <w:left w:w="15" w:type="dxa"/>
            <w:bottom w:w="15" w:type="dxa"/>
            <w:right w:w="15" w:type="dxa"/>
          </w:tblCellMar>
        </w:tblPrEx>
        <w:trPr>
          <w:trHeight w:val="375" w:hRule="atLeast"/>
        </w:trPr>
        <w:tc>
          <w:tcPr>
            <w:tcW w:w="8092" w:type="dxa"/>
            <w:gridSpan w:val="8"/>
            <w:tcBorders>
              <w:top w:val="nil"/>
              <w:left w:val="nil"/>
              <w:bottom w:val="nil"/>
              <w:right w:val="single" w:color="808080" w:sz="4" w:space="0"/>
            </w:tcBorders>
            <w:shd w:val="clear" w:color="auto" w:fill="FFFFFF"/>
            <w:vAlign w:val="center"/>
          </w:tcPr>
          <w:p>
            <w:pPr>
              <w:autoSpaceDE w:val="0"/>
              <w:spacing w:line="240" w:lineRule="atLeast"/>
              <w:jc w:val="righ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公开03</w:t>
            </w:r>
            <w:r>
              <w:rPr>
                <w:rFonts w:hint="eastAsia" w:ascii="方正仿宋_GBK" w:eastAsia="方正仿宋_GBK"/>
                <w:color w:val="000000"/>
                <w:sz w:val="16"/>
                <w:szCs w:val="16"/>
              </w:rPr>
              <w:t>表</w:t>
            </w:r>
          </w:p>
        </w:tc>
      </w:tr>
      <w:tr>
        <w:tblPrEx>
          <w:tblCellMar>
            <w:top w:w="15" w:type="dxa"/>
            <w:left w:w="15" w:type="dxa"/>
            <w:bottom w:w="15" w:type="dxa"/>
            <w:right w:w="15" w:type="dxa"/>
          </w:tblCellMar>
        </w:tblPrEx>
        <w:trPr>
          <w:trHeight w:val="375" w:hRule="atLeast"/>
        </w:trPr>
        <w:tc>
          <w:tcPr>
            <w:tcW w:w="8092" w:type="dxa"/>
            <w:gridSpan w:val="8"/>
            <w:tcBorders>
              <w:top w:val="nil"/>
              <w:left w:val="nil"/>
              <w:bottom w:val="single" w:color="808080" w:sz="4" w:space="0"/>
              <w:right w:val="single" w:color="80808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公开部门：重庆市垫江县交通建设工程服务中心</w:t>
            </w:r>
            <w:r>
              <w:rPr>
                <w:rFonts w:hint="eastAsia" w:ascii="Times New Roman" w:hAnsi="Times New Roman" w:cs="Times New Roman"/>
                <w:color w:val="000000"/>
                <w:sz w:val="16"/>
                <w:szCs w:val="16"/>
              </w:rPr>
              <w:t xml:space="preserve">                                         </w:t>
            </w:r>
            <w:r>
              <w:rPr>
                <w:rFonts w:ascii="Times New Roman" w:hAnsi="Times New Roman" w:cs="Times New Roman"/>
                <w:color w:val="000000"/>
                <w:sz w:val="16"/>
                <w:szCs w:val="16"/>
              </w:rPr>
              <w:t>2020</w:t>
            </w:r>
            <w:r>
              <w:rPr>
                <w:rFonts w:hint="eastAsia" w:ascii="方正仿宋_GBK" w:eastAsia="方正仿宋_GBK"/>
                <w:color w:val="000000"/>
                <w:sz w:val="16"/>
                <w:szCs w:val="16"/>
              </w:rPr>
              <w:t xml:space="preserve">年度                                   </w:t>
            </w:r>
            <w:r>
              <w:rPr>
                <w:rFonts w:ascii="Times New Roman" w:hAnsi="Times New Roman" w:cs="Times New Roman"/>
                <w:color w:val="000000"/>
                <w:sz w:val="16"/>
                <w:szCs w:val="16"/>
              </w:rPr>
              <w:t>单位：万元</w:t>
            </w:r>
          </w:p>
        </w:tc>
      </w:tr>
      <w:tr>
        <w:tblPrEx>
          <w:tblCellMar>
            <w:top w:w="15" w:type="dxa"/>
            <w:left w:w="15" w:type="dxa"/>
            <w:bottom w:w="15" w:type="dxa"/>
            <w:right w:w="15" w:type="dxa"/>
          </w:tblCellMar>
        </w:tblPrEx>
        <w:trPr>
          <w:trHeight w:val="375" w:hRule="atLeast"/>
        </w:trPr>
        <w:tc>
          <w:tcPr>
            <w:tcW w:w="3874" w:type="dxa"/>
            <w:gridSpan w:val="2"/>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项目</w:t>
            </w:r>
          </w:p>
        </w:tc>
        <w:tc>
          <w:tcPr>
            <w:tcW w:w="672" w:type="dxa"/>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本年支出合计</w:t>
            </w:r>
          </w:p>
        </w:tc>
        <w:tc>
          <w:tcPr>
            <w:tcW w:w="711" w:type="dxa"/>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基本支出</w:t>
            </w:r>
          </w:p>
        </w:tc>
        <w:tc>
          <w:tcPr>
            <w:tcW w:w="660" w:type="dxa"/>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项目支出</w:t>
            </w:r>
          </w:p>
        </w:tc>
        <w:tc>
          <w:tcPr>
            <w:tcW w:w="693" w:type="dxa"/>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上缴上级支出</w:t>
            </w:r>
          </w:p>
        </w:tc>
        <w:tc>
          <w:tcPr>
            <w:tcW w:w="720" w:type="dxa"/>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经营支出</w:t>
            </w:r>
          </w:p>
        </w:tc>
        <w:tc>
          <w:tcPr>
            <w:tcW w:w="762" w:type="dxa"/>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对附属单位补助支出</w:t>
            </w:r>
          </w:p>
        </w:tc>
      </w:tr>
      <w:tr>
        <w:tblPrEx>
          <w:tblCellMar>
            <w:top w:w="15" w:type="dxa"/>
            <w:left w:w="15" w:type="dxa"/>
            <w:bottom w:w="15" w:type="dxa"/>
            <w:right w:w="15" w:type="dxa"/>
          </w:tblCellMar>
        </w:tblPrEx>
        <w:trPr>
          <w:trHeight w:val="300" w:hRule="atLeast"/>
        </w:trPr>
        <w:tc>
          <w:tcPr>
            <w:tcW w:w="1066" w:type="dxa"/>
            <w:vMerge w:val="restart"/>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功能分类科目编码</w:t>
            </w:r>
          </w:p>
        </w:tc>
        <w:tc>
          <w:tcPr>
            <w:tcW w:w="2808" w:type="dxa"/>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项目（按“</w:t>
            </w:r>
            <w:r>
              <w:rPr>
                <w:rFonts w:hint="eastAsia" w:ascii="方正仿宋_GBK" w:eastAsia="方正仿宋_GBK"/>
                <w:b/>
                <w:bCs/>
                <w:color w:val="000000"/>
                <w:sz w:val="16"/>
                <w:szCs w:val="16"/>
              </w:rPr>
              <w:t>项</w:t>
            </w:r>
            <w:r>
              <w:rPr>
                <w:rFonts w:ascii="Times New Roman" w:hAnsi="Times New Roman" w:cs="Times New Roman"/>
                <w:b/>
                <w:bCs/>
                <w:color w:val="000000"/>
                <w:sz w:val="16"/>
                <w:szCs w:val="16"/>
              </w:rPr>
              <w:t>”</w:t>
            </w:r>
            <w:r>
              <w:rPr>
                <w:rFonts w:hint="eastAsia" w:ascii="方正仿宋_GBK" w:eastAsia="方正仿宋_GBK"/>
                <w:b/>
                <w:bCs/>
                <w:color w:val="000000"/>
                <w:sz w:val="16"/>
                <w:szCs w:val="16"/>
              </w:rPr>
              <w:t>级功能分类科目）</w:t>
            </w:r>
          </w:p>
        </w:tc>
        <w:tc>
          <w:tcPr>
            <w:tcW w:w="672"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711"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660"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693"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720"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762"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r>
      <w:tr>
        <w:tblPrEx>
          <w:tblCellMar>
            <w:top w:w="15" w:type="dxa"/>
            <w:left w:w="15" w:type="dxa"/>
            <w:bottom w:w="15" w:type="dxa"/>
            <w:right w:w="15" w:type="dxa"/>
          </w:tblCellMar>
        </w:tblPrEx>
        <w:trPr>
          <w:trHeight w:val="300" w:hRule="atLeast"/>
        </w:trPr>
        <w:tc>
          <w:tcPr>
            <w:tcW w:w="8092" w:type="dxa"/>
            <w:vMerge w:val="continue"/>
            <w:tcBorders>
              <w:top w:val="nil"/>
              <w:left w:val="single" w:color="000000" w:sz="4" w:space="0"/>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2808"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672"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711"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660"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693"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720"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762"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r>
      <w:tr>
        <w:tblPrEx>
          <w:tblCellMar>
            <w:top w:w="15" w:type="dxa"/>
            <w:left w:w="15" w:type="dxa"/>
            <w:bottom w:w="15" w:type="dxa"/>
            <w:right w:w="15" w:type="dxa"/>
          </w:tblCellMar>
        </w:tblPrEx>
        <w:trPr>
          <w:trHeight w:val="300" w:hRule="atLeast"/>
        </w:trPr>
        <w:tc>
          <w:tcPr>
            <w:tcW w:w="8092" w:type="dxa"/>
            <w:vMerge w:val="continue"/>
            <w:tcBorders>
              <w:top w:val="nil"/>
              <w:left w:val="single" w:color="000000" w:sz="4" w:space="0"/>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2808"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672"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711"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660"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693"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720"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c>
          <w:tcPr>
            <w:tcW w:w="762" w:type="dxa"/>
            <w:vMerge w:val="continue"/>
            <w:tcBorders>
              <w:top w:val="nil"/>
              <w:left w:val="nil"/>
              <w:bottom w:val="single" w:color="000000" w:sz="4" w:space="0"/>
              <w:right w:val="single" w:color="000000" w:sz="4" w:space="0"/>
            </w:tcBorders>
            <w:vAlign w:val="center"/>
          </w:tcPr>
          <w:p>
            <w:pPr>
              <w:rPr>
                <w:rFonts w:ascii="Times New Roman" w:hAnsi="Times New Roman" w:cs="Times New Roman"/>
                <w:b/>
                <w:bCs/>
                <w:color w:val="000000"/>
                <w:sz w:val="16"/>
                <w:szCs w:val="16"/>
              </w:rPr>
            </w:pPr>
          </w:p>
        </w:tc>
      </w:tr>
      <w:tr>
        <w:tblPrEx>
          <w:tblCellMar>
            <w:top w:w="15" w:type="dxa"/>
            <w:left w:w="15" w:type="dxa"/>
            <w:bottom w:w="15" w:type="dxa"/>
            <w:right w:w="15" w:type="dxa"/>
          </w:tblCellMar>
        </w:tblPrEx>
        <w:trPr>
          <w:trHeight w:val="375" w:hRule="atLeast"/>
        </w:trPr>
        <w:tc>
          <w:tcPr>
            <w:tcW w:w="3874" w:type="dxa"/>
            <w:gridSpan w:val="2"/>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合计</w:t>
            </w:r>
          </w:p>
        </w:tc>
        <w:tc>
          <w:tcPr>
            <w:tcW w:w="672"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288.59</w:t>
            </w:r>
          </w:p>
        </w:tc>
        <w:tc>
          <w:tcPr>
            <w:tcW w:w="711"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268.59</w:t>
            </w:r>
          </w:p>
        </w:tc>
        <w:tc>
          <w:tcPr>
            <w:tcW w:w="6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20.00</w:t>
            </w:r>
          </w:p>
        </w:tc>
        <w:tc>
          <w:tcPr>
            <w:tcW w:w="693"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2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62"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tblPrEx>
          <w:tblCellMar>
            <w:top w:w="15" w:type="dxa"/>
            <w:left w:w="15" w:type="dxa"/>
            <w:bottom w:w="15" w:type="dxa"/>
            <w:right w:w="15" w:type="dxa"/>
          </w:tblCellMar>
        </w:tblPrEx>
        <w:trPr>
          <w:trHeight w:val="375" w:hRule="atLeast"/>
        </w:trPr>
        <w:tc>
          <w:tcPr>
            <w:tcW w:w="1066"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205</w:t>
            </w:r>
          </w:p>
        </w:tc>
        <w:tc>
          <w:tcPr>
            <w:tcW w:w="2808"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教育支出</w:t>
            </w:r>
          </w:p>
        </w:tc>
        <w:tc>
          <w:tcPr>
            <w:tcW w:w="672"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0.72</w:t>
            </w:r>
          </w:p>
        </w:tc>
        <w:tc>
          <w:tcPr>
            <w:tcW w:w="711"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0.72</w:t>
            </w:r>
          </w:p>
        </w:tc>
        <w:tc>
          <w:tcPr>
            <w:tcW w:w="6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693"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62"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r>
      <w:tr>
        <w:tblPrEx>
          <w:tblCellMar>
            <w:top w:w="15" w:type="dxa"/>
            <w:left w:w="15" w:type="dxa"/>
            <w:bottom w:w="15" w:type="dxa"/>
            <w:right w:w="15" w:type="dxa"/>
          </w:tblCellMar>
        </w:tblPrEx>
        <w:trPr>
          <w:trHeight w:val="375" w:hRule="atLeast"/>
        </w:trPr>
        <w:tc>
          <w:tcPr>
            <w:tcW w:w="1066"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20508</w:t>
            </w:r>
          </w:p>
        </w:tc>
        <w:tc>
          <w:tcPr>
            <w:tcW w:w="2808"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进修及培训</w:t>
            </w:r>
          </w:p>
        </w:tc>
        <w:tc>
          <w:tcPr>
            <w:tcW w:w="672"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0.72</w:t>
            </w:r>
          </w:p>
        </w:tc>
        <w:tc>
          <w:tcPr>
            <w:tcW w:w="711"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0.72</w:t>
            </w:r>
          </w:p>
        </w:tc>
        <w:tc>
          <w:tcPr>
            <w:tcW w:w="6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693"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62"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r>
      <w:tr>
        <w:tblPrEx>
          <w:tblCellMar>
            <w:top w:w="15" w:type="dxa"/>
            <w:left w:w="15" w:type="dxa"/>
            <w:bottom w:w="15" w:type="dxa"/>
            <w:right w:w="15" w:type="dxa"/>
          </w:tblCellMar>
        </w:tblPrEx>
        <w:trPr>
          <w:trHeight w:val="375" w:hRule="atLeast"/>
        </w:trPr>
        <w:tc>
          <w:tcPr>
            <w:tcW w:w="1066" w:type="dxa"/>
            <w:tcBorders>
              <w:top w:val="nil"/>
              <w:left w:val="single" w:color="000000" w:sz="4" w:space="0"/>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2050803</w:t>
            </w:r>
          </w:p>
        </w:tc>
        <w:tc>
          <w:tcPr>
            <w:tcW w:w="2808" w:type="dxa"/>
            <w:tcBorders>
              <w:top w:val="nil"/>
              <w:left w:val="nil"/>
              <w:bottom w:val="single" w:color="000000" w:sz="4" w:space="0"/>
              <w:right w:val="single" w:color="000000" w:sz="4" w:space="0"/>
            </w:tcBorders>
            <w:shd w:val="clear" w:color="auto" w:fill="CC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hint="eastAsia" w:ascii="方正仿宋_GBK" w:eastAsia="方正仿宋_GBK"/>
                <w:color w:val="000000"/>
                <w:sz w:val="16"/>
                <w:szCs w:val="16"/>
              </w:rPr>
              <w:t>培训支出</w:t>
            </w:r>
          </w:p>
        </w:tc>
        <w:tc>
          <w:tcPr>
            <w:tcW w:w="672"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0.72</w:t>
            </w:r>
          </w:p>
        </w:tc>
        <w:tc>
          <w:tcPr>
            <w:tcW w:w="711"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0.72</w:t>
            </w:r>
          </w:p>
        </w:tc>
        <w:tc>
          <w:tcPr>
            <w:tcW w:w="6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693"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2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62"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tblPrEx>
          <w:tblCellMar>
            <w:top w:w="15" w:type="dxa"/>
            <w:left w:w="15" w:type="dxa"/>
            <w:bottom w:w="15" w:type="dxa"/>
            <w:right w:w="15" w:type="dxa"/>
          </w:tblCellMar>
        </w:tblPrEx>
        <w:trPr>
          <w:trHeight w:val="375" w:hRule="atLeast"/>
        </w:trPr>
        <w:tc>
          <w:tcPr>
            <w:tcW w:w="1066"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208</w:t>
            </w:r>
          </w:p>
        </w:tc>
        <w:tc>
          <w:tcPr>
            <w:tcW w:w="2808"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社会保障和就业支出</w:t>
            </w:r>
          </w:p>
        </w:tc>
        <w:tc>
          <w:tcPr>
            <w:tcW w:w="672"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25.70</w:t>
            </w:r>
          </w:p>
        </w:tc>
        <w:tc>
          <w:tcPr>
            <w:tcW w:w="711"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25.70</w:t>
            </w:r>
          </w:p>
        </w:tc>
        <w:tc>
          <w:tcPr>
            <w:tcW w:w="6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693"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62"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r>
      <w:tr>
        <w:tblPrEx>
          <w:tblCellMar>
            <w:top w:w="15" w:type="dxa"/>
            <w:left w:w="15" w:type="dxa"/>
            <w:bottom w:w="15" w:type="dxa"/>
            <w:right w:w="15" w:type="dxa"/>
          </w:tblCellMar>
        </w:tblPrEx>
        <w:trPr>
          <w:trHeight w:val="375" w:hRule="atLeast"/>
        </w:trPr>
        <w:tc>
          <w:tcPr>
            <w:tcW w:w="1066"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20805</w:t>
            </w:r>
          </w:p>
        </w:tc>
        <w:tc>
          <w:tcPr>
            <w:tcW w:w="2808"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行政事业单位养老支出</w:t>
            </w:r>
          </w:p>
        </w:tc>
        <w:tc>
          <w:tcPr>
            <w:tcW w:w="672"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25.70</w:t>
            </w:r>
          </w:p>
        </w:tc>
        <w:tc>
          <w:tcPr>
            <w:tcW w:w="711"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25.70</w:t>
            </w:r>
          </w:p>
        </w:tc>
        <w:tc>
          <w:tcPr>
            <w:tcW w:w="6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693"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62"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r>
      <w:tr>
        <w:tblPrEx>
          <w:tblCellMar>
            <w:top w:w="15" w:type="dxa"/>
            <w:left w:w="15" w:type="dxa"/>
            <w:bottom w:w="15" w:type="dxa"/>
            <w:right w:w="15" w:type="dxa"/>
          </w:tblCellMar>
        </w:tblPrEx>
        <w:trPr>
          <w:trHeight w:val="375" w:hRule="atLeast"/>
        </w:trPr>
        <w:tc>
          <w:tcPr>
            <w:tcW w:w="1066" w:type="dxa"/>
            <w:tcBorders>
              <w:top w:val="nil"/>
              <w:left w:val="single" w:color="000000" w:sz="4" w:space="0"/>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2080505</w:t>
            </w:r>
          </w:p>
        </w:tc>
        <w:tc>
          <w:tcPr>
            <w:tcW w:w="2808" w:type="dxa"/>
            <w:tcBorders>
              <w:top w:val="nil"/>
              <w:left w:val="nil"/>
              <w:bottom w:val="single" w:color="000000" w:sz="4" w:space="0"/>
              <w:right w:val="single" w:color="000000" w:sz="4" w:space="0"/>
            </w:tcBorders>
            <w:shd w:val="clear" w:color="auto" w:fill="CC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hint="eastAsia" w:ascii="方正仿宋_GBK" w:eastAsia="方正仿宋_GBK"/>
                <w:color w:val="000000"/>
                <w:sz w:val="16"/>
                <w:szCs w:val="16"/>
              </w:rPr>
              <w:t>机关事业单位基本养老保险缴费支出</w:t>
            </w:r>
          </w:p>
        </w:tc>
        <w:tc>
          <w:tcPr>
            <w:tcW w:w="672"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15.67</w:t>
            </w:r>
          </w:p>
        </w:tc>
        <w:tc>
          <w:tcPr>
            <w:tcW w:w="711"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15.67</w:t>
            </w:r>
          </w:p>
        </w:tc>
        <w:tc>
          <w:tcPr>
            <w:tcW w:w="6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693"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2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62"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tblPrEx>
          <w:tblCellMar>
            <w:top w:w="15" w:type="dxa"/>
            <w:left w:w="15" w:type="dxa"/>
            <w:bottom w:w="15" w:type="dxa"/>
            <w:right w:w="15" w:type="dxa"/>
          </w:tblCellMar>
        </w:tblPrEx>
        <w:trPr>
          <w:trHeight w:val="375" w:hRule="atLeast"/>
        </w:trPr>
        <w:tc>
          <w:tcPr>
            <w:tcW w:w="1066" w:type="dxa"/>
            <w:tcBorders>
              <w:top w:val="nil"/>
              <w:left w:val="single" w:color="000000" w:sz="4" w:space="0"/>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2080506</w:t>
            </w:r>
          </w:p>
        </w:tc>
        <w:tc>
          <w:tcPr>
            <w:tcW w:w="2808" w:type="dxa"/>
            <w:tcBorders>
              <w:top w:val="nil"/>
              <w:left w:val="nil"/>
              <w:bottom w:val="single" w:color="000000" w:sz="4" w:space="0"/>
              <w:right w:val="single" w:color="000000" w:sz="4" w:space="0"/>
            </w:tcBorders>
            <w:shd w:val="clear" w:color="auto" w:fill="CC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hint="eastAsia" w:ascii="方正仿宋_GBK" w:eastAsia="方正仿宋_GBK"/>
                <w:color w:val="000000"/>
                <w:sz w:val="16"/>
                <w:szCs w:val="16"/>
              </w:rPr>
              <w:t>机关事业单位职业年金缴费支出</w:t>
            </w:r>
          </w:p>
        </w:tc>
        <w:tc>
          <w:tcPr>
            <w:tcW w:w="672"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7.83</w:t>
            </w:r>
          </w:p>
        </w:tc>
        <w:tc>
          <w:tcPr>
            <w:tcW w:w="711"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7.83</w:t>
            </w:r>
          </w:p>
        </w:tc>
        <w:tc>
          <w:tcPr>
            <w:tcW w:w="6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693"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2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62"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tblPrEx>
          <w:tblCellMar>
            <w:top w:w="15" w:type="dxa"/>
            <w:left w:w="15" w:type="dxa"/>
            <w:bottom w:w="15" w:type="dxa"/>
            <w:right w:w="15" w:type="dxa"/>
          </w:tblCellMar>
        </w:tblPrEx>
        <w:trPr>
          <w:trHeight w:val="375" w:hRule="atLeast"/>
        </w:trPr>
        <w:tc>
          <w:tcPr>
            <w:tcW w:w="1066" w:type="dxa"/>
            <w:tcBorders>
              <w:top w:val="nil"/>
              <w:left w:val="single" w:color="000000" w:sz="4" w:space="0"/>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2080599</w:t>
            </w:r>
          </w:p>
        </w:tc>
        <w:tc>
          <w:tcPr>
            <w:tcW w:w="2808" w:type="dxa"/>
            <w:tcBorders>
              <w:top w:val="nil"/>
              <w:left w:val="nil"/>
              <w:bottom w:val="single" w:color="000000" w:sz="4" w:space="0"/>
              <w:right w:val="single" w:color="000000" w:sz="4" w:space="0"/>
            </w:tcBorders>
            <w:shd w:val="clear" w:color="auto" w:fill="CC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hint="eastAsia" w:ascii="方正仿宋_GBK" w:eastAsia="方正仿宋_GBK"/>
                <w:color w:val="000000"/>
                <w:sz w:val="16"/>
                <w:szCs w:val="16"/>
              </w:rPr>
              <w:t>其他行政事业单位养老支出</w:t>
            </w:r>
          </w:p>
        </w:tc>
        <w:tc>
          <w:tcPr>
            <w:tcW w:w="672"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2.20</w:t>
            </w:r>
          </w:p>
        </w:tc>
        <w:tc>
          <w:tcPr>
            <w:tcW w:w="711"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2.20</w:t>
            </w:r>
          </w:p>
        </w:tc>
        <w:tc>
          <w:tcPr>
            <w:tcW w:w="6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693"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2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62"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tblPrEx>
          <w:tblCellMar>
            <w:top w:w="15" w:type="dxa"/>
            <w:left w:w="15" w:type="dxa"/>
            <w:bottom w:w="15" w:type="dxa"/>
            <w:right w:w="15" w:type="dxa"/>
          </w:tblCellMar>
        </w:tblPrEx>
        <w:trPr>
          <w:trHeight w:val="375" w:hRule="atLeast"/>
        </w:trPr>
        <w:tc>
          <w:tcPr>
            <w:tcW w:w="1066"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210</w:t>
            </w:r>
          </w:p>
        </w:tc>
        <w:tc>
          <w:tcPr>
            <w:tcW w:w="2808"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卫生健康支出</w:t>
            </w:r>
          </w:p>
        </w:tc>
        <w:tc>
          <w:tcPr>
            <w:tcW w:w="672"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9.91</w:t>
            </w:r>
          </w:p>
        </w:tc>
        <w:tc>
          <w:tcPr>
            <w:tcW w:w="711"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9.91</w:t>
            </w:r>
          </w:p>
        </w:tc>
        <w:tc>
          <w:tcPr>
            <w:tcW w:w="6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693"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62"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r>
      <w:tr>
        <w:tblPrEx>
          <w:tblCellMar>
            <w:top w:w="15" w:type="dxa"/>
            <w:left w:w="15" w:type="dxa"/>
            <w:bottom w:w="15" w:type="dxa"/>
            <w:right w:w="15" w:type="dxa"/>
          </w:tblCellMar>
        </w:tblPrEx>
        <w:trPr>
          <w:trHeight w:val="375" w:hRule="atLeast"/>
        </w:trPr>
        <w:tc>
          <w:tcPr>
            <w:tcW w:w="1066"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21011</w:t>
            </w:r>
          </w:p>
        </w:tc>
        <w:tc>
          <w:tcPr>
            <w:tcW w:w="2808"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行政事业单位医疗</w:t>
            </w:r>
          </w:p>
        </w:tc>
        <w:tc>
          <w:tcPr>
            <w:tcW w:w="672"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9.91</w:t>
            </w:r>
          </w:p>
        </w:tc>
        <w:tc>
          <w:tcPr>
            <w:tcW w:w="711"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9.91</w:t>
            </w:r>
          </w:p>
        </w:tc>
        <w:tc>
          <w:tcPr>
            <w:tcW w:w="6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693"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62"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r>
      <w:tr>
        <w:tblPrEx>
          <w:tblCellMar>
            <w:top w:w="15" w:type="dxa"/>
            <w:left w:w="15" w:type="dxa"/>
            <w:bottom w:w="15" w:type="dxa"/>
            <w:right w:w="15" w:type="dxa"/>
          </w:tblCellMar>
        </w:tblPrEx>
        <w:trPr>
          <w:trHeight w:val="375" w:hRule="atLeast"/>
        </w:trPr>
        <w:tc>
          <w:tcPr>
            <w:tcW w:w="1066" w:type="dxa"/>
            <w:tcBorders>
              <w:top w:val="nil"/>
              <w:left w:val="single" w:color="000000" w:sz="4" w:space="0"/>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2101102</w:t>
            </w:r>
          </w:p>
        </w:tc>
        <w:tc>
          <w:tcPr>
            <w:tcW w:w="2808" w:type="dxa"/>
            <w:tcBorders>
              <w:top w:val="nil"/>
              <w:left w:val="nil"/>
              <w:bottom w:val="single" w:color="000000" w:sz="4" w:space="0"/>
              <w:right w:val="single" w:color="000000" w:sz="4" w:space="0"/>
            </w:tcBorders>
            <w:shd w:val="clear" w:color="auto" w:fill="CC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hint="eastAsia" w:ascii="方正仿宋_GBK" w:eastAsia="方正仿宋_GBK"/>
                <w:color w:val="000000"/>
                <w:sz w:val="16"/>
                <w:szCs w:val="16"/>
              </w:rPr>
              <w:t>事业单位医疗</w:t>
            </w:r>
          </w:p>
        </w:tc>
        <w:tc>
          <w:tcPr>
            <w:tcW w:w="672"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9.91</w:t>
            </w:r>
          </w:p>
        </w:tc>
        <w:tc>
          <w:tcPr>
            <w:tcW w:w="711"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9.91</w:t>
            </w:r>
          </w:p>
        </w:tc>
        <w:tc>
          <w:tcPr>
            <w:tcW w:w="6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693"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2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62"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tblPrEx>
          <w:tblCellMar>
            <w:top w:w="15" w:type="dxa"/>
            <w:left w:w="15" w:type="dxa"/>
            <w:bottom w:w="15" w:type="dxa"/>
            <w:right w:w="15" w:type="dxa"/>
          </w:tblCellMar>
        </w:tblPrEx>
        <w:trPr>
          <w:trHeight w:val="375" w:hRule="atLeast"/>
        </w:trPr>
        <w:tc>
          <w:tcPr>
            <w:tcW w:w="1066"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214</w:t>
            </w:r>
          </w:p>
        </w:tc>
        <w:tc>
          <w:tcPr>
            <w:tcW w:w="2808"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交通运输支出</w:t>
            </w:r>
          </w:p>
        </w:tc>
        <w:tc>
          <w:tcPr>
            <w:tcW w:w="672"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240.51</w:t>
            </w:r>
          </w:p>
        </w:tc>
        <w:tc>
          <w:tcPr>
            <w:tcW w:w="711"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220.51</w:t>
            </w:r>
          </w:p>
        </w:tc>
        <w:tc>
          <w:tcPr>
            <w:tcW w:w="6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20.00</w:t>
            </w:r>
          </w:p>
        </w:tc>
        <w:tc>
          <w:tcPr>
            <w:tcW w:w="693"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62"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r>
      <w:tr>
        <w:tblPrEx>
          <w:tblCellMar>
            <w:top w:w="15" w:type="dxa"/>
            <w:left w:w="15" w:type="dxa"/>
            <w:bottom w:w="15" w:type="dxa"/>
            <w:right w:w="15" w:type="dxa"/>
          </w:tblCellMar>
        </w:tblPrEx>
        <w:trPr>
          <w:trHeight w:val="419" w:hRule="atLeast"/>
        </w:trPr>
        <w:tc>
          <w:tcPr>
            <w:tcW w:w="1066"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21401</w:t>
            </w:r>
          </w:p>
        </w:tc>
        <w:tc>
          <w:tcPr>
            <w:tcW w:w="2808"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公路水路运输</w:t>
            </w:r>
          </w:p>
        </w:tc>
        <w:tc>
          <w:tcPr>
            <w:tcW w:w="672"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240.51</w:t>
            </w:r>
          </w:p>
        </w:tc>
        <w:tc>
          <w:tcPr>
            <w:tcW w:w="711"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220.51</w:t>
            </w:r>
          </w:p>
        </w:tc>
        <w:tc>
          <w:tcPr>
            <w:tcW w:w="6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20.00</w:t>
            </w:r>
          </w:p>
        </w:tc>
        <w:tc>
          <w:tcPr>
            <w:tcW w:w="693"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62"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r>
      <w:tr>
        <w:tblPrEx>
          <w:tblCellMar>
            <w:top w:w="15" w:type="dxa"/>
            <w:left w:w="15" w:type="dxa"/>
            <w:bottom w:w="15" w:type="dxa"/>
            <w:right w:w="15" w:type="dxa"/>
          </w:tblCellMar>
        </w:tblPrEx>
        <w:trPr>
          <w:trHeight w:val="375" w:hRule="atLeast"/>
        </w:trPr>
        <w:tc>
          <w:tcPr>
            <w:tcW w:w="1066" w:type="dxa"/>
            <w:tcBorders>
              <w:top w:val="nil"/>
              <w:left w:val="single" w:color="000000" w:sz="4" w:space="0"/>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2140199</w:t>
            </w:r>
          </w:p>
        </w:tc>
        <w:tc>
          <w:tcPr>
            <w:tcW w:w="2808" w:type="dxa"/>
            <w:tcBorders>
              <w:top w:val="nil"/>
              <w:left w:val="nil"/>
              <w:bottom w:val="single" w:color="000000" w:sz="4" w:space="0"/>
              <w:right w:val="single" w:color="000000" w:sz="4" w:space="0"/>
            </w:tcBorders>
            <w:shd w:val="clear" w:color="auto" w:fill="CC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hint="eastAsia" w:ascii="方正仿宋_GBK" w:eastAsia="方正仿宋_GBK"/>
                <w:color w:val="000000"/>
                <w:sz w:val="16"/>
                <w:szCs w:val="16"/>
              </w:rPr>
              <w:t>其他公路水路运输支出</w:t>
            </w:r>
          </w:p>
        </w:tc>
        <w:tc>
          <w:tcPr>
            <w:tcW w:w="672"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240.51</w:t>
            </w:r>
          </w:p>
        </w:tc>
        <w:tc>
          <w:tcPr>
            <w:tcW w:w="711"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220.51</w:t>
            </w:r>
          </w:p>
        </w:tc>
        <w:tc>
          <w:tcPr>
            <w:tcW w:w="6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20.00</w:t>
            </w:r>
          </w:p>
        </w:tc>
        <w:tc>
          <w:tcPr>
            <w:tcW w:w="693"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2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62"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tblPrEx>
          <w:tblCellMar>
            <w:top w:w="15" w:type="dxa"/>
            <w:left w:w="15" w:type="dxa"/>
            <w:bottom w:w="15" w:type="dxa"/>
            <w:right w:w="15" w:type="dxa"/>
          </w:tblCellMar>
        </w:tblPrEx>
        <w:trPr>
          <w:trHeight w:val="375" w:hRule="atLeast"/>
        </w:trPr>
        <w:tc>
          <w:tcPr>
            <w:tcW w:w="1066"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221</w:t>
            </w:r>
          </w:p>
        </w:tc>
        <w:tc>
          <w:tcPr>
            <w:tcW w:w="2808"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住房保障支出</w:t>
            </w:r>
          </w:p>
        </w:tc>
        <w:tc>
          <w:tcPr>
            <w:tcW w:w="672"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11.75</w:t>
            </w:r>
          </w:p>
        </w:tc>
        <w:tc>
          <w:tcPr>
            <w:tcW w:w="711"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11.75</w:t>
            </w:r>
          </w:p>
        </w:tc>
        <w:tc>
          <w:tcPr>
            <w:tcW w:w="6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693"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62"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r>
      <w:tr>
        <w:tblPrEx>
          <w:tblCellMar>
            <w:top w:w="15" w:type="dxa"/>
            <w:left w:w="15" w:type="dxa"/>
            <w:bottom w:w="15" w:type="dxa"/>
            <w:right w:w="15" w:type="dxa"/>
          </w:tblCellMar>
        </w:tblPrEx>
        <w:trPr>
          <w:trHeight w:val="375" w:hRule="atLeast"/>
        </w:trPr>
        <w:tc>
          <w:tcPr>
            <w:tcW w:w="1066"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22102</w:t>
            </w:r>
          </w:p>
        </w:tc>
        <w:tc>
          <w:tcPr>
            <w:tcW w:w="2808"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住房改革支出</w:t>
            </w:r>
          </w:p>
        </w:tc>
        <w:tc>
          <w:tcPr>
            <w:tcW w:w="672"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11.75</w:t>
            </w:r>
          </w:p>
        </w:tc>
        <w:tc>
          <w:tcPr>
            <w:tcW w:w="711"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11.75</w:t>
            </w:r>
          </w:p>
        </w:tc>
        <w:tc>
          <w:tcPr>
            <w:tcW w:w="6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693"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762"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r>
      <w:tr>
        <w:tblPrEx>
          <w:tblCellMar>
            <w:top w:w="15" w:type="dxa"/>
            <w:left w:w="15" w:type="dxa"/>
            <w:bottom w:w="15" w:type="dxa"/>
            <w:right w:w="15" w:type="dxa"/>
          </w:tblCellMar>
        </w:tblPrEx>
        <w:trPr>
          <w:trHeight w:val="375" w:hRule="atLeast"/>
        </w:trPr>
        <w:tc>
          <w:tcPr>
            <w:tcW w:w="1066" w:type="dxa"/>
            <w:tcBorders>
              <w:top w:val="nil"/>
              <w:left w:val="single" w:color="000000" w:sz="4" w:space="0"/>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2210201</w:t>
            </w:r>
          </w:p>
        </w:tc>
        <w:tc>
          <w:tcPr>
            <w:tcW w:w="2808" w:type="dxa"/>
            <w:tcBorders>
              <w:top w:val="nil"/>
              <w:left w:val="nil"/>
              <w:bottom w:val="single" w:color="000000" w:sz="4" w:space="0"/>
              <w:right w:val="single" w:color="000000" w:sz="4" w:space="0"/>
            </w:tcBorders>
            <w:shd w:val="clear" w:color="auto" w:fill="CC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hint="eastAsia" w:ascii="方正仿宋_GBK" w:eastAsia="方正仿宋_GBK"/>
                <w:color w:val="000000"/>
                <w:sz w:val="16"/>
                <w:szCs w:val="16"/>
              </w:rPr>
              <w:t>住房公积金</w:t>
            </w:r>
          </w:p>
        </w:tc>
        <w:tc>
          <w:tcPr>
            <w:tcW w:w="672"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11.75</w:t>
            </w:r>
          </w:p>
        </w:tc>
        <w:tc>
          <w:tcPr>
            <w:tcW w:w="711"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11.75</w:t>
            </w:r>
          </w:p>
        </w:tc>
        <w:tc>
          <w:tcPr>
            <w:tcW w:w="6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693"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2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62"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tblPrEx>
          <w:tblCellMar>
            <w:top w:w="15" w:type="dxa"/>
            <w:left w:w="15" w:type="dxa"/>
            <w:bottom w:w="15" w:type="dxa"/>
            <w:right w:w="15" w:type="dxa"/>
          </w:tblCellMar>
        </w:tblPrEx>
        <w:trPr>
          <w:trHeight w:val="375" w:hRule="atLeast"/>
        </w:trPr>
        <w:tc>
          <w:tcPr>
            <w:tcW w:w="8092" w:type="dxa"/>
            <w:gridSpan w:val="8"/>
            <w:tcBorders>
              <w:top w:val="nil"/>
              <w:left w:val="nil"/>
              <w:bottom w:val="nil"/>
              <w:right w:val="nil"/>
            </w:tcBorders>
            <w:shd w:val="clear" w:color="auto" w:fill="FFFFFF"/>
            <w:vAlign w:val="center"/>
          </w:tcPr>
          <w:p>
            <w:pPr>
              <w:autoSpaceDE w:val="0"/>
              <w:spacing w:line="240" w:lineRule="atLeast"/>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备注：本表反映部门本年度各项支出情况。</w:t>
            </w:r>
          </w:p>
        </w:tc>
      </w:tr>
    </w:tbl>
    <w:p>
      <w:pPr>
        <w:pStyle w:val="25"/>
        <w:autoSpaceDE w:val="0"/>
        <w:spacing w:before="0" w:beforeAutospacing="0" w:after="0" w:afterAutospacing="0" w:line="240" w:lineRule="atLeast"/>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 xml:space="preserve"> </w:t>
      </w:r>
    </w:p>
    <w:p>
      <w:pPr>
        <w:pStyle w:val="25"/>
        <w:autoSpaceDE w:val="0"/>
        <w:spacing w:before="0" w:beforeAutospacing="0" w:after="0" w:afterAutospacing="0" w:line="240" w:lineRule="atLeast"/>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 xml:space="preserve"> </w:t>
      </w:r>
    </w:p>
    <w:p>
      <w:pPr>
        <w:pStyle w:val="25"/>
        <w:autoSpaceDE w:val="0"/>
        <w:spacing w:before="0" w:beforeAutospacing="0" w:after="0" w:afterAutospacing="0" w:line="240" w:lineRule="atLeast"/>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 xml:space="preserve"> </w:t>
      </w:r>
    </w:p>
    <w:p>
      <w:pPr>
        <w:pStyle w:val="25"/>
        <w:autoSpaceDE w:val="0"/>
        <w:spacing w:before="0" w:beforeAutospacing="0" w:after="0" w:afterAutospacing="0" w:line="240" w:lineRule="atLeast"/>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 xml:space="preserve"> </w:t>
      </w:r>
    </w:p>
    <w:p>
      <w:pPr>
        <w:pStyle w:val="25"/>
        <w:autoSpaceDE w:val="0"/>
        <w:spacing w:before="0" w:beforeAutospacing="0" w:after="0" w:afterAutospacing="0" w:line="240" w:lineRule="atLeast"/>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 xml:space="preserve"> </w:t>
      </w:r>
    </w:p>
    <w:tbl>
      <w:tblPr>
        <w:tblStyle w:val="13"/>
        <w:tblW w:w="7900" w:type="dxa"/>
        <w:tblInd w:w="93" w:type="dxa"/>
        <w:tblLayout w:type="fixed"/>
        <w:tblCellMar>
          <w:top w:w="15" w:type="dxa"/>
          <w:left w:w="15" w:type="dxa"/>
          <w:bottom w:w="15" w:type="dxa"/>
          <w:right w:w="15" w:type="dxa"/>
        </w:tblCellMar>
      </w:tblPr>
      <w:tblGrid>
        <w:gridCol w:w="1690"/>
        <w:gridCol w:w="1170"/>
        <w:gridCol w:w="1592"/>
        <w:gridCol w:w="1048"/>
        <w:gridCol w:w="290"/>
        <w:gridCol w:w="550"/>
        <w:gridCol w:w="905"/>
        <w:gridCol w:w="655"/>
      </w:tblGrid>
      <w:tr>
        <w:tblPrEx>
          <w:tblCellMar>
            <w:top w:w="15" w:type="dxa"/>
            <w:left w:w="15" w:type="dxa"/>
            <w:bottom w:w="15" w:type="dxa"/>
            <w:right w:w="15" w:type="dxa"/>
          </w:tblCellMar>
        </w:tblPrEx>
        <w:trPr>
          <w:trHeight w:val="555" w:hRule="atLeast"/>
        </w:trPr>
        <w:tc>
          <w:tcPr>
            <w:tcW w:w="7900" w:type="dxa"/>
            <w:gridSpan w:val="8"/>
            <w:tcBorders>
              <w:right w:val="single" w:color="808080" w:sz="4" w:space="0"/>
            </w:tcBorders>
            <w:shd w:val="clear" w:color="auto" w:fill="FFFFFF"/>
            <w:vAlign w:val="center"/>
          </w:tcPr>
          <w:p>
            <w:pPr>
              <w:jc w:val="center"/>
              <w:textAlignment w:val="center"/>
              <w:rPr>
                <w:rFonts w:ascii="黑体" w:eastAsia="黑体"/>
                <w:color w:val="000000"/>
                <w:sz w:val="16"/>
                <w:szCs w:val="16"/>
              </w:rPr>
            </w:pPr>
            <w:r>
              <w:rPr>
                <w:rFonts w:hint="eastAsia"/>
                <w:color w:val="000000"/>
                <w:sz w:val="32"/>
                <w:szCs w:val="32"/>
              </w:rPr>
              <w:t>财政拨款收入支出决算总表</w:t>
            </w:r>
          </w:p>
        </w:tc>
      </w:tr>
      <w:tr>
        <w:tblPrEx>
          <w:tblCellMar>
            <w:top w:w="15" w:type="dxa"/>
            <w:left w:w="15" w:type="dxa"/>
            <w:bottom w:w="15" w:type="dxa"/>
            <w:right w:w="15" w:type="dxa"/>
          </w:tblCellMar>
        </w:tblPrEx>
        <w:trPr>
          <w:trHeight w:val="300" w:hRule="atLeast"/>
        </w:trPr>
        <w:tc>
          <w:tcPr>
            <w:tcW w:w="7900" w:type="dxa"/>
            <w:gridSpan w:val="8"/>
            <w:tcBorders>
              <w:right w:val="single" w:color="808080" w:sz="4" w:space="0"/>
            </w:tcBorders>
            <w:shd w:val="clear" w:color="auto" w:fill="FFFFFF"/>
            <w:vAlign w:val="center"/>
          </w:tcPr>
          <w:p>
            <w:pPr>
              <w:jc w:val="right"/>
              <w:textAlignment w:val="center"/>
              <w:rPr>
                <w:color w:val="000000"/>
                <w:sz w:val="16"/>
                <w:szCs w:val="16"/>
              </w:rPr>
            </w:pPr>
            <w:r>
              <w:rPr>
                <w:rFonts w:hint="eastAsia"/>
                <w:color w:val="000000"/>
                <w:sz w:val="16"/>
                <w:szCs w:val="16"/>
              </w:rPr>
              <w:t>公开04表</w:t>
            </w:r>
          </w:p>
        </w:tc>
      </w:tr>
      <w:tr>
        <w:tblPrEx>
          <w:tblCellMar>
            <w:top w:w="15" w:type="dxa"/>
            <w:left w:w="15" w:type="dxa"/>
            <w:bottom w:w="15" w:type="dxa"/>
            <w:right w:w="15" w:type="dxa"/>
          </w:tblCellMar>
        </w:tblPrEx>
        <w:trPr>
          <w:trHeight w:val="300" w:hRule="atLeast"/>
        </w:trPr>
        <w:tc>
          <w:tcPr>
            <w:tcW w:w="4452" w:type="dxa"/>
            <w:gridSpan w:val="3"/>
            <w:tcBorders>
              <w:bottom w:val="single" w:color="808080" w:sz="4" w:space="0"/>
            </w:tcBorders>
            <w:shd w:val="clear" w:color="auto" w:fill="FFFFFF"/>
            <w:vAlign w:val="center"/>
          </w:tcPr>
          <w:p>
            <w:pPr>
              <w:rPr>
                <w:color w:val="000000"/>
                <w:sz w:val="16"/>
                <w:szCs w:val="16"/>
              </w:rPr>
            </w:pPr>
            <w:r>
              <w:rPr>
                <w:rFonts w:hint="eastAsia"/>
                <w:color w:val="000000"/>
                <w:sz w:val="16"/>
                <w:szCs w:val="16"/>
              </w:rPr>
              <w:t>公开部门：重庆市垫江县交通建设工程服务中心</w:t>
            </w:r>
          </w:p>
        </w:tc>
        <w:tc>
          <w:tcPr>
            <w:tcW w:w="1338" w:type="dxa"/>
            <w:gridSpan w:val="2"/>
            <w:tcBorders>
              <w:bottom w:val="single" w:color="808080" w:sz="4" w:space="0"/>
            </w:tcBorders>
            <w:shd w:val="clear" w:color="auto" w:fill="FFFFFF"/>
            <w:vAlign w:val="center"/>
          </w:tcPr>
          <w:p>
            <w:pPr>
              <w:rPr>
                <w:color w:val="000000"/>
                <w:sz w:val="16"/>
                <w:szCs w:val="16"/>
              </w:rPr>
            </w:pPr>
            <w:r>
              <w:rPr>
                <w:rFonts w:hint="eastAsia"/>
                <w:color w:val="000000"/>
                <w:sz w:val="16"/>
                <w:szCs w:val="16"/>
              </w:rPr>
              <w:t>2020年度</w:t>
            </w:r>
          </w:p>
        </w:tc>
        <w:tc>
          <w:tcPr>
            <w:tcW w:w="2110" w:type="dxa"/>
            <w:gridSpan w:val="3"/>
            <w:tcBorders>
              <w:bottom w:val="single" w:color="808080" w:sz="4" w:space="0"/>
              <w:right w:val="single" w:color="808080" w:sz="4" w:space="0"/>
            </w:tcBorders>
            <w:shd w:val="clear" w:color="auto" w:fill="FFFFFF"/>
            <w:vAlign w:val="center"/>
          </w:tcPr>
          <w:p>
            <w:pPr>
              <w:jc w:val="right"/>
              <w:textAlignment w:val="center"/>
              <w:rPr>
                <w:color w:val="000000"/>
                <w:sz w:val="16"/>
                <w:szCs w:val="16"/>
              </w:rPr>
            </w:pPr>
            <w:r>
              <w:rPr>
                <w:rFonts w:hint="eastAsia"/>
                <w:color w:val="000000"/>
                <w:sz w:val="16"/>
                <w:szCs w:val="16"/>
              </w:rPr>
              <w:t>单位：万元</w:t>
            </w:r>
          </w:p>
        </w:tc>
      </w:tr>
      <w:tr>
        <w:tblPrEx>
          <w:tblCellMar>
            <w:top w:w="15" w:type="dxa"/>
            <w:left w:w="15" w:type="dxa"/>
            <w:bottom w:w="15" w:type="dxa"/>
            <w:right w:w="15" w:type="dxa"/>
          </w:tblCellMar>
        </w:tblPrEx>
        <w:trPr>
          <w:trHeight w:val="300" w:hRule="atLeast"/>
        </w:trPr>
        <w:tc>
          <w:tcPr>
            <w:tcW w:w="2860" w:type="dxa"/>
            <w:gridSpan w:val="2"/>
            <w:tcBorders>
              <w:left w:val="single" w:color="000000" w:sz="4" w:space="0"/>
              <w:bottom w:val="single" w:color="000000" w:sz="4" w:space="0"/>
              <w:right w:val="single" w:color="000000" w:sz="4" w:space="0"/>
            </w:tcBorders>
            <w:shd w:val="clear" w:color="auto" w:fill="C0C0C0"/>
            <w:vAlign w:val="center"/>
          </w:tcPr>
          <w:p>
            <w:pPr>
              <w:jc w:val="center"/>
              <w:textAlignment w:val="center"/>
              <w:rPr>
                <w:b/>
                <w:bCs/>
                <w:color w:val="000000"/>
                <w:sz w:val="16"/>
                <w:szCs w:val="16"/>
              </w:rPr>
            </w:pPr>
            <w:r>
              <w:rPr>
                <w:rFonts w:hint="eastAsia"/>
                <w:b/>
                <w:bCs/>
                <w:color w:val="000000"/>
                <w:sz w:val="16"/>
                <w:szCs w:val="16"/>
              </w:rPr>
              <w:t>收     入</w:t>
            </w:r>
          </w:p>
        </w:tc>
        <w:tc>
          <w:tcPr>
            <w:tcW w:w="5040" w:type="dxa"/>
            <w:gridSpan w:val="6"/>
            <w:tcBorders>
              <w:bottom w:val="single" w:color="000000" w:sz="4" w:space="0"/>
              <w:right w:val="single" w:color="000000" w:sz="4" w:space="0"/>
            </w:tcBorders>
            <w:shd w:val="clear" w:color="auto" w:fill="C0C0C0"/>
            <w:vAlign w:val="center"/>
          </w:tcPr>
          <w:p>
            <w:pPr>
              <w:jc w:val="center"/>
              <w:textAlignment w:val="center"/>
              <w:rPr>
                <w:b/>
                <w:bCs/>
                <w:color w:val="000000"/>
                <w:sz w:val="16"/>
                <w:szCs w:val="16"/>
              </w:rPr>
            </w:pPr>
            <w:r>
              <w:rPr>
                <w:rFonts w:hint="eastAsia"/>
                <w:b/>
                <w:bCs/>
                <w:color w:val="000000"/>
                <w:sz w:val="16"/>
                <w:szCs w:val="16"/>
              </w:rPr>
              <w:t>支     出</w:t>
            </w:r>
          </w:p>
        </w:tc>
      </w:tr>
      <w:tr>
        <w:tblPrEx>
          <w:tblCellMar>
            <w:top w:w="15" w:type="dxa"/>
            <w:left w:w="15" w:type="dxa"/>
            <w:bottom w:w="15" w:type="dxa"/>
            <w:right w:w="15" w:type="dxa"/>
          </w:tblCellMar>
        </w:tblPrEx>
        <w:trPr>
          <w:trHeight w:val="285" w:hRule="atLeast"/>
        </w:trPr>
        <w:tc>
          <w:tcPr>
            <w:tcW w:w="1690" w:type="dxa"/>
            <w:vMerge w:val="restart"/>
            <w:tcBorders>
              <w:left w:val="single" w:color="000000" w:sz="4" w:space="0"/>
              <w:bottom w:val="single" w:color="000000" w:sz="4" w:space="0"/>
              <w:right w:val="single" w:color="000000" w:sz="4" w:space="0"/>
            </w:tcBorders>
            <w:shd w:val="clear" w:color="auto" w:fill="C0C0C0"/>
            <w:vAlign w:val="center"/>
          </w:tcPr>
          <w:p>
            <w:pPr>
              <w:jc w:val="center"/>
              <w:textAlignment w:val="center"/>
              <w:rPr>
                <w:b/>
                <w:bCs/>
                <w:color w:val="000000"/>
                <w:sz w:val="16"/>
                <w:szCs w:val="16"/>
              </w:rPr>
            </w:pPr>
            <w:r>
              <w:rPr>
                <w:rFonts w:hint="eastAsia"/>
                <w:b/>
                <w:bCs/>
                <w:color w:val="000000"/>
                <w:sz w:val="16"/>
                <w:szCs w:val="16"/>
              </w:rPr>
              <w:t>项    目</w:t>
            </w:r>
          </w:p>
        </w:tc>
        <w:tc>
          <w:tcPr>
            <w:tcW w:w="1170" w:type="dxa"/>
            <w:vMerge w:val="restart"/>
            <w:tcBorders>
              <w:bottom w:val="single" w:color="000000" w:sz="4" w:space="0"/>
              <w:right w:val="single" w:color="000000" w:sz="4" w:space="0"/>
            </w:tcBorders>
            <w:shd w:val="clear" w:color="auto" w:fill="C0C0C0"/>
            <w:vAlign w:val="center"/>
          </w:tcPr>
          <w:p>
            <w:pPr>
              <w:jc w:val="center"/>
              <w:textAlignment w:val="center"/>
              <w:rPr>
                <w:b/>
                <w:bCs/>
                <w:color w:val="000000"/>
                <w:sz w:val="16"/>
                <w:szCs w:val="16"/>
              </w:rPr>
            </w:pPr>
            <w:r>
              <w:rPr>
                <w:rFonts w:hint="eastAsia"/>
                <w:b/>
                <w:bCs/>
                <w:color w:val="000000"/>
                <w:sz w:val="16"/>
                <w:szCs w:val="16"/>
              </w:rPr>
              <w:t>决算数</w:t>
            </w:r>
          </w:p>
        </w:tc>
        <w:tc>
          <w:tcPr>
            <w:tcW w:w="1592" w:type="dxa"/>
            <w:vMerge w:val="restart"/>
            <w:tcBorders>
              <w:bottom w:val="single" w:color="000000" w:sz="4" w:space="0"/>
              <w:right w:val="single" w:color="000000" w:sz="4" w:space="0"/>
            </w:tcBorders>
            <w:shd w:val="clear" w:color="auto" w:fill="C0C0C0"/>
            <w:vAlign w:val="center"/>
          </w:tcPr>
          <w:p>
            <w:pPr>
              <w:jc w:val="center"/>
              <w:textAlignment w:val="center"/>
              <w:rPr>
                <w:b/>
                <w:bCs/>
                <w:color w:val="000000"/>
                <w:sz w:val="16"/>
                <w:szCs w:val="16"/>
              </w:rPr>
            </w:pPr>
            <w:r>
              <w:rPr>
                <w:rFonts w:hint="eastAsia"/>
                <w:b/>
                <w:bCs/>
                <w:color w:val="000000"/>
                <w:sz w:val="16"/>
                <w:szCs w:val="16"/>
              </w:rPr>
              <w:t>功能分类科目</w:t>
            </w:r>
          </w:p>
        </w:tc>
        <w:tc>
          <w:tcPr>
            <w:tcW w:w="3448" w:type="dxa"/>
            <w:gridSpan w:val="5"/>
            <w:tcBorders>
              <w:bottom w:val="single" w:color="000000" w:sz="4" w:space="0"/>
              <w:right w:val="single" w:color="000000" w:sz="4" w:space="0"/>
            </w:tcBorders>
            <w:shd w:val="clear" w:color="auto" w:fill="C0C0C0"/>
            <w:vAlign w:val="center"/>
          </w:tcPr>
          <w:p>
            <w:pPr>
              <w:jc w:val="center"/>
              <w:textAlignment w:val="center"/>
              <w:rPr>
                <w:b/>
                <w:bCs/>
                <w:color w:val="000000"/>
                <w:sz w:val="16"/>
                <w:szCs w:val="16"/>
              </w:rPr>
            </w:pPr>
            <w:r>
              <w:rPr>
                <w:rFonts w:hint="eastAsia"/>
                <w:b/>
                <w:bCs/>
                <w:color w:val="000000"/>
                <w:sz w:val="16"/>
                <w:szCs w:val="16"/>
              </w:rPr>
              <w:t>决算数</w:t>
            </w:r>
          </w:p>
        </w:tc>
      </w:tr>
      <w:tr>
        <w:tblPrEx>
          <w:tblCellMar>
            <w:top w:w="15" w:type="dxa"/>
            <w:left w:w="15" w:type="dxa"/>
            <w:bottom w:w="15" w:type="dxa"/>
            <w:right w:w="15" w:type="dxa"/>
          </w:tblCellMar>
        </w:tblPrEx>
        <w:trPr>
          <w:trHeight w:val="600" w:hRule="atLeast"/>
        </w:trPr>
        <w:tc>
          <w:tcPr>
            <w:tcW w:w="7900" w:type="dxa"/>
            <w:vMerge w:val="continue"/>
            <w:tcBorders>
              <w:left w:val="single" w:color="000000" w:sz="4" w:space="0"/>
              <w:bottom w:val="single" w:color="000000" w:sz="4" w:space="0"/>
              <w:right w:val="single" w:color="000000" w:sz="4" w:space="0"/>
            </w:tcBorders>
            <w:vAlign w:val="center"/>
          </w:tcPr>
          <w:p>
            <w:pPr>
              <w:rPr>
                <w:b/>
                <w:bCs/>
                <w:color w:val="000000"/>
                <w:sz w:val="16"/>
                <w:szCs w:val="16"/>
              </w:rPr>
            </w:pPr>
          </w:p>
        </w:tc>
        <w:tc>
          <w:tcPr>
            <w:tcW w:w="1170" w:type="dxa"/>
            <w:vMerge w:val="continue"/>
            <w:tcBorders>
              <w:bottom w:val="single" w:color="000000" w:sz="4" w:space="0"/>
              <w:right w:val="single" w:color="000000" w:sz="4" w:space="0"/>
            </w:tcBorders>
            <w:vAlign w:val="center"/>
          </w:tcPr>
          <w:p>
            <w:pPr>
              <w:rPr>
                <w:b/>
                <w:bCs/>
                <w:color w:val="000000"/>
                <w:sz w:val="16"/>
                <w:szCs w:val="16"/>
              </w:rPr>
            </w:pPr>
          </w:p>
        </w:tc>
        <w:tc>
          <w:tcPr>
            <w:tcW w:w="5040" w:type="dxa"/>
            <w:vMerge w:val="continue"/>
            <w:tcBorders>
              <w:bottom w:val="single" w:color="000000" w:sz="4" w:space="0"/>
              <w:right w:val="single" w:color="000000" w:sz="4" w:space="0"/>
            </w:tcBorders>
            <w:vAlign w:val="center"/>
          </w:tcPr>
          <w:p>
            <w:pPr>
              <w:rPr>
                <w:b/>
                <w:bCs/>
                <w:color w:val="000000"/>
                <w:sz w:val="16"/>
                <w:szCs w:val="16"/>
              </w:rPr>
            </w:pPr>
          </w:p>
        </w:tc>
        <w:tc>
          <w:tcPr>
            <w:tcW w:w="1048" w:type="dxa"/>
            <w:tcBorders>
              <w:bottom w:val="single" w:color="000000" w:sz="4" w:space="0"/>
              <w:right w:val="single" w:color="000000" w:sz="4" w:space="0"/>
            </w:tcBorders>
            <w:shd w:val="clear" w:color="auto" w:fill="C0C0C0"/>
            <w:vAlign w:val="center"/>
          </w:tcPr>
          <w:p>
            <w:pPr>
              <w:jc w:val="center"/>
              <w:textAlignment w:val="center"/>
              <w:rPr>
                <w:b/>
                <w:bCs/>
                <w:color w:val="000000"/>
                <w:sz w:val="16"/>
                <w:szCs w:val="16"/>
              </w:rPr>
            </w:pPr>
            <w:r>
              <w:rPr>
                <w:rFonts w:hint="eastAsia"/>
                <w:b/>
                <w:bCs/>
                <w:color w:val="000000"/>
                <w:sz w:val="16"/>
                <w:szCs w:val="16"/>
              </w:rPr>
              <w:t>小计</w:t>
            </w:r>
          </w:p>
        </w:tc>
        <w:tc>
          <w:tcPr>
            <w:tcW w:w="840" w:type="dxa"/>
            <w:gridSpan w:val="2"/>
            <w:tcBorders>
              <w:bottom w:val="single" w:color="000000" w:sz="4" w:space="0"/>
              <w:right w:val="single" w:color="000000" w:sz="4" w:space="0"/>
            </w:tcBorders>
            <w:shd w:val="clear" w:color="auto" w:fill="C0C0C0"/>
            <w:vAlign w:val="center"/>
          </w:tcPr>
          <w:p>
            <w:pPr>
              <w:jc w:val="center"/>
              <w:textAlignment w:val="center"/>
              <w:rPr>
                <w:b/>
                <w:bCs/>
                <w:color w:val="000000"/>
                <w:sz w:val="16"/>
                <w:szCs w:val="16"/>
              </w:rPr>
            </w:pPr>
            <w:r>
              <w:rPr>
                <w:rFonts w:hint="eastAsia"/>
                <w:b/>
                <w:bCs/>
                <w:color w:val="000000"/>
                <w:sz w:val="16"/>
                <w:szCs w:val="16"/>
              </w:rPr>
              <w:t>一般公共预算财政拨款</w:t>
            </w:r>
          </w:p>
        </w:tc>
        <w:tc>
          <w:tcPr>
            <w:tcW w:w="905" w:type="dxa"/>
            <w:tcBorders>
              <w:bottom w:val="single" w:color="000000" w:sz="4" w:space="0"/>
              <w:right w:val="single" w:color="000000" w:sz="4" w:space="0"/>
            </w:tcBorders>
            <w:shd w:val="clear" w:color="auto" w:fill="C0C0C0"/>
            <w:vAlign w:val="center"/>
          </w:tcPr>
          <w:p>
            <w:pPr>
              <w:jc w:val="center"/>
              <w:textAlignment w:val="center"/>
              <w:rPr>
                <w:b/>
                <w:bCs/>
                <w:color w:val="000000"/>
                <w:sz w:val="16"/>
                <w:szCs w:val="16"/>
              </w:rPr>
            </w:pPr>
            <w:r>
              <w:rPr>
                <w:rFonts w:hint="eastAsia"/>
                <w:b/>
                <w:bCs/>
                <w:color w:val="000000"/>
                <w:sz w:val="16"/>
                <w:szCs w:val="16"/>
              </w:rPr>
              <w:t>政府性基金预算财政拨款</w:t>
            </w:r>
          </w:p>
        </w:tc>
        <w:tc>
          <w:tcPr>
            <w:tcW w:w="655" w:type="dxa"/>
            <w:tcBorders>
              <w:bottom w:val="single" w:color="000000" w:sz="4" w:space="0"/>
              <w:right w:val="single" w:color="000000" w:sz="4" w:space="0"/>
            </w:tcBorders>
            <w:shd w:val="clear" w:color="auto" w:fill="C0C0C0"/>
            <w:vAlign w:val="center"/>
          </w:tcPr>
          <w:p>
            <w:pPr>
              <w:jc w:val="center"/>
              <w:textAlignment w:val="center"/>
              <w:rPr>
                <w:b/>
                <w:bCs/>
                <w:color w:val="000000"/>
                <w:sz w:val="16"/>
                <w:szCs w:val="16"/>
              </w:rPr>
            </w:pPr>
            <w:r>
              <w:rPr>
                <w:rFonts w:hint="eastAsia"/>
                <w:b/>
                <w:bCs/>
                <w:color w:val="000000"/>
                <w:sz w:val="16"/>
                <w:szCs w:val="16"/>
              </w:rPr>
              <w:t>国有资本经营预算财政拨款</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一、一般公共预算财政拨款</w:t>
            </w:r>
          </w:p>
        </w:tc>
        <w:tc>
          <w:tcPr>
            <w:tcW w:w="1170"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241.25</w:t>
            </w:r>
          </w:p>
        </w:tc>
        <w:tc>
          <w:tcPr>
            <w:tcW w:w="1592" w:type="dxa"/>
            <w:tcBorders>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一、一般公共服务支出</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二、政府性基金预算财政拨款</w:t>
            </w:r>
          </w:p>
        </w:tc>
        <w:tc>
          <w:tcPr>
            <w:tcW w:w="1170"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1592" w:type="dxa"/>
            <w:tcBorders>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二、外交支出</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三、国有资本经营预算财政拨款</w:t>
            </w:r>
          </w:p>
        </w:tc>
        <w:tc>
          <w:tcPr>
            <w:tcW w:w="1170"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1592" w:type="dxa"/>
            <w:tcBorders>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三、国防支出</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rPr>
                <w:color w:val="000000"/>
                <w:sz w:val="16"/>
                <w:szCs w:val="16"/>
              </w:rPr>
            </w:pPr>
          </w:p>
        </w:tc>
        <w:tc>
          <w:tcPr>
            <w:tcW w:w="1170" w:type="dxa"/>
            <w:tcBorders>
              <w:bottom w:val="single" w:color="000000" w:sz="4" w:space="0"/>
              <w:right w:val="single" w:color="000000" w:sz="4" w:space="0"/>
            </w:tcBorders>
            <w:shd w:val="clear" w:color="auto" w:fill="FFFFFF"/>
            <w:vAlign w:val="center"/>
          </w:tcPr>
          <w:p>
            <w:pPr>
              <w:jc w:val="right"/>
              <w:rPr>
                <w:color w:val="000000"/>
                <w:sz w:val="16"/>
                <w:szCs w:val="16"/>
              </w:rPr>
            </w:pPr>
          </w:p>
        </w:tc>
        <w:tc>
          <w:tcPr>
            <w:tcW w:w="1592" w:type="dxa"/>
            <w:tcBorders>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四、公共安全支出</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rPr>
                <w:color w:val="000000"/>
                <w:sz w:val="16"/>
                <w:szCs w:val="16"/>
              </w:rPr>
            </w:pPr>
          </w:p>
        </w:tc>
        <w:tc>
          <w:tcPr>
            <w:tcW w:w="1170" w:type="dxa"/>
            <w:tcBorders>
              <w:bottom w:val="single" w:color="000000" w:sz="4" w:space="0"/>
              <w:right w:val="single" w:color="000000" w:sz="4" w:space="0"/>
            </w:tcBorders>
            <w:shd w:val="clear" w:color="auto" w:fill="FFFFFF"/>
            <w:vAlign w:val="center"/>
          </w:tcPr>
          <w:p>
            <w:pPr>
              <w:jc w:val="right"/>
              <w:rPr>
                <w:color w:val="000000"/>
                <w:sz w:val="16"/>
                <w:szCs w:val="16"/>
              </w:rPr>
            </w:pPr>
          </w:p>
        </w:tc>
        <w:tc>
          <w:tcPr>
            <w:tcW w:w="1592" w:type="dxa"/>
            <w:tcBorders>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五、教育支出</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0.72</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0.72</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rPr>
                <w:color w:val="000000"/>
                <w:sz w:val="16"/>
                <w:szCs w:val="16"/>
              </w:rPr>
            </w:pPr>
          </w:p>
        </w:tc>
        <w:tc>
          <w:tcPr>
            <w:tcW w:w="1170" w:type="dxa"/>
            <w:tcBorders>
              <w:bottom w:val="single" w:color="000000" w:sz="4" w:space="0"/>
              <w:right w:val="single" w:color="000000" w:sz="4" w:space="0"/>
            </w:tcBorders>
            <w:shd w:val="clear" w:color="auto" w:fill="FFFFFF"/>
            <w:vAlign w:val="center"/>
          </w:tcPr>
          <w:p>
            <w:pPr>
              <w:jc w:val="right"/>
              <w:rPr>
                <w:color w:val="000000"/>
                <w:sz w:val="16"/>
                <w:szCs w:val="16"/>
              </w:rPr>
            </w:pPr>
          </w:p>
        </w:tc>
        <w:tc>
          <w:tcPr>
            <w:tcW w:w="1592" w:type="dxa"/>
            <w:tcBorders>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六、科学技术支出</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rPr>
                <w:color w:val="000000"/>
                <w:sz w:val="16"/>
                <w:szCs w:val="16"/>
              </w:rPr>
            </w:pPr>
          </w:p>
        </w:tc>
        <w:tc>
          <w:tcPr>
            <w:tcW w:w="1170" w:type="dxa"/>
            <w:tcBorders>
              <w:bottom w:val="single" w:color="000000" w:sz="4" w:space="0"/>
              <w:right w:val="single" w:color="000000" w:sz="4" w:space="0"/>
            </w:tcBorders>
            <w:shd w:val="clear" w:color="auto" w:fill="FFFFFF"/>
            <w:vAlign w:val="center"/>
          </w:tcPr>
          <w:p>
            <w:pPr>
              <w:jc w:val="right"/>
              <w:rPr>
                <w:color w:val="000000"/>
                <w:sz w:val="16"/>
                <w:szCs w:val="16"/>
              </w:rPr>
            </w:pPr>
          </w:p>
        </w:tc>
        <w:tc>
          <w:tcPr>
            <w:tcW w:w="1592" w:type="dxa"/>
            <w:tcBorders>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七、文化旅游体育与传媒支出</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rPr>
                <w:color w:val="000000"/>
                <w:sz w:val="16"/>
                <w:szCs w:val="16"/>
              </w:rPr>
            </w:pPr>
          </w:p>
        </w:tc>
        <w:tc>
          <w:tcPr>
            <w:tcW w:w="1170" w:type="dxa"/>
            <w:tcBorders>
              <w:bottom w:val="single" w:color="000000" w:sz="4" w:space="0"/>
              <w:right w:val="single" w:color="000000" w:sz="4" w:space="0"/>
            </w:tcBorders>
            <w:shd w:val="clear" w:color="auto" w:fill="FFFFFF"/>
            <w:vAlign w:val="center"/>
          </w:tcPr>
          <w:p>
            <w:pPr>
              <w:jc w:val="right"/>
              <w:rPr>
                <w:color w:val="000000"/>
                <w:sz w:val="16"/>
                <w:szCs w:val="16"/>
              </w:rPr>
            </w:pPr>
          </w:p>
        </w:tc>
        <w:tc>
          <w:tcPr>
            <w:tcW w:w="1592" w:type="dxa"/>
            <w:tcBorders>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八、社会保障和就业支出</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25.70</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25.70</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rPr>
                <w:color w:val="000000"/>
                <w:sz w:val="16"/>
                <w:szCs w:val="16"/>
              </w:rPr>
            </w:pPr>
          </w:p>
        </w:tc>
        <w:tc>
          <w:tcPr>
            <w:tcW w:w="1170" w:type="dxa"/>
            <w:tcBorders>
              <w:bottom w:val="single" w:color="000000" w:sz="4" w:space="0"/>
              <w:right w:val="single" w:color="000000" w:sz="4" w:space="0"/>
            </w:tcBorders>
            <w:shd w:val="clear" w:color="auto" w:fill="FFFFFF"/>
            <w:vAlign w:val="center"/>
          </w:tcPr>
          <w:p>
            <w:pPr>
              <w:jc w:val="right"/>
              <w:rPr>
                <w:color w:val="000000"/>
                <w:sz w:val="16"/>
                <w:szCs w:val="16"/>
              </w:rPr>
            </w:pPr>
          </w:p>
        </w:tc>
        <w:tc>
          <w:tcPr>
            <w:tcW w:w="1592" w:type="dxa"/>
            <w:tcBorders>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九、卫生健康支出</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9.91</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9.91</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rPr>
                <w:color w:val="000000"/>
                <w:sz w:val="16"/>
                <w:szCs w:val="16"/>
              </w:rPr>
            </w:pPr>
          </w:p>
        </w:tc>
        <w:tc>
          <w:tcPr>
            <w:tcW w:w="1170" w:type="dxa"/>
            <w:tcBorders>
              <w:bottom w:val="single" w:color="000000" w:sz="4" w:space="0"/>
              <w:right w:val="single" w:color="000000" w:sz="4" w:space="0"/>
            </w:tcBorders>
            <w:shd w:val="clear" w:color="auto" w:fill="FFFFFF"/>
            <w:vAlign w:val="center"/>
          </w:tcPr>
          <w:p>
            <w:pPr>
              <w:jc w:val="right"/>
              <w:rPr>
                <w:color w:val="000000"/>
                <w:sz w:val="16"/>
                <w:szCs w:val="16"/>
              </w:rPr>
            </w:pPr>
          </w:p>
        </w:tc>
        <w:tc>
          <w:tcPr>
            <w:tcW w:w="1592" w:type="dxa"/>
            <w:tcBorders>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十、节能环保支出</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rPr>
                <w:color w:val="000000"/>
                <w:sz w:val="16"/>
                <w:szCs w:val="16"/>
              </w:rPr>
            </w:pPr>
          </w:p>
        </w:tc>
        <w:tc>
          <w:tcPr>
            <w:tcW w:w="1170" w:type="dxa"/>
            <w:tcBorders>
              <w:bottom w:val="single" w:color="000000" w:sz="4" w:space="0"/>
              <w:right w:val="single" w:color="000000" w:sz="4" w:space="0"/>
            </w:tcBorders>
            <w:shd w:val="clear" w:color="auto" w:fill="FFFFFF"/>
            <w:vAlign w:val="center"/>
          </w:tcPr>
          <w:p>
            <w:pPr>
              <w:jc w:val="right"/>
              <w:rPr>
                <w:color w:val="000000"/>
                <w:sz w:val="16"/>
                <w:szCs w:val="16"/>
              </w:rPr>
            </w:pPr>
          </w:p>
        </w:tc>
        <w:tc>
          <w:tcPr>
            <w:tcW w:w="1592" w:type="dxa"/>
            <w:tcBorders>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十一、城乡社区支出</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rPr>
                <w:color w:val="000000"/>
                <w:sz w:val="16"/>
                <w:szCs w:val="16"/>
              </w:rPr>
            </w:pPr>
          </w:p>
        </w:tc>
        <w:tc>
          <w:tcPr>
            <w:tcW w:w="1170" w:type="dxa"/>
            <w:tcBorders>
              <w:bottom w:val="single" w:color="000000" w:sz="4" w:space="0"/>
              <w:right w:val="single" w:color="000000" w:sz="4" w:space="0"/>
            </w:tcBorders>
            <w:shd w:val="clear" w:color="auto" w:fill="FFFFFF"/>
            <w:vAlign w:val="center"/>
          </w:tcPr>
          <w:p>
            <w:pPr>
              <w:jc w:val="right"/>
              <w:rPr>
                <w:color w:val="000000"/>
                <w:sz w:val="16"/>
                <w:szCs w:val="16"/>
              </w:rPr>
            </w:pPr>
          </w:p>
        </w:tc>
        <w:tc>
          <w:tcPr>
            <w:tcW w:w="1592" w:type="dxa"/>
            <w:tcBorders>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十二、农林水支出</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rPr>
                <w:color w:val="000000"/>
                <w:sz w:val="16"/>
                <w:szCs w:val="16"/>
              </w:rPr>
            </w:pPr>
          </w:p>
        </w:tc>
        <w:tc>
          <w:tcPr>
            <w:tcW w:w="1170" w:type="dxa"/>
            <w:tcBorders>
              <w:bottom w:val="single" w:color="000000" w:sz="4" w:space="0"/>
              <w:right w:val="single" w:color="000000" w:sz="4" w:space="0"/>
            </w:tcBorders>
            <w:shd w:val="clear" w:color="auto" w:fill="FFFFFF"/>
            <w:vAlign w:val="center"/>
          </w:tcPr>
          <w:p>
            <w:pPr>
              <w:jc w:val="right"/>
              <w:rPr>
                <w:color w:val="000000"/>
                <w:sz w:val="16"/>
                <w:szCs w:val="16"/>
              </w:rPr>
            </w:pPr>
          </w:p>
        </w:tc>
        <w:tc>
          <w:tcPr>
            <w:tcW w:w="1592" w:type="dxa"/>
            <w:tcBorders>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十三、交通运输支出</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220.51</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220.51</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rPr>
                <w:color w:val="000000"/>
                <w:sz w:val="16"/>
                <w:szCs w:val="16"/>
              </w:rPr>
            </w:pPr>
          </w:p>
        </w:tc>
        <w:tc>
          <w:tcPr>
            <w:tcW w:w="1170" w:type="dxa"/>
            <w:tcBorders>
              <w:bottom w:val="single" w:color="000000" w:sz="4" w:space="0"/>
              <w:right w:val="single" w:color="000000" w:sz="4" w:space="0"/>
            </w:tcBorders>
            <w:shd w:val="clear" w:color="auto" w:fill="FFFFFF"/>
            <w:vAlign w:val="center"/>
          </w:tcPr>
          <w:p>
            <w:pPr>
              <w:jc w:val="right"/>
              <w:rPr>
                <w:color w:val="000000"/>
                <w:sz w:val="16"/>
                <w:szCs w:val="16"/>
              </w:rPr>
            </w:pPr>
          </w:p>
        </w:tc>
        <w:tc>
          <w:tcPr>
            <w:tcW w:w="1592" w:type="dxa"/>
            <w:tcBorders>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十四、资源勘探工业信息等支出</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rPr>
                <w:color w:val="000000"/>
                <w:sz w:val="16"/>
                <w:szCs w:val="16"/>
              </w:rPr>
            </w:pPr>
          </w:p>
        </w:tc>
        <w:tc>
          <w:tcPr>
            <w:tcW w:w="1170" w:type="dxa"/>
            <w:tcBorders>
              <w:bottom w:val="single" w:color="000000" w:sz="4" w:space="0"/>
              <w:right w:val="single" w:color="000000" w:sz="4" w:space="0"/>
            </w:tcBorders>
            <w:shd w:val="clear" w:color="auto" w:fill="FFFFFF"/>
            <w:vAlign w:val="center"/>
          </w:tcPr>
          <w:p>
            <w:pPr>
              <w:jc w:val="right"/>
              <w:rPr>
                <w:color w:val="000000"/>
                <w:sz w:val="16"/>
                <w:szCs w:val="16"/>
              </w:rPr>
            </w:pPr>
          </w:p>
        </w:tc>
        <w:tc>
          <w:tcPr>
            <w:tcW w:w="1592" w:type="dxa"/>
            <w:tcBorders>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十五、商业服务业等支出</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rPr>
                <w:color w:val="000000"/>
                <w:sz w:val="16"/>
                <w:szCs w:val="16"/>
              </w:rPr>
            </w:pPr>
          </w:p>
        </w:tc>
        <w:tc>
          <w:tcPr>
            <w:tcW w:w="1170" w:type="dxa"/>
            <w:tcBorders>
              <w:bottom w:val="single" w:color="000000" w:sz="4" w:space="0"/>
              <w:right w:val="single" w:color="000000" w:sz="4" w:space="0"/>
            </w:tcBorders>
            <w:shd w:val="clear" w:color="auto" w:fill="FFFFFF"/>
            <w:vAlign w:val="center"/>
          </w:tcPr>
          <w:p>
            <w:pPr>
              <w:jc w:val="right"/>
              <w:rPr>
                <w:color w:val="000000"/>
                <w:sz w:val="16"/>
                <w:szCs w:val="16"/>
              </w:rPr>
            </w:pPr>
          </w:p>
        </w:tc>
        <w:tc>
          <w:tcPr>
            <w:tcW w:w="1592" w:type="dxa"/>
            <w:tcBorders>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十六、金融支出</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rPr>
                <w:color w:val="000000"/>
                <w:sz w:val="16"/>
                <w:szCs w:val="16"/>
              </w:rPr>
            </w:pPr>
          </w:p>
        </w:tc>
        <w:tc>
          <w:tcPr>
            <w:tcW w:w="1170" w:type="dxa"/>
            <w:tcBorders>
              <w:bottom w:val="single" w:color="000000" w:sz="4" w:space="0"/>
              <w:right w:val="single" w:color="000000" w:sz="4" w:space="0"/>
            </w:tcBorders>
            <w:shd w:val="clear" w:color="auto" w:fill="FFFFFF"/>
            <w:vAlign w:val="center"/>
          </w:tcPr>
          <w:p>
            <w:pPr>
              <w:jc w:val="right"/>
              <w:rPr>
                <w:color w:val="000000"/>
                <w:sz w:val="16"/>
                <w:szCs w:val="16"/>
              </w:rPr>
            </w:pPr>
          </w:p>
        </w:tc>
        <w:tc>
          <w:tcPr>
            <w:tcW w:w="1592" w:type="dxa"/>
            <w:tcBorders>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十七、援助其他地区支出</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rPr>
                <w:color w:val="000000"/>
                <w:sz w:val="16"/>
                <w:szCs w:val="16"/>
              </w:rPr>
            </w:pPr>
          </w:p>
        </w:tc>
        <w:tc>
          <w:tcPr>
            <w:tcW w:w="1170" w:type="dxa"/>
            <w:tcBorders>
              <w:bottom w:val="single" w:color="000000" w:sz="4" w:space="0"/>
              <w:right w:val="single" w:color="000000" w:sz="4" w:space="0"/>
            </w:tcBorders>
            <w:shd w:val="clear" w:color="auto" w:fill="FFFFFF"/>
            <w:vAlign w:val="center"/>
          </w:tcPr>
          <w:p>
            <w:pPr>
              <w:jc w:val="right"/>
              <w:rPr>
                <w:color w:val="000000"/>
                <w:sz w:val="16"/>
                <w:szCs w:val="16"/>
              </w:rPr>
            </w:pPr>
          </w:p>
        </w:tc>
        <w:tc>
          <w:tcPr>
            <w:tcW w:w="1592" w:type="dxa"/>
            <w:tcBorders>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十八、自然资源海洋气象等支出</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rPr>
                <w:color w:val="000000"/>
                <w:sz w:val="16"/>
                <w:szCs w:val="16"/>
              </w:rPr>
            </w:pPr>
          </w:p>
        </w:tc>
        <w:tc>
          <w:tcPr>
            <w:tcW w:w="1170" w:type="dxa"/>
            <w:tcBorders>
              <w:bottom w:val="single" w:color="000000" w:sz="4" w:space="0"/>
              <w:right w:val="single" w:color="000000" w:sz="4" w:space="0"/>
            </w:tcBorders>
            <w:shd w:val="clear" w:color="auto" w:fill="FFFFFF"/>
            <w:vAlign w:val="center"/>
          </w:tcPr>
          <w:p>
            <w:pPr>
              <w:jc w:val="right"/>
              <w:rPr>
                <w:color w:val="000000"/>
                <w:sz w:val="16"/>
                <w:szCs w:val="16"/>
              </w:rPr>
            </w:pPr>
          </w:p>
        </w:tc>
        <w:tc>
          <w:tcPr>
            <w:tcW w:w="1592" w:type="dxa"/>
            <w:tcBorders>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十九、住房保障支出</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11.75</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11.75</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rPr>
                <w:color w:val="000000"/>
                <w:sz w:val="16"/>
                <w:szCs w:val="16"/>
              </w:rPr>
            </w:pPr>
          </w:p>
        </w:tc>
        <w:tc>
          <w:tcPr>
            <w:tcW w:w="1170" w:type="dxa"/>
            <w:tcBorders>
              <w:bottom w:val="single" w:color="000000" w:sz="4" w:space="0"/>
              <w:right w:val="single" w:color="000000" w:sz="4" w:space="0"/>
            </w:tcBorders>
            <w:shd w:val="clear" w:color="auto" w:fill="FFFFFF"/>
            <w:vAlign w:val="center"/>
          </w:tcPr>
          <w:p>
            <w:pPr>
              <w:jc w:val="right"/>
              <w:rPr>
                <w:color w:val="000000"/>
                <w:sz w:val="16"/>
                <w:szCs w:val="16"/>
              </w:rPr>
            </w:pPr>
          </w:p>
        </w:tc>
        <w:tc>
          <w:tcPr>
            <w:tcW w:w="1592" w:type="dxa"/>
            <w:tcBorders>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二十、粮油物资储备支出</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rPr>
                <w:color w:val="000000"/>
                <w:sz w:val="16"/>
                <w:szCs w:val="16"/>
              </w:rPr>
            </w:pPr>
          </w:p>
        </w:tc>
        <w:tc>
          <w:tcPr>
            <w:tcW w:w="1170" w:type="dxa"/>
            <w:tcBorders>
              <w:bottom w:val="single" w:color="000000" w:sz="4" w:space="0"/>
              <w:right w:val="single" w:color="000000" w:sz="4" w:space="0"/>
            </w:tcBorders>
            <w:shd w:val="clear" w:color="auto" w:fill="FFFFFF"/>
            <w:vAlign w:val="center"/>
          </w:tcPr>
          <w:p>
            <w:pPr>
              <w:jc w:val="right"/>
              <w:rPr>
                <w:color w:val="000000"/>
                <w:sz w:val="16"/>
                <w:szCs w:val="16"/>
              </w:rPr>
            </w:pPr>
          </w:p>
        </w:tc>
        <w:tc>
          <w:tcPr>
            <w:tcW w:w="1592" w:type="dxa"/>
            <w:tcBorders>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二十一、国有资本经营预算支出</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rPr>
                <w:color w:val="000000"/>
                <w:sz w:val="16"/>
                <w:szCs w:val="16"/>
              </w:rPr>
            </w:pPr>
          </w:p>
        </w:tc>
        <w:tc>
          <w:tcPr>
            <w:tcW w:w="1170" w:type="dxa"/>
            <w:tcBorders>
              <w:bottom w:val="single" w:color="000000" w:sz="4" w:space="0"/>
              <w:right w:val="single" w:color="000000" w:sz="4" w:space="0"/>
            </w:tcBorders>
            <w:shd w:val="clear" w:color="auto" w:fill="FFFFFF"/>
            <w:vAlign w:val="center"/>
          </w:tcPr>
          <w:p>
            <w:pPr>
              <w:jc w:val="right"/>
              <w:rPr>
                <w:color w:val="000000"/>
                <w:sz w:val="16"/>
                <w:szCs w:val="16"/>
              </w:rPr>
            </w:pPr>
          </w:p>
        </w:tc>
        <w:tc>
          <w:tcPr>
            <w:tcW w:w="1592" w:type="dxa"/>
            <w:tcBorders>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二十二、灾害防治及应急管理支出</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rPr>
                <w:color w:val="000000"/>
                <w:sz w:val="16"/>
                <w:szCs w:val="16"/>
              </w:rPr>
            </w:pPr>
          </w:p>
        </w:tc>
        <w:tc>
          <w:tcPr>
            <w:tcW w:w="1170" w:type="dxa"/>
            <w:tcBorders>
              <w:bottom w:val="single" w:color="000000" w:sz="4" w:space="0"/>
              <w:right w:val="single" w:color="000000" w:sz="4" w:space="0"/>
            </w:tcBorders>
            <w:shd w:val="clear" w:color="auto" w:fill="FFFFFF"/>
            <w:vAlign w:val="center"/>
          </w:tcPr>
          <w:p>
            <w:pPr>
              <w:jc w:val="right"/>
              <w:rPr>
                <w:color w:val="000000"/>
                <w:sz w:val="16"/>
                <w:szCs w:val="16"/>
              </w:rPr>
            </w:pPr>
          </w:p>
        </w:tc>
        <w:tc>
          <w:tcPr>
            <w:tcW w:w="1592" w:type="dxa"/>
            <w:tcBorders>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二十三、其他支出</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rPr>
                <w:color w:val="000000"/>
                <w:sz w:val="16"/>
                <w:szCs w:val="16"/>
              </w:rPr>
            </w:pPr>
          </w:p>
        </w:tc>
        <w:tc>
          <w:tcPr>
            <w:tcW w:w="1170" w:type="dxa"/>
            <w:tcBorders>
              <w:bottom w:val="single" w:color="000000" w:sz="4" w:space="0"/>
              <w:right w:val="single" w:color="000000" w:sz="4" w:space="0"/>
            </w:tcBorders>
            <w:shd w:val="clear" w:color="auto" w:fill="FFFFFF"/>
            <w:vAlign w:val="center"/>
          </w:tcPr>
          <w:p>
            <w:pPr>
              <w:jc w:val="right"/>
              <w:rPr>
                <w:color w:val="000000"/>
                <w:sz w:val="16"/>
                <w:szCs w:val="16"/>
              </w:rPr>
            </w:pPr>
          </w:p>
        </w:tc>
        <w:tc>
          <w:tcPr>
            <w:tcW w:w="1592" w:type="dxa"/>
            <w:tcBorders>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二十四、债务还本支出</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jc w:val="center"/>
              <w:textAlignment w:val="center"/>
              <w:rPr>
                <w:b/>
                <w:bCs/>
                <w:color w:val="000000"/>
                <w:sz w:val="16"/>
                <w:szCs w:val="16"/>
              </w:rPr>
            </w:pPr>
            <w:r>
              <w:rPr>
                <w:rFonts w:hint="eastAsia"/>
                <w:b/>
                <w:bCs/>
                <w:color w:val="000000"/>
                <w:sz w:val="16"/>
                <w:szCs w:val="16"/>
              </w:rPr>
              <w:t>本年收入合计</w:t>
            </w:r>
          </w:p>
        </w:tc>
        <w:tc>
          <w:tcPr>
            <w:tcW w:w="1170"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241.25</w:t>
            </w:r>
          </w:p>
        </w:tc>
        <w:tc>
          <w:tcPr>
            <w:tcW w:w="1592" w:type="dxa"/>
            <w:tcBorders>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二十五、债务付息支出</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年初财政拨款结转和结余</w:t>
            </w:r>
          </w:p>
        </w:tc>
        <w:tc>
          <w:tcPr>
            <w:tcW w:w="1170"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28.56</w:t>
            </w:r>
          </w:p>
        </w:tc>
        <w:tc>
          <w:tcPr>
            <w:tcW w:w="1592" w:type="dxa"/>
            <w:tcBorders>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二十六、抗疫特别国债安排的支出</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一、一般公共预算财政拨款</w:t>
            </w:r>
          </w:p>
        </w:tc>
        <w:tc>
          <w:tcPr>
            <w:tcW w:w="1170"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28.56</w:t>
            </w:r>
          </w:p>
        </w:tc>
        <w:tc>
          <w:tcPr>
            <w:tcW w:w="1592" w:type="dxa"/>
            <w:tcBorders>
              <w:bottom w:val="single" w:color="000000" w:sz="4" w:space="0"/>
              <w:right w:val="single" w:color="000000" w:sz="4" w:space="0"/>
            </w:tcBorders>
            <w:shd w:val="clear" w:color="auto" w:fill="C0C0C0"/>
            <w:vAlign w:val="center"/>
          </w:tcPr>
          <w:p>
            <w:pPr>
              <w:jc w:val="center"/>
              <w:textAlignment w:val="center"/>
              <w:rPr>
                <w:b/>
                <w:bCs/>
                <w:color w:val="000000"/>
                <w:sz w:val="16"/>
                <w:szCs w:val="16"/>
              </w:rPr>
            </w:pPr>
            <w:r>
              <w:rPr>
                <w:rFonts w:hint="eastAsia"/>
                <w:b/>
                <w:bCs/>
                <w:color w:val="000000"/>
                <w:sz w:val="16"/>
                <w:szCs w:val="16"/>
              </w:rPr>
              <w:t>本年支出合计</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268.59</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268.59</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二、政府性基金预算财政拨款</w:t>
            </w:r>
          </w:p>
        </w:tc>
        <w:tc>
          <w:tcPr>
            <w:tcW w:w="1170"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1592" w:type="dxa"/>
            <w:tcBorders>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年末财政拨款结转和结余</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1.22</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1.22</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textAlignment w:val="center"/>
              <w:rPr>
                <w:color w:val="000000"/>
                <w:sz w:val="16"/>
                <w:szCs w:val="16"/>
              </w:rPr>
            </w:pPr>
            <w:r>
              <w:rPr>
                <w:rFonts w:hint="eastAsia"/>
                <w:color w:val="000000"/>
                <w:sz w:val="16"/>
                <w:szCs w:val="16"/>
              </w:rPr>
              <w:t>三、国有资本经营预算财政拨款</w:t>
            </w:r>
          </w:p>
        </w:tc>
        <w:tc>
          <w:tcPr>
            <w:tcW w:w="1170"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1592" w:type="dxa"/>
            <w:tcBorders>
              <w:bottom w:val="single" w:color="000000" w:sz="4" w:space="0"/>
              <w:right w:val="single" w:color="000000" w:sz="4" w:space="0"/>
            </w:tcBorders>
            <w:shd w:val="clear" w:color="auto" w:fill="C0C0C0"/>
            <w:vAlign w:val="center"/>
          </w:tcPr>
          <w:p>
            <w:pPr>
              <w:rPr>
                <w:color w:val="000000"/>
                <w:sz w:val="16"/>
                <w:szCs w:val="16"/>
              </w:rPr>
            </w:pPr>
          </w:p>
        </w:tc>
        <w:tc>
          <w:tcPr>
            <w:tcW w:w="1048" w:type="dxa"/>
            <w:tcBorders>
              <w:bottom w:val="single" w:color="000000" w:sz="4" w:space="0"/>
              <w:right w:val="single" w:color="000000" w:sz="4" w:space="0"/>
            </w:tcBorders>
            <w:shd w:val="clear" w:color="auto" w:fill="FFFFFF"/>
            <w:vAlign w:val="center"/>
          </w:tcPr>
          <w:p>
            <w:pPr>
              <w:jc w:val="right"/>
              <w:rPr>
                <w:color w:val="000000"/>
                <w:sz w:val="16"/>
                <w:szCs w:val="16"/>
              </w:rPr>
            </w:pPr>
          </w:p>
        </w:tc>
        <w:tc>
          <w:tcPr>
            <w:tcW w:w="840" w:type="dxa"/>
            <w:gridSpan w:val="2"/>
            <w:tcBorders>
              <w:bottom w:val="single" w:color="000000" w:sz="4" w:space="0"/>
              <w:right w:val="single" w:color="000000" w:sz="4" w:space="0"/>
            </w:tcBorders>
            <w:shd w:val="clear" w:color="auto" w:fill="FFFFFF"/>
            <w:vAlign w:val="center"/>
          </w:tcPr>
          <w:p>
            <w:pPr>
              <w:jc w:val="right"/>
              <w:rPr>
                <w:color w:val="000000"/>
                <w:sz w:val="16"/>
                <w:szCs w:val="16"/>
              </w:rPr>
            </w:pPr>
          </w:p>
        </w:tc>
        <w:tc>
          <w:tcPr>
            <w:tcW w:w="905" w:type="dxa"/>
            <w:tcBorders>
              <w:bottom w:val="single" w:color="000000" w:sz="4" w:space="0"/>
              <w:right w:val="single" w:color="000000" w:sz="4" w:space="0"/>
            </w:tcBorders>
            <w:shd w:val="clear" w:color="auto" w:fill="FFFFFF"/>
            <w:vAlign w:val="center"/>
          </w:tcPr>
          <w:p>
            <w:pPr>
              <w:jc w:val="right"/>
              <w:rPr>
                <w:color w:val="000000"/>
                <w:sz w:val="16"/>
                <w:szCs w:val="16"/>
              </w:rPr>
            </w:pPr>
          </w:p>
        </w:tc>
        <w:tc>
          <w:tcPr>
            <w:tcW w:w="655" w:type="dxa"/>
            <w:tcBorders>
              <w:bottom w:val="single" w:color="000000" w:sz="4" w:space="0"/>
              <w:right w:val="single" w:color="000000" w:sz="4" w:space="0"/>
            </w:tcBorders>
            <w:shd w:val="clear" w:color="auto" w:fill="FFFFFF"/>
            <w:vAlign w:val="center"/>
          </w:tcPr>
          <w:p>
            <w:pPr>
              <w:jc w:val="right"/>
              <w:rPr>
                <w:color w:val="000000"/>
                <w:sz w:val="16"/>
                <w:szCs w:val="16"/>
              </w:rPr>
            </w:pP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shd w:val="clear" w:color="auto" w:fill="C0C0C0"/>
            <w:vAlign w:val="center"/>
          </w:tcPr>
          <w:p>
            <w:pPr>
              <w:jc w:val="center"/>
              <w:textAlignment w:val="center"/>
              <w:rPr>
                <w:b/>
                <w:bCs/>
                <w:color w:val="000000"/>
                <w:sz w:val="16"/>
                <w:szCs w:val="16"/>
              </w:rPr>
            </w:pPr>
            <w:r>
              <w:rPr>
                <w:rFonts w:hint="eastAsia"/>
                <w:b/>
                <w:bCs/>
                <w:color w:val="000000"/>
                <w:sz w:val="16"/>
                <w:szCs w:val="16"/>
              </w:rPr>
              <w:t>总计</w:t>
            </w:r>
          </w:p>
        </w:tc>
        <w:tc>
          <w:tcPr>
            <w:tcW w:w="1170"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269.81</w:t>
            </w:r>
          </w:p>
        </w:tc>
        <w:tc>
          <w:tcPr>
            <w:tcW w:w="1592" w:type="dxa"/>
            <w:tcBorders>
              <w:bottom w:val="single" w:color="000000" w:sz="4" w:space="0"/>
              <w:right w:val="single" w:color="000000" w:sz="4" w:space="0"/>
            </w:tcBorders>
            <w:shd w:val="clear" w:color="auto" w:fill="C0C0C0"/>
            <w:vAlign w:val="center"/>
          </w:tcPr>
          <w:p>
            <w:pPr>
              <w:jc w:val="center"/>
              <w:textAlignment w:val="center"/>
              <w:rPr>
                <w:b/>
                <w:bCs/>
                <w:color w:val="000000"/>
                <w:sz w:val="16"/>
                <w:szCs w:val="16"/>
              </w:rPr>
            </w:pPr>
            <w:r>
              <w:rPr>
                <w:rFonts w:hint="eastAsia"/>
                <w:b/>
                <w:bCs/>
                <w:color w:val="000000"/>
                <w:sz w:val="16"/>
                <w:szCs w:val="16"/>
              </w:rPr>
              <w:t>总计</w:t>
            </w:r>
          </w:p>
        </w:tc>
        <w:tc>
          <w:tcPr>
            <w:tcW w:w="1048"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269.81</w:t>
            </w:r>
          </w:p>
        </w:tc>
        <w:tc>
          <w:tcPr>
            <w:tcW w:w="840" w:type="dxa"/>
            <w:gridSpan w:val="2"/>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269.81</w:t>
            </w:r>
          </w:p>
        </w:tc>
        <w:tc>
          <w:tcPr>
            <w:tcW w:w="90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c>
          <w:tcPr>
            <w:tcW w:w="655" w:type="dxa"/>
            <w:tcBorders>
              <w:bottom w:val="single" w:color="000000" w:sz="4" w:space="0"/>
              <w:right w:val="single" w:color="000000" w:sz="4" w:space="0"/>
            </w:tcBorders>
            <w:shd w:val="clear" w:color="auto" w:fill="FFFFFF"/>
            <w:vAlign w:val="center"/>
          </w:tcPr>
          <w:p>
            <w:pPr>
              <w:jc w:val="righ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00" w:hRule="atLeast"/>
        </w:trPr>
        <w:tc>
          <w:tcPr>
            <w:tcW w:w="7900" w:type="dxa"/>
            <w:gridSpan w:val="8"/>
            <w:shd w:val="clear" w:color="auto" w:fill="FFFFFF"/>
            <w:vAlign w:val="center"/>
          </w:tcPr>
          <w:p>
            <w:pPr>
              <w:rPr>
                <w:color w:val="000000"/>
                <w:sz w:val="16"/>
                <w:szCs w:val="16"/>
              </w:rPr>
            </w:pPr>
            <w:r>
              <w:rPr>
                <w:rFonts w:hint="eastAsia"/>
                <w:color w:val="000000"/>
                <w:sz w:val="16"/>
                <w:szCs w:val="16"/>
              </w:rPr>
              <w:t>备注：本表反映部门本年度一般公共预算财政拨款和政府性基金预算财政拨款的总收支和年末结转结余情况。</w:t>
            </w:r>
          </w:p>
        </w:tc>
      </w:tr>
    </w:tbl>
    <w:p>
      <w:pPr>
        <w:pStyle w:val="25"/>
        <w:autoSpaceDE w:val="0"/>
        <w:spacing w:before="0" w:beforeAutospacing="0" w:after="0" w:afterAutospacing="0" w:line="240" w:lineRule="atLeast"/>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 xml:space="preserve"> </w:t>
      </w:r>
    </w:p>
    <w:p>
      <w:pPr>
        <w:pStyle w:val="25"/>
        <w:autoSpaceDE w:val="0"/>
        <w:spacing w:before="0" w:beforeAutospacing="0" w:after="0" w:afterAutospacing="0" w:line="240" w:lineRule="atLeast"/>
        <w:rPr>
          <w:rFonts w:ascii="Times New Roman" w:hAnsi="Times New Roman" w:eastAsia="仿宋" w:cs="Times New Roman"/>
          <w:sz w:val="32"/>
          <w:szCs w:val="32"/>
          <w:shd w:val="clear" w:color="auto" w:fill="FFFFFF"/>
        </w:rPr>
      </w:pPr>
    </w:p>
    <w:tbl>
      <w:tblPr>
        <w:tblStyle w:val="13"/>
        <w:tblW w:w="8145" w:type="dxa"/>
        <w:tblInd w:w="328" w:type="dxa"/>
        <w:tblLayout w:type="fixed"/>
        <w:tblCellMar>
          <w:top w:w="15" w:type="dxa"/>
          <w:left w:w="15" w:type="dxa"/>
          <w:bottom w:w="15" w:type="dxa"/>
          <w:right w:w="15" w:type="dxa"/>
        </w:tblCellMar>
      </w:tblPr>
      <w:tblGrid>
        <w:gridCol w:w="900"/>
        <w:gridCol w:w="1710"/>
        <w:gridCol w:w="900"/>
        <w:gridCol w:w="855"/>
        <w:gridCol w:w="960"/>
        <w:gridCol w:w="1020"/>
        <w:gridCol w:w="870"/>
        <w:gridCol w:w="930"/>
      </w:tblGrid>
      <w:tr>
        <w:tblPrEx>
          <w:tblCellMar>
            <w:top w:w="15" w:type="dxa"/>
            <w:left w:w="15" w:type="dxa"/>
            <w:bottom w:w="15" w:type="dxa"/>
            <w:right w:w="15" w:type="dxa"/>
          </w:tblCellMar>
        </w:tblPrEx>
        <w:trPr>
          <w:trHeight w:val="576" w:hRule="atLeast"/>
        </w:trPr>
        <w:tc>
          <w:tcPr>
            <w:tcW w:w="8145" w:type="dxa"/>
            <w:gridSpan w:val="8"/>
            <w:tcBorders>
              <w:top w:val="nil"/>
              <w:left w:val="nil"/>
              <w:bottom w:val="nil"/>
              <w:right w:val="single" w:color="808080" w:sz="4" w:space="0"/>
            </w:tcBorders>
            <w:shd w:val="clear" w:color="auto" w:fill="FFFFFF"/>
            <w:vAlign w:val="center"/>
          </w:tcPr>
          <w:p>
            <w:pPr>
              <w:autoSpaceDE w:val="0"/>
              <w:spacing w:line="240" w:lineRule="atLeast"/>
              <w:jc w:val="center"/>
              <w:rPr>
                <w:color w:val="000000"/>
                <w:sz w:val="16"/>
                <w:szCs w:val="16"/>
              </w:rPr>
            </w:pPr>
            <w:r>
              <w:rPr>
                <w:rFonts w:hint="eastAsia" w:ascii="方正仿宋_GBK" w:eastAsia="方正仿宋_GBK"/>
                <w:color w:val="000000"/>
                <w:sz w:val="32"/>
                <w:szCs w:val="32"/>
              </w:rPr>
              <w:t>一般公共预算财政拨款收入支出决算表</w:t>
            </w:r>
          </w:p>
        </w:tc>
      </w:tr>
      <w:tr>
        <w:tblPrEx>
          <w:tblCellMar>
            <w:top w:w="15" w:type="dxa"/>
            <w:left w:w="15" w:type="dxa"/>
            <w:bottom w:w="15" w:type="dxa"/>
            <w:right w:w="15" w:type="dxa"/>
          </w:tblCellMar>
        </w:tblPrEx>
        <w:trPr>
          <w:trHeight w:val="375" w:hRule="atLeast"/>
        </w:trPr>
        <w:tc>
          <w:tcPr>
            <w:tcW w:w="8145" w:type="dxa"/>
            <w:gridSpan w:val="8"/>
            <w:tcBorders>
              <w:top w:val="nil"/>
              <w:left w:val="nil"/>
              <w:bottom w:val="nil"/>
              <w:right w:val="single" w:color="808080" w:sz="4" w:space="0"/>
            </w:tcBorders>
            <w:shd w:val="clear" w:color="auto" w:fill="FFFFFF"/>
            <w:vAlign w:val="center"/>
          </w:tcPr>
          <w:p>
            <w:pPr>
              <w:autoSpaceDE w:val="0"/>
              <w:spacing w:line="240" w:lineRule="atLeast"/>
              <w:jc w:val="right"/>
              <w:textAlignment w:val="center"/>
              <w:rPr>
                <w:color w:val="000000"/>
                <w:sz w:val="16"/>
                <w:szCs w:val="16"/>
              </w:rPr>
            </w:pPr>
            <w:r>
              <w:rPr>
                <w:rFonts w:hint="eastAsia"/>
                <w:color w:val="000000"/>
                <w:sz w:val="16"/>
                <w:szCs w:val="16"/>
              </w:rPr>
              <w:t>公开05表</w:t>
            </w:r>
          </w:p>
        </w:tc>
      </w:tr>
      <w:tr>
        <w:tblPrEx>
          <w:tblCellMar>
            <w:top w:w="15" w:type="dxa"/>
            <w:left w:w="15" w:type="dxa"/>
            <w:bottom w:w="15" w:type="dxa"/>
            <w:right w:w="15" w:type="dxa"/>
          </w:tblCellMar>
        </w:tblPrEx>
        <w:trPr>
          <w:trHeight w:val="375" w:hRule="atLeast"/>
        </w:trPr>
        <w:tc>
          <w:tcPr>
            <w:tcW w:w="8145" w:type="dxa"/>
            <w:gridSpan w:val="8"/>
            <w:tcBorders>
              <w:top w:val="nil"/>
              <w:left w:val="nil"/>
              <w:bottom w:val="single" w:color="auto" w:sz="4" w:space="0"/>
              <w:right w:val="single" w:color="80808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公开部门：重庆市垫江县交通建设工程服务中心               2020年度                         单位：万元</w:t>
            </w:r>
          </w:p>
        </w:tc>
      </w:tr>
      <w:tr>
        <w:tblPrEx>
          <w:tblCellMar>
            <w:top w:w="15" w:type="dxa"/>
            <w:left w:w="15" w:type="dxa"/>
            <w:bottom w:w="15" w:type="dxa"/>
            <w:right w:w="15" w:type="dxa"/>
          </w:tblCellMar>
        </w:tblPrEx>
        <w:trPr>
          <w:trHeight w:val="375" w:hRule="atLeast"/>
        </w:trPr>
        <w:tc>
          <w:tcPr>
            <w:tcW w:w="2610"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项目</w:t>
            </w:r>
          </w:p>
        </w:tc>
        <w:tc>
          <w:tcPr>
            <w:tcW w:w="900" w:type="dxa"/>
            <w:vMerge w:val="restart"/>
            <w:tcBorders>
              <w:top w:val="single" w:color="auto" w:sz="4" w:space="0"/>
              <w:left w:val="nil"/>
              <w:bottom w:val="single" w:color="auto" w:sz="4" w:space="0"/>
              <w:right w:val="single" w:color="auto"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年初结转结余</w:t>
            </w:r>
          </w:p>
        </w:tc>
        <w:tc>
          <w:tcPr>
            <w:tcW w:w="855" w:type="dxa"/>
            <w:vMerge w:val="restart"/>
            <w:tcBorders>
              <w:top w:val="single" w:color="auto" w:sz="4" w:space="0"/>
              <w:left w:val="nil"/>
              <w:bottom w:val="single" w:color="auto" w:sz="4" w:space="0"/>
              <w:right w:val="single" w:color="auto"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本年收入</w:t>
            </w:r>
          </w:p>
        </w:tc>
        <w:tc>
          <w:tcPr>
            <w:tcW w:w="2850" w:type="dxa"/>
            <w:gridSpan w:val="3"/>
            <w:tcBorders>
              <w:top w:val="single" w:color="auto" w:sz="4" w:space="0"/>
              <w:left w:val="nil"/>
              <w:bottom w:val="nil"/>
              <w:right w:val="single" w:color="auto" w:sz="4" w:space="0"/>
            </w:tcBorders>
            <w:shd w:val="clear" w:color="auto" w:fill="C0C0C0"/>
            <w:vAlign w:val="center"/>
          </w:tcPr>
          <w:p>
            <w:pPr>
              <w:autoSpaceDE w:val="0"/>
              <w:spacing w:line="240" w:lineRule="atLeast"/>
              <w:jc w:val="center"/>
              <w:textAlignment w:val="center"/>
              <w:rPr>
                <w:b/>
                <w:bCs/>
                <w:color w:val="000000"/>
                <w:sz w:val="16"/>
                <w:szCs w:val="16"/>
              </w:rPr>
            </w:pPr>
            <w:r>
              <w:rPr>
                <w:rFonts w:hint="eastAsia"/>
                <w:b/>
                <w:bCs/>
                <w:color w:val="000000"/>
                <w:sz w:val="16"/>
                <w:szCs w:val="16"/>
              </w:rPr>
              <w:t>本年支出</w:t>
            </w:r>
          </w:p>
        </w:tc>
        <w:tc>
          <w:tcPr>
            <w:tcW w:w="930" w:type="dxa"/>
            <w:vMerge w:val="restart"/>
            <w:tcBorders>
              <w:top w:val="single" w:color="auto" w:sz="4" w:space="0"/>
              <w:left w:val="nil"/>
              <w:bottom w:val="single" w:color="auto" w:sz="4" w:space="0"/>
              <w:right w:val="single" w:color="auto"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年末结转和结余</w:t>
            </w:r>
          </w:p>
        </w:tc>
      </w:tr>
      <w:tr>
        <w:tblPrEx>
          <w:tblCellMar>
            <w:top w:w="15" w:type="dxa"/>
            <w:left w:w="15" w:type="dxa"/>
            <w:bottom w:w="15" w:type="dxa"/>
            <w:right w:w="15" w:type="dxa"/>
          </w:tblCellMar>
        </w:tblPrEx>
        <w:trPr>
          <w:trHeight w:val="300" w:hRule="atLeast"/>
        </w:trPr>
        <w:tc>
          <w:tcPr>
            <w:tcW w:w="900" w:type="dxa"/>
            <w:vMerge w:val="restart"/>
            <w:tcBorders>
              <w:top w:val="nil"/>
              <w:left w:val="single" w:color="000000" w:sz="4" w:space="0"/>
              <w:bottom w:val="single" w:color="auto"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功能分类科目编码</w:t>
            </w:r>
          </w:p>
        </w:tc>
        <w:tc>
          <w:tcPr>
            <w:tcW w:w="1710" w:type="dxa"/>
            <w:vMerge w:val="restart"/>
            <w:tcBorders>
              <w:top w:val="nil"/>
              <w:left w:val="nil"/>
              <w:bottom w:val="single" w:color="auto"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项目（按“项”级功能分类科目）</w:t>
            </w:r>
          </w:p>
        </w:tc>
        <w:tc>
          <w:tcPr>
            <w:tcW w:w="900" w:type="dxa"/>
            <w:vMerge w:val="continue"/>
            <w:tcBorders>
              <w:top w:val="single" w:color="auto" w:sz="4" w:space="0"/>
              <w:left w:val="nil"/>
              <w:bottom w:val="single" w:color="auto" w:sz="4" w:space="0"/>
              <w:right w:val="single" w:color="auto" w:sz="4" w:space="0"/>
            </w:tcBorders>
            <w:vAlign w:val="center"/>
          </w:tcPr>
          <w:p>
            <w:pPr>
              <w:rPr>
                <w:b/>
                <w:bCs/>
                <w:color w:val="000000"/>
                <w:sz w:val="16"/>
                <w:szCs w:val="16"/>
              </w:rPr>
            </w:pPr>
          </w:p>
        </w:tc>
        <w:tc>
          <w:tcPr>
            <w:tcW w:w="855" w:type="dxa"/>
            <w:vMerge w:val="continue"/>
            <w:tcBorders>
              <w:top w:val="single" w:color="auto" w:sz="4" w:space="0"/>
              <w:left w:val="nil"/>
              <w:bottom w:val="single" w:color="auto" w:sz="4" w:space="0"/>
              <w:right w:val="single" w:color="auto" w:sz="4" w:space="0"/>
            </w:tcBorders>
            <w:vAlign w:val="center"/>
          </w:tcPr>
          <w:p>
            <w:pPr>
              <w:rPr>
                <w:b/>
                <w:bCs/>
                <w:color w:val="000000"/>
                <w:sz w:val="16"/>
                <w:szCs w:val="16"/>
              </w:rPr>
            </w:pPr>
          </w:p>
        </w:tc>
        <w:tc>
          <w:tcPr>
            <w:tcW w:w="960" w:type="dxa"/>
            <w:vMerge w:val="restart"/>
            <w:tcBorders>
              <w:top w:val="nil"/>
              <w:left w:val="nil"/>
              <w:bottom w:val="single" w:color="auto"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合计</w:t>
            </w:r>
          </w:p>
        </w:tc>
        <w:tc>
          <w:tcPr>
            <w:tcW w:w="1020" w:type="dxa"/>
            <w:vMerge w:val="restart"/>
            <w:tcBorders>
              <w:top w:val="single" w:color="auto" w:sz="4" w:space="0"/>
              <w:left w:val="nil"/>
              <w:bottom w:val="single" w:color="auto"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基本支出</w:t>
            </w:r>
          </w:p>
        </w:tc>
        <w:tc>
          <w:tcPr>
            <w:tcW w:w="870" w:type="dxa"/>
            <w:vMerge w:val="restart"/>
            <w:tcBorders>
              <w:top w:val="single" w:color="auto" w:sz="4" w:space="0"/>
              <w:left w:val="nil"/>
              <w:bottom w:val="single" w:color="auto"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项目支出</w:t>
            </w:r>
          </w:p>
        </w:tc>
        <w:tc>
          <w:tcPr>
            <w:tcW w:w="930" w:type="dxa"/>
            <w:vMerge w:val="continue"/>
            <w:tcBorders>
              <w:top w:val="single" w:color="auto" w:sz="4" w:space="0"/>
              <w:left w:val="nil"/>
              <w:bottom w:val="single" w:color="auto" w:sz="4" w:space="0"/>
              <w:right w:val="single" w:color="auto" w:sz="4" w:space="0"/>
            </w:tcBorders>
            <w:vAlign w:val="center"/>
          </w:tcPr>
          <w:p>
            <w:pPr>
              <w:rPr>
                <w:b/>
                <w:bCs/>
                <w:color w:val="000000"/>
                <w:sz w:val="16"/>
                <w:szCs w:val="16"/>
              </w:rPr>
            </w:pPr>
          </w:p>
        </w:tc>
      </w:tr>
      <w:tr>
        <w:tblPrEx>
          <w:tblCellMar>
            <w:top w:w="15" w:type="dxa"/>
            <w:left w:w="15" w:type="dxa"/>
            <w:bottom w:w="15" w:type="dxa"/>
            <w:right w:w="15" w:type="dxa"/>
          </w:tblCellMar>
        </w:tblPrEx>
        <w:trPr>
          <w:trHeight w:val="612" w:hRule="atLeast"/>
        </w:trPr>
        <w:tc>
          <w:tcPr>
            <w:tcW w:w="8145" w:type="dxa"/>
            <w:vMerge w:val="continue"/>
            <w:tcBorders>
              <w:top w:val="nil"/>
              <w:left w:val="single" w:color="000000" w:sz="4" w:space="0"/>
              <w:bottom w:val="single" w:color="auto" w:sz="4" w:space="0"/>
              <w:right w:val="single" w:color="000000" w:sz="4" w:space="0"/>
            </w:tcBorders>
            <w:vAlign w:val="center"/>
          </w:tcPr>
          <w:p>
            <w:pPr>
              <w:rPr>
                <w:b/>
                <w:bCs/>
                <w:color w:val="000000"/>
                <w:sz w:val="16"/>
                <w:szCs w:val="16"/>
              </w:rPr>
            </w:pPr>
          </w:p>
        </w:tc>
        <w:tc>
          <w:tcPr>
            <w:tcW w:w="1710" w:type="dxa"/>
            <w:vMerge w:val="continue"/>
            <w:tcBorders>
              <w:top w:val="nil"/>
              <w:left w:val="nil"/>
              <w:bottom w:val="single" w:color="auto" w:sz="4" w:space="0"/>
              <w:right w:val="single" w:color="000000" w:sz="4" w:space="0"/>
            </w:tcBorders>
            <w:vAlign w:val="center"/>
          </w:tcPr>
          <w:p>
            <w:pPr>
              <w:rPr>
                <w:b/>
                <w:bCs/>
                <w:color w:val="000000"/>
                <w:sz w:val="16"/>
                <w:szCs w:val="16"/>
              </w:rPr>
            </w:pPr>
          </w:p>
        </w:tc>
        <w:tc>
          <w:tcPr>
            <w:tcW w:w="900" w:type="dxa"/>
            <w:vMerge w:val="continue"/>
            <w:tcBorders>
              <w:top w:val="single" w:color="auto" w:sz="4" w:space="0"/>
              <w:left w:val="nil"/>
              <w:bottom w:val="single" w:color="auto" w:sz="4" w:space="0"/>
              <w:right w:val="single" w:color="auto" w:sz="4" w:space="0"/>
            </w:tcBorders>
            <w:vAlign w:val="center"/>
          </w:tcPr>
          <w:p>
            <w:pPr>
              <w:rPr>
                <w:b/>
                <w:bCs/>
                <w:color w:val="000000"/>
                <w:sz w:val="16"/>
                <w:szCs w:val="16"/>
              </w:rPr>
            </w:pPr>
          </w:p>
        </w:tc>
        <w:tc>
          <w:tcPr>
            <w:tcW w:w="855" w:type="dxa"/>
            <w:vMerge w:val="continue"/>
            <w:tcBorders>
              <w:top w:val="single" w:color="auto" w:sz="4" w:space="0"/>
              <w:left w:val="nil"/>
              <w:bottom w:val="single" w:color="auto" w:sz="4" w:space="0"/>
              <w:right w:val="single" w:color="auto" w:sz="4" w:space="0"/>
            </w:tcBorders>
            <w:vAlign w:val="center"/>
          </w:tcPr>
          <w:p>
            <w:pPr>
              <w:rPr>
                <w:b/>
                <w:bCs/>
                <w:color w:val="000000"/>
                <w:sz w:val="16"/>
                <w:szCs w:val="16"/>
              </w:rPr>
            </w:pPr>
          </w:p>
        </w:tc>
        <w:tc>
          <w:tcPr>
            <w:tcW w:w="2850" w:type="dxa"/>
            <w:vMerge w:val="continue"/>
            <w:tcBorders>
              <w:top w:val="nil"/>
              <w:left w:val="nil"/>
              <w:bottom w:val="single" w:color="auto" w:sz="4" w:space="0"/>
              <w:right w:val="single" w:color="000000" w:sz="4" w:space="0"/>
            </w:tcBorders>
            <w:vAlign w:val="center"/>
          </w:tcPr>
          <w:p>
            <w:pPr>
              <w:rPr>
                <w:b/>
                <w:bCs/>
                <w:color w:val="000000"/>
                <w:sz w:val="16"/>
                <w:szCs w:val="16"/>
              </w:rPr>
            </w:pPr>
          </w:p>
        </w:tc>
        <w:tc>
          <w:tcPr>
            <w:tcW w:w="1020" w:type="dxa"/>
            <w:vMerge w:val="continue"/>
            <w:tcBorders>
              <w:top w:val="single" w:color="auto" w:sz="4" w:space="0"/>
              <w:left w:val="nil"/>
              <w:bottom w:val="single" w:color="auto" w:sz="4" w:space="0"/>
              <w:right w:val="single" w:color="000000" w:sz="4" w:space="0"/>
            </w:tcBorders>
            <w:vAlign w:val="center"/>
          </w:tcPr>
          <w:p>
            <w:pPr>
              <w:rPr>
                <w:b/>
                <w:bCs/>
                <w:color w:val="000000"/>
                <w:sz w:val="16"/>
                <w:szCs w:val="16"/>
              </w:rPr>
            </w:pPr>
          </w:p>
        </w:tc>
        <w:tc>
          <w:tcPr>
            <w:tcW w:w="870" w:type="dxa"/>
            <w:vMerge w:val="continue"/>
            <w:tcBorders>
              <w:top w:val="single" w:color="auto" w:sz="4" w:space="0"/>
              <w:left w:val="nil"/>
              <w:bottom w:val="single" w:color="auto" w:sz="4" w:space="0"/>
              <w:right w:val="single" w:color="000000" w:sz="4" w:space="0"/>
            </w:tcBorders>
            <w:vAlign w:val="center"/>
          </w:tcPr>
          <w:p>
            <w:pPr>
              <w:rPr>
                <w:b/>
                <w:bCs/>
                <w:color w:val="000000"/>
                <w:sz w:val="16"/>
                <w:szCs w:val="16"/>
              </w:rPr>
            </w:pPr>
          </w:p>
        </w:tc>
        <w:tc>
          <w:tcPr>
            <w:tcW w:w="930" w:type="dxa"/>
            <w:vMerge w:val="continue"/>
            <w:tcBorders>
              <w:top w:val="single" w:color="auto" w:sz="4" w:space="0"/>
              <w:left w:val="nil"/>
              <w:bottom w:val="single" w:color="auto" w:sz="4" w:space="0"/>
              <w:right w:val="single" w:color="auto" w:sz="4" w:space="0"/>
            </w:tcBorders>
            <w:vAlign w:val="center"/>
          </w:tcPr>
          <w:p>
            <w:pPr>
              <w:rPr>
                <w:b/>
                <w:bCs/>
                <w:color w:val="000000"/>
                <w:sz w:val="16"/>
                <w:szCs w:val="16"/>
              </w:rPr>
            </w:pPr>
          </w:p>
        </w:tc>
      </w:tr>
      <w:tr>
        <w:tblPrEx>
          <w:tblCellMar>
            <w:top w:w="15" w:type="dxa"/>
            <w:left w:w="15" w:type="dxa"/>
            <w:bottom w:w="15" w:type="dxa"/>
            <w:right w:w="15" w:type="dxa"/>
          </w:tblCellMar>
        </w:tblPrEx>
        <w:trPr>
          <w:trHeight w:val="300" w:hRule="atLeast"/>
        </w:trPr>
        <w:tc>
          <w:tcPr>
            <w:tcW w:w="8145" w:type="dxa"/>
            <w:vMerge w:val="continue"/>
            <w:tcBorders>
              <w:top w:val="nil"/>
              <w:left w:val="single" w:color="000000" w:sz="4" w:space="0"/>
              <w:bottom w:val="single" w:color="auto" w:sz="4" w:space="0"/>
              <w:right w:val="single" w:color="000000" w:sz="4" w:space="0"/>
            </w:tcBorders>
            <w:vAlign w:val="center"/>
          </w:tcPr>
          <w:p>
            <w:pPr>
              <w:rPr>
                <w:b/>
                <w:bCs/>
                <w:color w:val="000000"/>
                <w:sz w:val="16"/>
                <w:szCs w:val="16"/>
              </w:rPr>
            </w:pPr>
          </w:p>
        </w:tc>
        <w:tc>
          <w:tcPr>
            <w:tcW w:w="1710" w:type="dxa"/>
            <w:vMerge w:val="continue"/>
            <w:tcBorders>
              <w:top w:val="nil"/>
              <w:left w:val="nil"/>
              <w:bottom w:val="single" w:color="auto" w:sz="4" w:space="0"/>
              <w:right w:val="single" w:color="000000" w:sz="4" w:space="0"/>
            </w:tcBorders>
            <w:vAlign w:val="center"/>
          </w:tcPr>
          <w:p>
            <w:pPr>
              <w:rPr>
                <w:b/>
                <w:bCs/>
                <w:color w:val="000000"/>
                <w:sz w:val="16"/>
                <w:szCs w:val="16"/>
              </w:rPr>
            </w:pPr>
          </w:p>
        </w:tc>
        <w:tc>
          <w:tcPr>
            <w:tcW w:w="900" w:type="dxa"/>
            <w:vMerge w:val="continue"/>
            <w:tcBorders>
              <w:top w:val="single" w:color="auto" w:sz="4" w:space="0"/>
              <w:left w:val="nil"/>
              <w:bottom w:val="single" w:color="auto" w:sz="4" w:space="0"/>
              <w:right w:val="single" w:color="auto" w:sz="4" w:space="0"/>
            </w:tcBorders>
            <w:vAlign w:val="center"/>
          </w:tcPr>
          <w:p>
            <w:pPr>
              <w:rPr>
                <w:b/>
                <w:bCs/>
                <w:color w:val="000000"/>
                <w:sz w:val="16"/>
                <w:szCs w:val="16"/>
              </w:rPr>
            </w:pPr>
          </w:p>
        </w:tc>
        <w:tc>
          <w:tcPr>
            <w:tcW w:w="855" w:type="dxa"/>
            <w:vMerge w:val="continue"/>
            <w:tcBorders>
              <w:top w:val="single" w:color="auto" w:sz="4" w:space="0"/>
              <w:left w:val="nil"/>
              <w:bottom w:val="single" w:color="auto" w:sz="4" w:space="0"/>
              <w:right w:val="single" w:color="auto" w:sz="4" w:space="0"/>
            </w:tcBorders>
            <w:vAlign w:val="center"/>
          </w:tcPr>
          <w:p>
            <w:pPr>
              <w:rPr>
                <w:b/>
                <w:bCs/>
                <w:color w:val="000000"/>
                <w:sz w:val="16"/>
                <w:szCs w:val="16"/>
              </w:rPr>
            </w:pPr>
          </w:p>
        </w:tc>
        <w:tc>
          <w:tcPr>
            <w:tcW w:w="2850" w:type="dxa"/>
            <w:vMerge w:val="continue"/>
            <w:tcBorders>
              <w:top w:val="nil"/>
              <w:left w:val="nil"/>
              <w:bottom w:val="single" w:color="auto" w:sz="4" w:space="0"/>
              <w:right w:val="single" w:color="000000" w:sz="4" w:space="0"/>
            </w:tcBorders>
            <w:vAlign w:val="center"/>
          </w:tcPr>
          <w:p>
            <w:pPr>
              <w:rPr>
                <w:b/>
                <w:bCs/>
                <w:color w:val="000000"/>
                <w:sz w:val="16"/>
                <w:szCs w:val="16"/>
              </w:rPr>
            </w:pPr>
          </w:p>
        </w:tc>
        <w:tc>
          <w:tcPr>
            <w:tcW w:w="1020" w:type="dxa"/>
            <w:vMerge w:val="continue"/>
            <w:tcBorders>
              <w:top w:val="single" w:color="auto" w:sz="4" w:space="0"/>
              <w:left w:val="nil"/>
              <w:bottom w:val="single" w:color="auto" w:sz="4" w:space="0"/>
              <w:right w:val="single" w:color="000000" w:sz="4" w:space="0"/>
            </w:tcBorders>
            <w:vAlign w:val="center"/>
          </w:tcPr>
          <w:p>
            <w:pPr>
              <w:rPr>
                <w:b/>
                <w:bCs/>
                <w:color w:val="000000"/>
                <w:sz w:val="16"/>
                <w:szCs w:val="16"/>
              </w:rPr>
            </w:pPr>
          </w:p>
        </w:tc>
        <w:tc>
          <w:tcPr>
            <w:tcW w:w="870" w:type="dxa"/>
            <w:vMerge w:val="continue"/>
            <w:tcBorders>
              <w:top w:val="single" w:color="auto" w:sz="4" w:space="0"/>
              <w:left w:val="nil"/>
              <w:bottom w:val="single" w:color="auto" w:sz="4" w:space="0"/>
              <w:right w:val="single" w:color="000000" w:sz="4" w:space="0"/>
            </w:tcBorders>
            <w:vAlign w:val="center"/>
          </w:tcPr>
          <w:p>
            <w:pPr>
              <w:rPr>
                <w:b/>
                <w:bCs/>
                <w:color w:val="000000"/>
                <w:sz w:val="16"/>
                <w:szCs w:val="16"/>
              </w:rPr>
            </w:pPr>
          </w:p>
        </w:tc>
        <w:tc>
          <w:tcPr>
            <w:tcW w:w="930" w:type="dxa"/>
            <w:vMerge w:val="continue"/>
            <w:tcBorders>
              <w:top w:val="single" w:color="auto" w:sz="4" w:space="0"/>
              <w:left w:val="nil"/>
              <w:bottom w:val="single" w:color="auto" w:sz="4" w:space="0"/>
              <w:right w:val="single" w:color="auto" w:sz="4" w:space="0"/>
            </w:tcBorders>
            <w:vAlign w:val="center"/>
          </w:tcPr>
          <w:p>
            <w:pPr>
              <w:rPr>
                <w:b/>
                <w:bCs/>
                <w:color w:val="000000"/>
                <w:sz w:val="16"/>
                <w:szCs w:val="16"/>
              </w:rPr>
            </w:pPr>
          </w:p>
        </w:tc>
      </w:tr>
      <w:tr>
        <w:tblPrEx>
          <w:tblCellMar>
            <w:top w:w="15" w:type="dxa"/>
            <w:left w:w="15" w:type="dxa"/>
            <w:bottom w:w="15" w:type="dxa"/>
            <w:right w:w="15" w:type="dxa"/>
          </w:tblCellMar>
        </w:tblPrEx>
        <w:trPr>
          <w:trHeight w:val="375" w:hRule="atLeast"/>
        </w:trPr>
        <w:tc>
          <w:tcPr>
            <w:tcW w:w="2610" w:type="dxa"/>
            <w:gridSpan w:val="2"/>
            <w:tcBorders>
              <w:top w:val="single" w:color="auto" w:sz="4" w:space="0"/>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合计</w:t>
            </w:r>
          </w:p>
        </w:tc>
        <w:tc>
          <w:tcPr>
            <w:tcW w:w="900" w:type="dxa"/>
            <w:tcBorders>
              <w:top w:val="single" w:color="auto" w:sz="4" w:space="0"/>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28.56</w:t>
            </w:r>
          </w:p>
        </w:tc>
        <w:tc>
          <w:tcPr>
            <w:tcW w:w="855" w:type="dxa"/>
            <w:tcBorders>
              <w:top w:val="single" w:color="auto" w:sz="4" w:space="0"/>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241.25</w:t>
            </w:r>
          </w:p>
        </w:tc>
        <w:tc>
          <w:tcPr>
            <w:tcW w:w="960" w:type="dxa"/>
            <w:tcBorders>
              <w:top w:val="single" w:color="auto" w:sz="4" w:space="0"/>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268.59</w:t>
            </w:r>
          </w:p>
        </w:tc>
        <w:tc>
          <w:tcPr>
            <w:tcW w:w="1020" w:type="dxa"/>
            <w:tcBorders>
              <w:top w:val="single" w:color="auto" w:sz="4" w:space="0"/>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268.59</w:t>
            </w:r>
          </w:p>
        </w:tc>
        <w:tc>
          <w:tcPr>
            <w:tcW w:w="870" w:type="dxa"/>
            <w:tcBorders>
              <w:top w:val="single" w:color="auto" w:sz="4" w:space="0"/>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930" w:type="dxa"/>
            <w:tcBorders>
              <w:top w:val="single" w:color="auto" w:sz="4" w:space="0"/>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1.22</w:t>
            </w:r>
          </w:p>
        </w:tc>
      </w:tr>
      <w:tr>
        <w:tblPrEx>
          <w:tblCellMar>
            <w:top w:w="15" w:type="dxa"/>
            <w:left w:w="15" w:type="dxa"/>
            <w:bottom w:w="15" w:type="dxa"/>
            <w:right w:w="15" w:type="dxa"/>
          </w:tblCellMar>
        </w:tblPrEx>
        <w:trPr>
          <w:trHeight w:val="375" w:hRule="atLeast"/>
        </w:trPr>
        <w:tc>
          <w:tcPr>
            <w:tcW w:w="90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205</w:t>
            </w:r>
          </w:p>
        </w:tc>
        <w:tc>
          <w:tcPr>
            <w:tcW w:w="17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教育支出</w:t>
            </w:r>
          </w:p>
        </w:tc>
        <w:tc>
          <w:tcPr>
            <w:tcW w:w="90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0.00</w:t>
            </w:r>
          </w:p>
        </w:tc>
        <w:tc>
          <w:tcPr>
            <w:tcW w:w="85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0.72</w:t>
            </w:r>
          </w:p>
        </w:tc>
        <w:tc>
          <w:tcPr>
            <w:tcW w:w="9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0.72</w:t>
            </w:r>
          </w:p>
        </w:tc>
        <w:tc>
          <w:tcPr>
            <w:tcW w:w="10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0.72</w:t>
            </w:r>
          </w:p>
        </w:tc>
        <w:tc>
          <w:tcPr>
            <w:tcW w:w="87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0.00</w:t>
            </w:r>
          </w:p>
        </w:tc>
        <w:tc>
          <w:tcPr>
            <w:tcW w:w="93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0.00</w:t>
            </w:r>
          </w:p>
        </w:tc>
      </w:tr>
      <w:tr>
        <w:tblPrEx>
          <w:tblCellMar>
            <w:top w:w="15" w:type="dxa"/>
            <w:left w:w="15" w:type="dxa"/>
            <w:bottom w:w="15" w:type="dxa"/>
            <w:right w:w="15" w:type="dxa"/>
          </w:tblCellMar>
        </w:tblPrEx>
        <w:trPr>
          <w:trHeight w:val="375" w:hRule="atLeast"/>
        </w:trPr>
        <w:tc>
          <w:tcPr>
            <w:tcW w:w="90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20508</w:t>
            </w:r>
          </w:p>
        </w:tc>
        <w:tc>
          <w:tcPr>
            <w:tcW w:w="17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进修及培训</w:t>
            </w:r>
          </w:p>
        </w:tc>
        <w:tc>
          <w:tcPr>
            <w:tcW w:w="90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0.00</w:t>
            </w:r>
          </w:p>
        </w:tc>
        <w:tc>
          <w:tcPr>
            <w:tcW w:w="85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0.72</w:t>
            </w:r>
          </w:p>
        </w:tc>
        <w:tc>
          <w:tcPr>
            <w:tcW w:w="9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0.72</w:t>
            </w:r>
          </w:p>
        </w:tc>
        <w:tc>
          <w:tcPr>
            <w:tcW w:w="10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0.72</w:t>
            </w:r>
          </w:p>
        </w:tc>
        <w:tc>
          <w:tcPr>
            <w:tcW w:w="87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0.00</w:t>
            </w:r>
          </w:p>
        </w:tc>
        <w:tc>
          <w:tcPr>
            <w:tcW w:w="93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0.00</w:t>
            </w:r>
          </w:p>
        </w:tc>
      </w:tr>
      <w:tr>
        <w:tblPrEx>
          <w:tblCellMar>
            <w:top w:w="15" w:type="dxa"/>
            <w:left w:w="15" w:type="dxa"/>
            <w:bottom w:w="15" w:type="dxa"/>
            <w:right w:w="15" w:type="dxa"/>
          </w:tblCellMar>
        </w:tblPrEx>
        <w:trPr>
          <w:trHeight w:val="375" w:hRule="atLeast"/>
        </w:trPr>
        <w:tc>
          <w:tcPr>
            <w:tcW w:w="900" w:type="dxa"/>
            <w:tcBorders>
              <w:top w:val="nil"/>
              <w:left w:val="single" w:color="000000" w:sz="4" w:space="0"/>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2050803</w:t>
            </w:r>
          </w:p>
        </w:tc>
        <w:tc>
          <w:tcPr>
            <w:tcW w:w="1710" w:type="dxa"/>
            <w:tcBorders>
              <w:top w:val="nil"/>
              <w:left w:val="nil"/>
              <w:bottom w:val="single" w:color="000000" w:sz="4" w:space="0"/>
              <w:right w:val="single" w:color="000000" w:sz="4" w:space="0"/>
            </w:tcBorders>
            <w:shd w:val="clear" w:color="auto" w:fill="CCFFFF"/>
            <w:vAlign w:val="center"/>
          </w:tcPr>
          <w:p>
            <w:pPr>
              <w:autoSpaceDE w:val="0"/>
              <w:spacing w:line="240" w:lineRule="atLeast"/>
              <w:textAlignment w:val="center"/>
              <w:rPr>
                <w:color w:val="000000"/>
                <w:sz w:val="16"/>
                <w:szCs w:val="16"/>
              </w:rPr>
            </w:pPr>
            <w:r>
              <w:rPr>
                <w:rFonts w:hint="eastAsia"/>
                <w:color w:val="000000"/>
                <w:sz w:val="16"/>
                <w:szCs w:val="16"/>
              </w:rPr>
              <w:t xml:space="preserve">  培训支出</w:t>
            </w:r>
          </w:p>
        </w:tc>
        <w:tc>
          <w:tcPr>
            <w:tcW w:w="90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85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0.72</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0.72</w:t>
            </w:r>
          </w:p>
        </w:tc>
        <w:tc>
          <w:tcPr>
            <w:tcW w:w="102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0.72</w:t>
            </w:r>
          </w:p>
        </w:tc>
        <w:tc>
          <w:tcPr>
            <w:tcW w:w="87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93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90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208</w:t>
            </w:r>
          </w:p>
        </w:tc>
        <w:tc>
          <w:tcPr>
            <w:tcW w:w="17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社会保障和就业支出</w:t>
            </w:r>
          </w:p>
        </w:tc>
        <w:tc>
          <w:tcPr>
            <w:tcW w:w="90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0.30</w:t>
            </w:r>
          </w:p>
        </w:tc>
        <w:tc>
          <w:tcPr>
            <w:tcW w:w="85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25.40</w:t>
            </w:r>
          </w:p>
        </w:tc>
        <w:tc>
          <w:tcPr>
            <w:tcW w:w="9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25.70</w:t>
            </w:r>
          </w:p>
        </w:tc>
        <w:tc>
          <w:tcPr>
            <w:tcW w:w="10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25.70</w:t>
            </w:r>
          </w:p>
        </w:tc>
        <w:tc>
          <w:tcPr>
            <w:tcW w:w="87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0.00</w:t>
            </w:r>
          </w:p>
        </w:tc>
        <w:tc>
          <w:tcPr>
            <w:tcW w:w="93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0.00</w:t>
            </w:r>
          </w:p>
        </w:tc>
      </w:tr>
      <w:tr>
        <w:tblPrEx>
          <w:tblCellMar>
            <w:top w:w="15" w:type="dxa"/>
            <w:left w:w="15" w:type="dxa"/>
            <w:bottom w:w="15" w:type="dxa"/>
            <w:right w:w="15" w:type="dxa"/>
          </w:tblCellMar>
        </w:tblPrEx>
        <w:trPr>
          <w:trHeight w:val="375" w:hRule="atLeast"/>
        </w:trPr>
        <w:tc>
          <w:tcPr>
            <w:tcW w:w="90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20805</w:t>
            </w:r>
          </w:p>
        </w:tc>
        <w:tc>
          <w:tcPr>
            <w:tcW w:w="17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行政事业单位养老支出</w:t>
            </w:r>
          </w:p>
        </w:tc>
        <w:tc>
          <w:tcPr>
            <w:tcW w:w="90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0.30</w:t>
            </w:r>
          </w:p>
        </w:tc>
        <w:tc>
          <w:tcPr>
            <w:tcW w:w="85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25.40</w:t>
            </w:r>
          </w:p>
        </w:tc>
        <w:tc>
          <w:tcPr>
            <w:tcW w:w="9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25.70</w:t>
            </w:r>
          </w:p>
        </w:tc>
        <w:tc>
          <w:tcPr>
            <w:tcW w:w="10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25.70</w:t>
            </w:r>
          </w:p>
        </w:tc>
        <w:tc>
          <w:tcPr>
            <w:tcW w:w="87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0.00</w:t>
            </w:r>
          </w:p>
        </w:tc>
        <w:tc>
          <w:tcPr>
            <w:tcW w:w="93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0.00</w:t>
            </w:r>
          </w:p>
        </w:tc>
      </w:tr>
      <w:tr>
        <w:tblPrEx>
          <w:tblCellMar>
            <w:top w:w="15" w:type="dxa"/>
            <w:left w:w="15" w:type="dxa"/>
            <w:bottom w:w="15" w:type="dxa"/>
            <w:right w:w="15" w:type="dxa"/>
          </w:tblCellMar>
        </w:tblPrEx>
        <w:trPr>
          <w:trHeight w:val="375" w:hRule="atLeast"/>
        </w:trPr>
        <w:tc>
          <w:tcPr>
            <w:tcW w:w="900" w:type="dxa"/>
            <w:tcBorders>
              <w:top w:val="nil"/>
              <w:left w:val="single" w:color="000000" w:sz="4" w:space="0"/>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2080505</w:t>
            </w:r>
          </w:p>
        </w:tc>
        <w:tc>
          <w:tcPr>
            <w:tcW w:w="1710" w:type="dxa"/>
            <w:tcBorders>
              <w:top w:val="nil"/>
              <w:left w:val="nil"/>
              <w:bottom w:val="single" w:color="000000" w:sz="4" w:space="0"/>
              <w:right w:val="single" w:color="000000" w:sz="4" w:space="0"/>
            </w:tcBorders>
            <w:shd w:val="clear" w:color="auto" w:fill="CCFFFF"/>
            <w:vAlign w:val="center"/>
          </w:tcPr>
          <w:p>
            <w:pPr>
              <w:autoSpaceDE w:val="0"/>
              <w:spacing w:line="240" w:lineRule="atLeast"/>
              <w:textAlignment w:val="center"/>
              <w:rPr>
                <w:color w:val="000000"/>
                <w:sz w:val="16"/>
                <w:szCs w:val="16"/>
              </w:rPr>
            </w:pPr>
            <w:r>
              <w:rPr>
                <w:rFonts w:hint="eastAsia"/>
                <w:color w:val="000000"/>
                <w:sz w:val="16"/>
                <w:szCs w:val="16"/>
              </w:rPr>
              <w:t xml:space="preserve">  机关事业单位基本养老保险缴费支出</w:t>
            </w:r>
          </w:p>
        </w:tc>
        <w:tc>
          <w:tcPr>
            <w:tcW w:w="90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85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15.67</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15.67</w:t>
            </w:r>
          </w:p>
        </w:tc>
        <w:tc>
          <w:tcPr>
            <w:tcW w:w="102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15.67</w:t>
            </w:r>
          </w:p>
        </w:tc>
        <w:tc>
          <w:tcPr>
            <w:tcW w:w="87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93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900" w:type="dxa"/>
            <w:tcBorders>
              <w:top w:val="nil"/>
              <w:left w:val="single" w:color="000000" w:sz="4" w:space="0"/>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2080506</w:t>
            </w:r>
          </w:p>
        </w:tc>
        <w:tc>
          <w:tcPr>
            <w:tcW w:w="1710" w:type="dxa"/>
            <w:tcBorders>
              <w:top w:val="nil"/>
              <w:left w:val="nil"/>
              <w:bottom w:val="single" w:color="000000" w:sz="4" w:space="0"/>
              <w:right w:val="single" w:color="000000" w:sz="4" w:space="0"/>
            </w:tcBorders>
            <w:shd w:val="clear" w:color="auto" w:fill="CCFFFF"/>
            <w:vAlign w:val="center"/>
          </w:tcPr>
          <w:p>
            <w:pPr>
              <w:autoSpaceDE w:val="0"/>
              <w:spacing w:line="240" w:lineRule="atLeast"/>
              <w:textAlignment w:val="center"/>
              <w:rPr>
                <w:color w:val="000000"/>
                <w:sz w:val="16"/>
                <w:szCs w:val="16"/>
              </w:rPr>
            </w:pPr>
            <w:r>
              <w:rPr>
                <w:rFonts w:hint="eastAsia"/>
                <w:color w:val="000000"/>
                <w:sz w:val="16"/>
                <w:szCs w:val="16"/>
              </w:rPr>
              <w:t xml:space="preserve">  机关事业单位职业年金缴费支出</w:t>
            </w:r>
          </w:p>
        </w:tc>
        <w:tc>
          <w:tcPr>
            <w:tcW w:w="90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85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7.83</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7.83</w:t>
            </w:r>
          </w:p>
        </w:tc>
        <w:tc>
          <w:tcPr>
            <w:tcW w:w="102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7.83</w:t>
            </w:r>
          </w:p>
        </w:tc>
        <w:tc>
          <w:tcPr>
            <w:tcW w:w="87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93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900" w:type="dxa"/>
            <w:tcBorders>
              <w:top w:val="nil"/>
              <w:left w:val="single" w:color="000000" w:sz="4" w:space="0"/>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2080599</w:t>
            </w:r>
          </w:p>
        </w:tc>
        <w:tc>
          <w:tcPr>
            <w:tcW w:w="1710" w:type="dxa"/>
            <w:tcBorders>
              <w:top w:val="nil"/>
              <w:left w:val="nil"/>
              <w:bottom w:val="single" w:color="000000" w:sz="4" w:space="0"/>
              <w:right w:val="single" w:color="000000" w:sz="4" w:space="0"/>
            </w:tcBorders>
            <w:shd w:val="clear" w:color="auto" w:fill="CCFFFF"/>
            <w:vAlign w:val="center"/>
          </w:tcPr>
          <w:p>
            <w:pPr>
              <w:autoSpaceDE w:val="0"/>
              <w:spacing w:line="240" w:lineRule="atLeast"/>
              <w:textAlignment w:val="center"/>
              <w:rPr>
                <w:color w:val="000000"/>
                <w:sz w:val="16"/>
                <w:szCs w:val="16"/>
              </w:rPr>
            </w:pPr>
            <w:r>
              <w:rPr>
                <w:rFonts w:hint="eastAsia"/>
                <w:color w:val="000000"/>
                <w:sz w:val="16"/>
                <w:szCs w:val="16"/>
              </w:rPr>
              <w:t xml:space="preserve">  其他行政事业单位养老支出</w:t>
            </w:r>
          </w:p>
        </w:tc>
        <w:tc>
          <w:tcPr>
            <w:tcW w:w="90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0.30</w:t>
            </w:r>
          </w:p>
        </w:tc>
        <w:tc>
          <w:tcPr>
            <w:tcW w:w="85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1.90</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2.20</w:t>
            </w:r>
          </w:p>
        </w:tc>
        <w:tc>
          <w:tcPr>
            <w:tcW w:w="102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2.20</w:t>
            </w:r>
          </w:p>
        </w:tc>
        <w:tc>
          <w:tcPr>
            <w:tcW w:w="87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93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90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210</w:t>
            </w:r>
          </w:p>
        </w:tc>
        <w:tc>
          <w:tcPr>
            <w:tcW w:w="17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卫生健康支出</w:t>
            </w:r>
          </w:p>
        </w:tc>
        <w:tc>
          <w:tcPr>
            <w:tcW w:w="90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0.00</w:t>
            </w:r>
          </w:p>
        </w:tc>
        <w:tc>
          <w:tcPr>
            <w:tcW w:w="85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9.91</w:t>
            </w:r>
          </w:p>
        </w:tc>
        <w:tc>
          <w:tcPr>
            <w:tcW w:w="9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9.91</w:t>
            </w:r>
          </w:p>
        </w:tc>
        <w:tc>
          <w:tcPr>
            <w:tcW w:w="10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9.91</w:t>
            </w:r>
          </w:p>
        </w:tc>
        <w:tc>
          <w:tcPr>
            <w:tcW w:w="87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0.00</w:t>
            </w:r>
          </w:p>
        </w:tc>
        <w:tc>
          <w:tcPr>
            <w:tcW w:w="93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0.00</w:t>
            </w:r>
          </w:p>
        </w:tc>
      </w:tr>
      <w:tr>
        <w:tblPrEx>
          <w:tblCellMar>
            <w:top w:w="15" w:type="dxa"/>
            <w:left w:w="15" w:type="dxa"/>
            <w:bottom w:w="15" w:type="dxa"/>
            <w:right w:w="15" w:type="dxa"/>
          </w:tblCellMar>
        </w:tblPrEx>
        <w:trPr>
          <w:trHeight w:val="375" w:hRule="atLeast"/>
        </w:trPr>
        <w:tc>
          <w:tcPr>
            <w:tcW w:w="90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21011</w:t>
            </w:r>
          </w:p>
        </w:tc>
        <w:tc>
          <w:tcPr>
            <w:tcW w:w="17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行政事业单位医疗</w:t>
            </w:r>
          </w:p>
        </w:tc>
        <w:tc>
          <w:tcPr>
            <w:tcW w:w="90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0.00</w:t>
            </w:r>
          </w:p>
        </w:tc>
        <w:tc>
          <w:tcPr>
            <w:tcW w:w="85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9.91</w:t>
            </w:r>
          </w:p>
        </w:tc>
        <w:tc>
          <w:tcPr>
            <w:tcW w:w="9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9.91</w:t>
            </w:r>
          </w:p>
        </w:tc>
        <w:tc>
          <w:tcPr>
            <w:tcW w:w="10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9.91</w:t>
            </w:r>
          </w:p>
        </w:tc>
        <w:tc>
          <w:tcPr>
            <w:tcW w:w="87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0.00</w:t>
            </w:r>
          </w:p>
        </w:tc>
        <w:tc>
          <w:tcPr>
            <w:tcW w:w="93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0.00</w:t>
            </w:r>
          </w:p>
        </w:tc>
      </w:tr>
      <w:tr>
        <w:tblPrEx>
          <w:tblCellMar>
            <w:top w:w="15" w:type="dxa"/>
            <w:left w:w="15" w:type="dxa"/>
            <w:bottom w:w="15" w:type="dxa"/>
            <w:right w:w="15" w:type="dxa"/>
          </w:tblCellMar>
        </w:tblPrEx>
        <w:trPr>
          <w:trHeight w:val="375" w:hRule="atLeast"/>
        </w:trPr>
        <w:tc>
          <w:tcPr>
            <w:tcW w:w="900" w:type="dxa"/>
            <w:tcBorders>
              <w:top w:val="nil"/>
              <w:left w:val="single" w:color="000000" w:sz="4" w:space="0"/>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2101102</w:t>
            </w:r>
          </w:p>
        </w:tc>
        <w:tc>
          <w:tcPr>
            <w:tcW w:w="1710" w:type="dxa"/>
            <w:tcBorders>
              <w:top w:val="nil"/>
              <w:left w:val="nil"/>
              <w:bottom w:val="single" w:color="000000" w:sz="4" w:space="0"/>
              <w:right w:val="single" w:color="000000" w:sz="4" w:space="0"/>
            </w:tcBorders>
            <w:shd w:val="clear" w:color="auto" w:fill="CCFFFF"/>
            <w:vAlign w:val="center"/>
          </w:tcPr>
          <w:p>
            <w:pPr>
              <w:autoSpaceDE w:val="0"/>
              <w:spacing w:line="240" w:lineRule="atLeast"/>
              <w:textAlignment w:val="center"/>
              <w:rPr>
                <w:color w:val="000000"/>
                <w:sz w:val="16"/>
                <w:szCs w:val="16"/>
              </w:rPr>
            </w:pPr>
            <w:r>
              <w:rPr>
                <w:rFonts w:hint="eastAsia"/>
                <w:color w:val="000000"/>
                <w:sz w:val="16"/>
                <w:szCs w:val="16"/>
              </w:rPr>
              <w:t xml:space="preserve">  事业单位医疗</w:t>
            </w:r>
          </w:p>
        </w:tc>
        <w:tc>
          <w:tcPr>
            <w:tcW w:w="90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85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9.91</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9.91</w:t>
            </w:r>
          </w:p>
        </w:tc>
        <w:tc>
          <w:tcPr>
            <w:tcW w:w="102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9.91</w:t>
            </w:r>
          </w:p>
        </w:tc>
        <w:tc>
          <w:tcPr>
            <w:tcW w:w="87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93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90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214</w:t>
            </w:r>
          </w:p>
        </w:tc>
        <w:tc>
          <w:tcPr>
            <w:tcW w:w="17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交通运输支出</w:t>
            </w:r>
          </w:p>
        </w:tc>
        <w:tc>
          <w:tcPr>
            <w:tcW w:w="90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28.26</w:t>
            </w:r>
          </w:p>
        </w:tc>
        <w:tc>
          <w:tcPr>
            <w:tcW w:w="85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193.47</w:t>
            </w:r>
          </w:p>
        </w:tc>
        <w:tc>
          <w:tcPr>
            <w:tcW w:w="9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220.51</w:t>
            </w:r>
          </w:p>
        </w:tc>
        <w:tc>
          <w:tcPr>
            <w:tcW w:w="10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220.51</w:t>
            </w:r>
          </w:p>
        </w:tc>
        <w:tc>
          <w:tcPr>
            <w:tcW w:w="87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0.00</w:t>
            </w:r>
          </w:p>
        </w:tc>
        <w:tc>
          <w:tcPr>
            <w:tcW w:w="93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1.22</w:t>
            </w:r>
          </w:p>
        </w:tc>
      </w:tr>
      <w:tr>
        <w:tblPrEx>
          <w:tblCellMar>
            <w:top w:w="15" w:type="dxa"/>
            <w:left w:w="15" w:type="dxa"/>
            <w:bottom w:w="15" w:type="dxa"/>
            <w:right w:w="15" w:type="dxa"/>
          </w:tblCellMar>
        </w:tblPrEx>
        <w:trPr>
          <w:trHeight w:val="375" w:hRule="atLeast"/>
        </w:trPr>
        <w:tc>
          <w:tcPr>
            <w:tcW w:w="90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21401</w:t>
            </w:r>
          </w:p>
        </w:tc>
        <w:tc>
          <w:tcPr>
            <w:tcW w:w="17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公路水路运输</w:t>
            </w:r>
          </w:p>
        </w:tc>
        <w:tc>
          <w:tcPr>
            <w:tcW w:w="90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28.26</w:t>
            </w:r>
          </w:p>
        </w:tc>
        <w:tc>
          <w:tcPr>
            <w:tcW w:w="85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193.47</w:t>
            </w:r>
          </w:p>
        </w:tc>
        <w:tc>
          <w:tcPr>
            <w:tcW w:w="9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220.51</w:t>
            </w:r>
          </w:p>
        </w:tc>
        <w:tc>
          <w:tcPr>
            <w:tcW w:w="10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220.51</w:t>
            </w:r>
          </w:p>
        </w:tc>
        <w:tc>
          <w:tcPr>
            <w:tcW w:w="87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0.00</w:t>
            </w:r>
          </w:p>
        </w:tc>
        <w:tc>
          <w:tcPr>
            <w:tcW w:w="93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1.22</w:t>
            </w:r>
          </w:p>
        </w:tc>
      </w:tr>
      <w:tr>
        <w:tblPrEx>
          <w:tblCellMar>
            <w:top w:w="15" w:type="dxa"/>
            <w:left w:w="15" w:type="dxa"/>
            <w:bottom w:w="15" w:type="dxa"/>
            <w:right w:w="15" w:type="dxa"/>
          </w:tblCellMar>
        </w:tblPrEx>
        <w:trPr>
          <w:trHeight w:val="375" w:hRule="atLeast"/>
        </w:trPr>
        <w:tc>
          <w:tcPr>
            <w:tcW w:w="900" w:type="dxa"/>
            <w:tcBorders>
              <w:top w:val="nil"/>
              <w:left w:val="single" w:color="000000" w:sz="4" w:space="0"/>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2140199</w:t>
            </w:r>
          </w:p>
        </w:tc>
        <w:tc>
          <w:tcPr>
            <w:tcW w:w="1710" w:type="dxa"/>
            <w:tcBorders>
              <w:top w:val="nil"/>
              <w:left w:val="nil"/>
              <w:bottom w:val="single" w:color="000000" w:sz="4" w:space="0"/>
              <w:right w:val="single" w:color="000000" w:sz="4" w:space="0"/>
            </w:tcBorders>
            <w:shd w:val="clear" w:color="auto" w:fill="CCFFFF"/>
            <w:vAlign w:val="center"/>
          </w:tcPr>
          <w:p>
            <w:pPr>
              <w:autoSpaceDE w:val="0"/>
              <w:spacing w:line="240" w:lineRule="atLeast"/>
              <w:textAlignment w:val="center"/>
              <w:rPr>
                <w:color w:val="000000"/>
                <w:sz w:val="16"/>
                <w:szCs w:val="16"/>
              </w:rPr>
            </w:pPr>
            <w:r>
              <w:rPr>
                <w:rFonts w:hint="eastAsia"/>
                <w:color w:val="000000"/>
                <w:sz w:val="16"/>
                <w:szCs w:val="16"/>
              </w:rPr>
              <w:t xml:space="preserve">  其他公路水路运输支出</w:t>
            </w:r>
          </w:p>
        </w:tc>
        <w:tc>
          <w:tcPr>
            <w:tcW w:w="90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28.26</w:t>
            </w:r>
          </w:p>
        </w:tc>
        <w:tc>
          <w:tcPr>
            <w:tcW w:w="85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193.47</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220.51</w:t>
            </w:r>
          </w:p>
        </w:tc>
        <w:tc>
          <w:tcPr>
            <w:tcW w:w="102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220.51</w:t>
            </w:r>
          </w:p>
        </w:tc>
        <w:tc>
          <w:tcPr>
            <w:tcW w:w="87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93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1.22</w:t>
            </w:r>
          </w:p>
        </w:tc>
      </w:tr>
      <w:tr>
        <w:tblPrEx>
          <w:tblCellMar>
            <w:top w:w="15" w:type="dxa"/>
            <w:left w:w="15" w:type="dxa"/>
            <w:bottom w:w="15" w:type="dxa"/>
            <w:right w:w="15" w:type="dxa"/>
          </w:tblCellMar>
        </w:tblPrEx>
        <w:trPr>
          <w:trHeight w:val="375" w:hRule="atLeast"/>
        </w:trPr>
        <w:tc>
          <w:tcPr>
            <w:tcW w:w="90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221</w:t>
            </w:r>
          </w:p>
        </w:tc>
        <w:tc>
          <w:tcPr>
            <w:tcW w:w="17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住房保障支出</w:t>
            </w:r>
          </w:p>
        </w:tc>
        <w:tc>
          <w:tcPr>
            <w:tcW w:w="90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0.00</w:t>
            </w:r>
          </w:p>
        </w:tc>
        <w:tc>
          <w:tcPr>
            <w:tcW w:w="85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11.75</w:t>
            </w:r>
          </w:p>
        </w:tc>
        <w:tc>
          <w:tcPr>
            <w:tcW w:w="9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11.75</w:t>
            </w:r>
          </w:p>
        </w:tc>
        <w:tc>
          <w:tcPr>
            <w:tcW w:w="10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11.75</w:t>
            </w:r>
          </w:p>
        </w:tc>
        <w:tc>
          <w:tcPr>
            <w:tcW w:w="87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0.00</w:t>
            </w:r>
          </w:p>
        </w:tc>
        <w:tc>
          <w:tcPr>
            <w:tcW w:w="93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0.00</w:t>
            </w:r>
          </w:p>
        </w:tc>
      </w:tr>
      <w:tr>
        <w:tblPrEx>
          <w:tblCellMar>
            <w:top w:w="15" w:type="dxa"/>
            <w:left w:w="15" w:type="dxa"/>
            <w:bottom w:w="15" w:type="dxa"/>
            <w:right w:w="15" w:type="dxa"/>
          </w:tblCellMar>
        </w:tblPrEx>
        <w:trPr>
          <w:trHeight w:val="375" w:hRule="atLeast"/>
        </w:trPr>
        <w:tc>
          <w:tcPr>
            <w:tcW w:w="90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22102</w:t>
            </w:r>
          </w:p>
        </w:tc>
        <w:tc>
          <w:tcPr>
            <w:tcW w:w="17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住房改革支出</w:t>
            </w:r>
          </w:p>
        </w:tc>
        <w:tc>
          <w:tcPr>
            <w:tcW w:w="90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0.00</w:t>
            </w:r>
          </w:p>
        </w:tc>
        <w:tc>
          <w:tcPr>
            <w:tcW w:w="85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11.75</w:t>
            </w:r>
          </w:p>
        </w:tc>
        <w:tc>
          <w:tcPr>
            <w:tcW w:w="9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11.75</w:t>
            </w:r>
          </w:p>
        </w:tc>
        <w:tc>
          <w:tcPr>
            <w:tcW w:w="102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11.75</w:t>
            </w:r>
          </w:p>
        </w:tc>
        <w:tc>
          <w:tcPr>
            <w:tcW w:w="87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0.00</w:t>
            </w:r>
          </w:p>
        </w:tc>
        <w:tc>
          <w:tcPr>
            <w:tcW w:w="93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0.00</w:t>
            </w:r>
          </w:p>
        </w:tc>
      </w:tr>
      <w:tr>
        <w:tblPrEx>
          <w:tblCellMar>
            <w:top w:w="15" w:type="dxa"/>
            <w:left w:w="15" w:type="dxa"/>
            <w:bottom w:w="15" w:type="dxa"/>
            <w:right w:w="15" w:type="dxa"/>
          </w:tblCellMar>
        </w:tblPrEx>
        <w:trPr>
          <w:trHeight w:val="375" w:hRule="atLeast"/>
        </w:trPr>
        <w:tc>
          <w:tcPr>
            <w:tcW w:w="900" w:type="dxa"/>
            <w:tcBorders>
              <w:top w:val="nil"/>
              <w:left w:val="single" w:color="000000" w:sz="4" w:space="0"/>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2210201</w:t>
            </w:r>
          </w:p>
        </w:tc>
        <w:tc>
          <w:tcPr>
            <w:tcW w:w="1710" w:type="dxa"/>
            <w:tcBorders>
              <w:top w:val="nil"/>
              <w:left w:val="nil"/>
              <w:bottom w:val="single" w:color="000000" w:sz="4" w:space="0"/>
              <w:right w:val="single" w:color="000000" w:sz="4" w:space="0"/>
            </w:tcBorders>
            <w:shd w:val="clear" w:color="auto" w:fill="CCFFFF"/>
            <w:vAlign w:val="center"/>
          </w:tcPr>
          <w:p>
            <w:pPr>
              <w:autoSpaceDE w:val="0"/>
              <w:spacing w:line="240" w:lineRule="atLeast"/>
              <w:textAlignment w:val="center"/>
              <w:rPr>
                <w:color w:val="000000"/>
                <w:sz w:val="16"/>
                <w:szCs w:val="16"/>
              </w:rPr>
            </w:pPr>
            <w:r>
              <w:rPr>
                <w:rFonts w:hint="eastAsia"/>
                <w:color w:val="000000"/>
                <w:sz w:val="16"/>
                <w:szCs w:val="16"/>
              </w:rPr>
              <w:t xml:space="preserve">  住房公积金</w:t>
            </w:r>
          </w:p>
        </w:tc>
        <w:tc>
          <w:tcPr>
            <w:tcW w:w="90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85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11.75</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11.75</w:t>
            </w:r>
          </w:p>
        </w:tc>
        <w:tc>
          <w:tcPr>
            <w:tcW w:w="102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11.75</w:t>
            </w:r>
          </w:p>
        </w:tc>
        <w:tc>
          <w:tcPr>
            <w:tcW w:w="87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93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7215" w:type="dxa"/>
            <w:gridSpan w:val="7"/>
            <w:tcBorders>
              <w:top w:val="nil"/>
              <w:left w:val="nil"/>
              <w:bottom w:val="nil"/>
              <w:right w:val="nil"/>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备注：本表反映部门本年度一般公共预算财政拨款收支余情况。</w:t>
            </w:r>
          </w:p>
        </w:tc>
        <w:tc>
          <w:tcPr>
            <w:tcW w:w="930" w:type="dxa"/>
            <w:tcBorders>
              <w:top w:val="nil"/>
              <w:left w:val="nil"/>
              <w:bottom w:val="nil"/>
              <w:right w:val="nil"/>
            </w:tcBorders>
            <w:shd w:val="clear" w:color="auto" w:fill="FFFFFF"/>
            <w:vAlign w:val="center"/>
          </w:tcPr>
          <w:p>
            <w:pPr>
              <w:autoSpaceDE w:val="0"/>
              <w:spacing w:line="240" w:lineRule="atLeast"/>
              <w:rPr>
                <w:color w:val="000000"/>
                <w:sz w:val="16"/>
                <w:szCs w:val="16"/>
              </w:rPr>
            </w:pPr>
          </w:p>
        </w:tc>
      </w:tr>
    </w:tbl>
    <w:p>
      <w:pPr>
        <w:pStyle w:val="25"/>
        <w:autoSpaceDE w:val="0"/>
        <w:spacing w:before="0" w:beforeAutospacing="0" w:after="0" w:afterAutospacing="0" w:line="240" w:lineRule="atLeast"/>
        <w:rPr>
          <w:rFonts w:ascii="Times New Roman" w:hAnsi="Times New Roman" w:eastAsia="仿宋" w:cs="Times New Roman"/>
          <w:sz w:val="32"/>
          <w:szCs w:val="32"/>
          <w:shd w:val="clear" w:color="auto" w:fill="FFFFFF"/>
        </w:rPr>
      </w:pPr>
    </w:p>
    <w:tbl>
      <w:tblPr>
        <w:tblStyle w:val="13"/>
        <w:tblW w:w="8010" w:type="dxa"/>
        <w:tblInd w:w="298" w:type="dxa"/>
        <w:tblLayout w:type="fixed"/>
        <w:tblCellMar>
          <w:top w:w="15" w:type="dxa"/>
          <w:left w:w="15" w:type="dxa"/>
          <w:bottom w:w="15" w:type="dxa"/>
          <w:right w:w="15" w:type="dxa"/>
        </w:tblCellMar>
      </w:tblPr>
      <w:tblGrid>
        <w:gridCol w:w="885"/>
        <w:gridCol w:w="1440"/>
        <w:gridCol w:w="735"/>
        <w:gridCol w:w="825"/>
        <w:gridCol w:w="1110"/>
        <w:gridCol w:w="540"/>
        <w:gridCol w:w="585"/>
        <w:gridCol w:w="1245"/>
        <w:gridCol w:w="645"/>
      </w:tblGrid>
      <w:tr>
        <w:tblPrEx>
          <w:tblCellMar>
            <w:top w:w="15" w:type="dxa"/>
            <w:left w:w="15" w:type="dxa"/>
            <w:bottom w:w="15" w:type="dxa"/>
            <w:right w:w="15" w:type="dxa"/>
          </w:tblCellMar>
        </w:tblPrEx>
        <w:trPr>
          <w:trHeight w:val="690" w:hRule="atLeast"/>
        </w:trPr>
        <w:tc>
          <w:tcPr>
            <w:tcW w:w="8010" w:type="dxa"/>
            <w:gridSpan w:val="9"/>
            <w:tcBorders>
              <w:top w:val="nil"/>
              <w:left w:val="nil"/>
              <w:bottom w:val="nil"/>
              <w:right w:val="single" w:color="808080" w:sz="4" w:space="0"/>
            </w:tcBorders>
            <w:shd w:val="clear" w:color="auto" w:fill="FFFFFF"/>
            <w:vAlign w:val="center"/>
          </w:tcPr>
          <w:p>
            <w:pPr>
              <w:autoSpaceDE w:val="0"/>
              <w:spacing w:line="240" w:lineRule="atLeast"/>
              <w:jc w:val="center"/>
              <w:rPr>
                <w:color w:val="000000"/>
                <w:sz w:val="16"/>
                <w:szCs w:val="16"/>
              </w:rPr>
            </w:pPr>
            <w:r>
              <w:rPr>
                <w:rFonts w:hint="eastAsia" w:ascii="方正仿宋_GBK" w:eastAsia="方正仿宋_GBK"/>
                <w:color w:val="000000"/>
                <w:sz w:val="32"/>
                <w:szCs w:val="32"/>
              </w:rPr>
              <w:t>一般公共预算财政拨款基本支出决算表</w:t>
            </w:r>
          </w:p>
        </w:tc>
      </w:tr>
      <w:tr>
        <w:tblPrEx>
          <w:tblCellMar>
            <w:top w:w="15" w:type="dxa"/>
            <w:left w:w="15" w:type="dxa"/>
            <w:bottom w:w="15" w:type="dxa"/>
            <w:right w:w="15" w:type="dxa"/>
          </w:tblCellMar>
        </w:tblPrEx>
        <w:trPr>
          <w:trHeight w:val="375" w:hRule="atLeast"/>
        </w:trPr>
        <w:tc>
          <w:tcPr>
            <w:tcW w:w="8010" w:type="dxa"/>
            <w:gridSpan w:val="9"/>
            <w:tcBorders>
              <w:top w:val="nil"/>
              <w:left w:val="nil"/>
              <w:bottom w:val="nil"/>
              <w:right w:val="single" w:color="808080" w:sz="4" w:space="0"/>
            </w:tcBorders>
            <w:shd w:val="clear" w:color="auto" w:fill="FFFFFF"/>
            <w:vAlign w:val="center"/>
          </w:tcPr>
          <w:p>
            <w:pPr>
              <w:autoSpaceDE w:val="0"/>
              <w:spacing w:line="240" w:lineRule="atLeast"/>
              <w:jc w:val="right"/>
              <w:textAlignment w:val="center"/>
              <w:rPr>
                <w:color w:val="000000"/>
                <w:sz w:val="16"/>
                <w:szCs w:val="16"/>
              </w:rPr>
            </w:pPr>
            <w:r>
              <w:rPr>
                <w:rFonts w:hint="eastAsia"/>
                <w:color w:val="000000"/>
                <w:sz w:val="16"/>
                <w:szCs w:val="16"/>
              </w:rPr>
              <w:t>公开06表</w:t>
            </w:r>
          </w:p>
        </w:tc>
      </w:tr>
      <w:tr>
        <w:tblPrEx>
          <w:tblCellMar>
            <w:top w:w="15" w:type="dxa"/>
            <w:left w:w="15" w:type="dxa"/>
            <w:bottom w:w="15" w:type="dxa"/>
            <w:right w:w="15" w:type="dxa"/>
          </w:tblCellMar>
        </w:tblPrEx>
        <w:trPr>
          <w:trHeight w:val="375" w:hRule="atLeast"/>
        </w:trPr>
        <w:tc>
          <w:tcPr>
            <w:tcW w:w="8010" w:type="dxa"/>
            <w:gridSpan w:val="9"/>
            <w:tcBorders>
              <w:top w:val="nil"/>
              <w:left w:val="nil"/>
              <w:bottom w:val="single" w:color="808080" w:sz="4" w:space="0"/>
              <w:right w:val="single" w:color="80808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公开部门：重庆市垫江县交通建设工程服务中心         2020年度                          金额单位：万元</w:t>
            </w:r>
          </w:p>
        </w:tc>
      </w:tr>
      <w:tr>
        <w:tblPrEx>
          <w:tblCellMar>
            <w:top w:w="15" w:type="dxa"/>
            <w:left w:w="15" w:type="dxa"/>
            <w:bottom w:w="15" w:type="dxa"/>
            <w:right w:w="15" w:type="dxa"/>
          </w:tblCellMar>
        </w:tblPrEx>
        <w:trPr>
          <w:trHeight w:val="375" w:hRule="atLeast"/>
        </w:trPr>
        <w:tc>
          <w:tcPr>
            <w:tcW w:w="3060" w:type="dxa"/>
            <w:gridSpan w:val="3"/>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人员经费</w:t>
            </w:r>
          </w:p>
        </w:tc>
        <w:tc>
          <w:tcPr>
            <w:tcW w:w="4950" w:type="dxa"/>
            <w:gridSpan w:val="6"/>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公用经费</w:t>
            </w:r>
          </w:p>
        </w:tc>
      </w:tr>
      <w:tr>
        <w:tblPrEx>
          <w:tblCellMar>
            <w:top w:w="15" w:type="dxa"/>
            <w:left w:w="15" w:type="dxa"/>
            <w:bottom w:w="15" w:type="dxa"/>
            <w:right w:w="15" w:type="dxa"/>
          </w:tblCellMar>
        </w:tblPrEx>
        <w:trPr>
          <w:trHeight w:val="300" w:hRule="atLeast"/>
        </w:trPr>
        <w:tc>
          <w:tcPr>
            <w:tcW w:w="885" w:type="dxa"/>
            <w:vMerge w:val="restart"/>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经济分类科目编码</w:t>
            </w:r>
          </w:p>
        </w:tc>
        <w:tc>
          <w:tcPr>
            <w:tcW w:w="1440" w:type="dxa"/>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经济分类科目（按“款”级功能分类科目）</w:t>
            </w:r>
          </w:p>
        </w:tc>
        <w:tc>
          <w:tcPr>
            <w:tcW w:w="735" w:type="dxa"/>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金额</w:t>
            </w:r>
          </w:p>
        </w:tc>
        <w:tc>
          <w:tcPr>
            <w:tcW w:w="825" w:type="dxa"/>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经济分类科目编码</w:t>
            </w:r>
          </w:p>
        </w:tc>
        <w:tc>
          <w:tcPr>
            <w:tcW w:w="1110" w:type="dxa"/>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经济分类科目（按“款”级功能分类科目）</w:t>
            </w:r>
          </w:p>
        </w:tc>
        <w:tc>
          <w:tcPr>
            <w:tcW w:w="540" w:type="dxa"/>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金额</w:t>
            </w:r>
          </w:p>
        </w:tc>
        <w:tc>
          <w:tcPr>
            <w:tcW w:w="585" w:type="dxa"/>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经济分类科目编码</w:t>
            </w:r>
          </w:p>
        </w:tc>
        <w:tc>
          <w:tcPr>
            <w:tcW w:w="1245" w:type="dxa"/>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经济分类科目（按“款”级功能分类科目）</w:t>
            </w:r>
          </w:p>
        </w:tc>
        <w:tc>
          <w:tcPr>
            <w:tcW w:w="645" w:type="dxa"/>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金额</w:t>
            </w:r>
          </w:p>
        </w:tc>
      </w:tr>
      <w:tr>
        <w:tblPrEx>
          <w:tblCellMar>
            <w:top w:w="15" w:type="dxa"/>
            <w:left w:w="15" w:type="dxa"/>
            <w:bottom w:w="15" w:type="dxa"/>
            <w:right w:w="15" w:type="dxa"/>
          </w:tblCellMar>
        </w:tblPrEx>
        <w:trPr>
          <w:trHeight w:val="600" w:hRule="atLeast"/>
        </w:trPr>
        <w:tc>
          <w:tcPr>
            <w:tcW w:w="8010" w:type="dxa"/>
            <w:vMerge w:val="continue"/>
            <w:tcBorders>
              <w:top w:val="nil"/>
              <w:left w:val="single" w:color="000000" w:sz="4" w:space="0"/>
              <w:bottom w:val="single" w:color="000000" w:sz="4" w:space="0"/>
              <w:right w:val="single" w:color="000000" w:sz="4" w:space="0"/>
            </w:tcBorders>
            <w:vAlign w:val="center"/>
          </w:tcPr>
          <w:p>
            <w:pPr>
              <w:rPr>
                <w:b/>
                <w:bCs/>
                <w:color w:val="000000"/>
                <w:sz w:val="16"/>
                <w:szCs w:val="16"/>
              </w:rPr>
            </w:pPr>
          </w:p>
        </w:tc>
        <w:tc>
          <w:tcPr>
            <w:tcW w:w="1440" w:type="dxa"/>
            <w:vMerge w:val="continue"/>
            <w:tcBorders>
              <w:top w:val="nil"/>
              <w:left w:val="nil"/>
              <w:bottom w:val="single" w:color="000000" w:sz="4" w:space="0"/>
              <w:right w:val="single" w:color="000000" w:sz="4" w:space="0"/>
            </w:tcBorders>
            <w:vAlign w:val="center"/>
          </w:tcPr>
          <w:p>
            <w:pPr>
              <w:rPr>
                <w:b/>
                <w:bCs/>
                <w:color w:val="000000"/>
                <w:sz w:val="16"/>
                <w:szCs w:val="16"/>
              </w:rPr>
            </w:pPr>
          </w:p>
        </w:tc>
        <w:tc>
          <w:tcPr>
            <w:tcW w:w="735" w:type="dxa"/>
            <w:vMerge w:val="continue"/>
            <w:tcBorders>
              <w:top w:val="nil"/>
              <w:left w:val="nil"/>
              <w:bottom w:val="single" w:color="000000" w:sz="4" w:space="0"/>
              <w:right w:val="single" w:color="000000" w:sz="4" w:space="0"/>
            </w:tcBorders>
            <w:vAlign w:val="center"/>
          </w:tcPr>
          <w:p>
            <w:pPr>
              <w:rPr>
                <w:b/>
                <w:bCs/>
                <w:color w:val="000000"/>
                <w:sz w:val="16"/>
                <w:szCs w:val="16"/>
              </w:rPr>
            </w:pPr>
          </w:p>
        </w:tc>
        <w:tc>
          <w:tcPr>
            <w:tcW w:w="4950" w:type="dxa"/>
            <w:vMerge w:val="continue"/>
            <w:tcBorders>
              <w:top w:val="nil"/>
              <w:left w:val="nil"/>
              <w:bottom w:val="single" w:color="000000" w:sz="4" w:space="0"/>
              <w:right w:val="single" w:color="000000" w:sz="4" w:space="0"/>
            </w:tcBorders>
            <w:vAlign w:val="center"/>
          </w:tcPr>
          <w:p>
            <w:pPr>
              <w:rPr>
                <w:b/>
                <w:bCs/>
                <w:color w:val="000000"/>
                <w:sz w:val="16"/>
                <w:szCs w:val="16"/>
              </w:rPr>
            </w:pPr>
          </w:p>
        </w:tc>
        <w:tc>
          <w:tcPr>
            <w:tcW w:w="1110" w:type="dxa"/>
            <w:vMerge w:val="continue"/>
            <w:tcBorders>
              <w:top w:val="nil"/>
              <w:left w:val="nil"/>
              <w:bottom w:val="single" w:color="000000" w:sz="4" w:space="0"/>
              <w:right w:val="single" w:color="000000" w:sz="4" w:space="0"/>
            </w:tcBorders>
            <w:vAlign w:val="center"/>
          </w:tcPr>
          <w:p>
            <w:pPr>
              <w:rPr>
                <w:b/>
                <w:bCs/>
                <w:color w:val="000000"/>
                <w:sz w:val="16"/>
                <w:szCs w:val="16"/>
              </w:rPr>
            </w:pPr>
          </w:p>
        </w:tc>
        <w:tc>
          <w:tcPr>
            <w:tcW w:w="3015" w:type="dxa"/>
            <w:vMerge w:val="continue"/>
            <w:tcBorders>
              <w:top w:val="nil"/>
              <w:left w:val="nil"/>
              <w:bottom w:val="single" w:color="000000" w:sz="4" w:space="0"/>
              <w:right w:val="single" w:color="000000" w:sz="4" w:space="0"/>
            </w:tcBorders>
            <w:vAlign w:val="center"/>
          </w:tcPr>
          <w:p>
            <w:pPr>
              <w:rPr>
                <w:b/>
                <w:bCs/>
                <w:color w:val="000000"/>
                <w:sz w:val="16"/>
                <w:szCs w:val="16"/>
              </w:rPr>
            </w:pPr>
          </w:p>
        </w:tc>
        <w:tc>
          <w:tcPr>
            <w:tcW w:w="585" w:type="dxa"/>
            <w:vMerge w:val="continue"/>
            <w:tcBorders>
              <w:top w:val="nil"/>
              <w:left w:val="nil"/>
              <w:bottom w:val="single" w:color="000000" w:sz="4" w:space="0"/>
              <w:right w:val="single" w:color="000000" w:sz="4" w:space="0"/>
            </w:tcBorders>
            <w:vAlign w:val="center"/>
          </w:tcPr>
          <w:p>
            <w:pPr>
              <w:rPr>
                <w:b/>
                <w:bCs/>
                <w:color w:val="000000"/>
                <w:sz w:val="16"/>
                <w:szCs w:val="16"/>
              </w:rPr>
            </w:pPr>
          </w:p>
        </w:tc>
        <w:tc>
          <w:tcPr>
            <w:tcW w:w="1245" w:type="dxa"/>
            <w:vMerge w:val="continue"/>
            <w:tcBorders>
              <w:top w:val="nil"/>
              <w:left w:val="nil"/>
              <w:bottom w:val="single" w:color="000000" w:sz="4" w:space="0"/>
              <w:right w:val="single" w:color="000000" w:sz="4" w:space="0"/>
            </w:tcBorders>
            <w:vAlign w:val="center"/>
          </w:tcPr>
          <w:p>
            <w:pPr>
              <w:rPr>
                <w:b/>
                <w:bCs/>
                <w:color w:val="000000"/>
                <w:sz w:val="16"/>
                <w:szCs w:val="16"/>
              </w:rPr>
            </w:pPr>
          </w:p>
        </w:tc>
        <w:tc>
          <w:tcPr>
            <w:tcW w:w="645" w:type="dxa"/>
            <w:vMerge w:val="continue"/>
            <w:tcBorders>
              <w:top w:val="nil"/>
              <w:left w:val="nil"/>
              <w:bottom w:val="single" w:color="000000" w:sz="4" w:space="0"/>
              <w:right w:val="single" w:color="000000" w:sz="4" w:space="0"/>
            </w:tcBorders>
            <w:vAlign w:val="center"/>
          </w:tcPr>
          <w:p>
            <w:pPr>
              <w:rPr>
                <w:b/>
                <w:bCs/>
                <w:color w:val="000000"/>
                <w:sz w:val="16"/>
                <w:szCs w:val="16"/>
              </w:rPr>
            </w:pPr>
          </w:p>
        </w:tc>
      </w:tr>
      <w:tr>
        <w:tblPrEx>
          <w:tblCellMar>
            <w:top w:w="15" w:type="dxa"/>
            <w:left w:w="15" w:type="dxa"/>
            <w:bottom w:w="15" w:type="dxa"/>
            <w:right w:w="15" w:type="dxa"/>
          </w:tblCellMar>
        </w:tblPrEx>
        <w:trPr>
          <w:trHeight w:val="375"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301</w:t>
            </w: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工资福利支出</w:t>
            </w: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246.84</w:t>
            </w: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302</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商品和服务支出</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19.35</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310</w:t>
            </w: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资本性支出</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30101</w:t>
            </w: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基本工资</w:t>
            </w: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51.48</w:t>
            </w: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30201</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办公费</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0.27</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31001</w:t>
            </w: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房屋建筑物购建</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30102</w:t>
            </w: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津贴补贴</w:t>
            </w: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4.98</w:t>
            </w: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30202</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印刷费</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31002</w:t>
            </w: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办公设备购置</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30103</w:t>
            </w: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奖金</w:t>
            </w: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30203</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咨询费</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31003</w:t>
            </w: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专用设备购置</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30106</w:t>
            </w: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伙食补助费</w:t>
            </w: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9.15</w:t>
            </w: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30204</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手续费</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31005</w:t>
            </w: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基础设施建设</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30107</w:t>
            </w: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绩效工资</w:t>
            </w: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109.75</w:t>
            </w: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30205</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水费</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31006</w:t>
            </w: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大型修缮</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30108</w:t>
            </w: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机关事业单位基本养老保险费</w:t>
            </w: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16.07</w:t>
            </w: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30206</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电费</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31007</w:t>
            </w: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信息网络及软件购置更新</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30109</w:t>
            </w: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职业年金缴费</w:t>
            </w: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7.88</w:t>
            </w: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30207</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邮电费</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0.27</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31008</w:t>
            </w: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物资储备</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30110</w:t>
            </w: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职工基本医疗保险缴费</w:t>
            </w: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9.97</w:t>
            </w: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30208</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取暖费</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31009</w:t>
            </w: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土地补偿</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30111</w:t>
            </w: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公务员医疗补助缴费</w:t>
            </w: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30209</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物业管理费</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31010</w:t>
            </w: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安置补助</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30112</w:t>
            </w: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其他社会保障缴费</w:t>
            </w: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2.56</w:t>
            </w: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30211</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差旅费</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3.48</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31011</w:t>
            </w: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地上附着物和青苗补偿</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30113</w:t>
            </w: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住房公积金</w:t>
            </w: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18.87</w:t>
            </w: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30212</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因公出国（境）费用</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31012</w:t>
            </w: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拆迁补偿</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30114</w:t>
            </w: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医疗费</w:t>
            </w: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4.88</w:t>
            </w: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30213</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维修（护）费</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31013</w:t>
            </w: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公务用车购置</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30199</w:t>
            </w: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其他工资福利支出</w:t>
            </w: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11.24</w:t>
            </w: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30214</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租赁费</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31019</w:t>
            </w: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其他交通工具购置</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303</w:t>
            </w: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对个人和家庭的补助</w:t>
            </w: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2.40</w:t>
            </w: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30215</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会议费</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31021</w:t>
            </w: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文物和陈列品购置</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30301</w:t>
            </w: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离休费</w:t>
            </w: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30216</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培训费</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1.41</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31022</w:t>
            </w: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无形资产购置</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30302</w:t>
            </w: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退休费</w:t>
            </w: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30217</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公务接待费</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31099</w:t>
            </w: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其他资本性支出</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405"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30303</w:t>
            </w: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退职（役）费</w:t>
            </w: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30218</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专用材料费</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312</w:t>
            </w: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对企业补助</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30304</w:t>
            </w: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抚恤金</w:t>
            </w: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30224</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被装购置费</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31201</w:t>
            </w: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资本金注入</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30305</w:t>
            </w: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生活补助</w:t>
            </w: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2.00</w:t>
            </w: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30225</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专用燃料费</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31203</w:t>
            </w: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政府投资基金股权投资</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30306</w:t>
            </w: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救济费</w:t>
            </w: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30226</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劳务费</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2.62</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31204</w:t>
            </w: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费用补贴</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30307</w:t>
            </w: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医疗费补助</w:t>
            </w: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0.40</w:t>
            </w: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30227</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委托业务费</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31205</w:t>
            </w: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利息补贴</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30308</w:t>
            </w: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助学金</w:t>
            </w: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30228</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工会经费</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7.67</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31299</w:t>
            </w: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其他对企业补助</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30309</w:t>
            </w: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奖励金</w:t>
            </w: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30229</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福利费</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0.03</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399</w:t>
            </w: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其他支出</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5" w:hRule="atLeast"/>
        </w:trPr>
        <w:tc>
          <w:tcPr>
            <w:tcW w:w="8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303010</w:t>
            </w: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个人农业生产补贴</w:t>
            </w: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30231</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公务用车运行维护费</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39906</w:t>
            </w: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赠与</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4"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30311</w:t>
            </w: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代缴社会保险费</w:t>
            </w: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30239</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其他交通费用</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39907</w:t>
            </w: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国家赔偿费用支出</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4"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30399</w:t>
            </w: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其他个人和家庭的补助支出</w:t>
            </w: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30240</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税金及附加费用</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39908</w:t>
            </w: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对民间非营利组织和群众性自治组织补贴</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4"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rPr>
                <w:color w:val="000000"/>
                <w:sz w:val="16"/>
                <w:szCs w:val="16"/>
              </w:rPr>
            </w:pP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rPr>
                <w:color w:val="000000"/>
                <w:sz w:val="16"/>
                <w:szCs w:val="16"/>
              </w:rPr>
            </w:pP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rPr>
                <w:color w:val="000000"/>
                <w:sz w:val="16"/>
                <w:szCs w:val="16"/>
              </w:rPr>
            </w:pP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30299</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其他商品和服务支出</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3.60</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39999</w:t>
            </w: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其他支出</w:t>
            </w: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r>
      <w:tr>
        <w:tblPrEx>
          <w:tblCellMar>
            <w:top w:w="15" w:type="dxa"/>
            <w:left w:w="15" w:type="dxa"/>
            <w:bottom w:w="15" w:type="dxa"/>
            <w:right w:w="15" w:type="dxa"/>
          </w:tblCellMar>
        </w:tblPrEx>
        <w:trPr>
          <w:trHeight w:val="374"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rPr>
                <w:color w:val="000000"/>
                <w:sz w:val="16"/>
                <w:szCs w:val="16"/>
              </w:rPr>
            </w:pP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rPr>
                <w:color w:val="000000"/>
                <w:sz w:val="16"/>
                <w:szCs w:val="16"/>
              </w:rPr>
            </w:pP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rPr>
                <w:color w:val="000000"/>
                <w:sz w:val="16"/>
                <w:szCs w:val="16"/>
              </w:rPr>
            </w:pP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307</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债务利息及费用支出</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rPr>
                <w:color w:val="000000"/>
                <w:sz w:val="16"/>
                <w:szCs w:val="16"/>
              </w:rPr>
            </w:pP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rPr>
                <w:color w:val="000000"/>
                <w:sz w:val="16"/>
                <w:szCs w:val="16"/>
              </w:rPr>
            </w:pP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rPr>
                <w:color w:val="000000"/>
                <w:sz w:val="16"/>
                <w:szCs w:val="16"/>
              </w:rPr>
            </w:pPr>
          </w:p>
        </w:tc>
      </w:tr>
      <w:tr>
        <w:tblPrEx>
          <w:tblCellMar>
            <w:top w:w="15" w:type="dxa"/>
            <w:left w:w="15" w:type="dxa"/>
            <w:bottom w:w="15" w:type="dxa"/>
            <w:right w:w="15" w:type="dxa"/>
          </w:tblCellMar>
        </w:tblPrEx>
        <w:trPr>
          <w:trHeight w:val="374"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rPr>
                <w:color w:val="000000"/>
                <w:sz w:val="16"/>
                <w:szCs w:val="16"/>
              </w:rPr>
            </w:pP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rPr>
                <w:color w:val="000000"/>
                <w:sz w:val="16"/>
                <w:szCs w:val="16"/>
              </w:rPr>
            </w:pP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rPr>
                <w:color w:val="000000"/>
                <w:sz w:val="16"/>
                <w:szCs w:val="16"/>
              </w:rPr>
            </w:pP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30701</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国内债务付息</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rPr>
                <w:color w:val="000000"/>
                <w:sz w:val="16"/>
                <w:szCs w:val="16"/>
              </w:rPr>
            </w:pP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rPr>
                <w:color w:val="000000"/>
                <w:sz w:val="16"/>
                <w:szCs w:val="16"/>
              </w:rPr>
            </w:pP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rPr>
                <w:color w:val="000000"/>
                <w:sz w:val="16"/>
                <w:szCs w:val="16"/>
              </w:rPr>
            </w:pPr>
          </w:p>
        </w:tc>
      </w:tr>
      <w:tr>
        <w:tblPrEx>
          <w:tblCellMar>
            <w:top w:w="15" w:type="dxa"/>
            <w:left w:w="15" w:type="dxa"/>
            <w:bottom w:w="15" w:type="dxa"/>
            <w:right w:w="15" w:type="dxa"/>
          </w:tblCellMar>
        </w:tblPrEx>
        <w:trPr>
          <w:trHeight w:val="374"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rPr>
                <w:color w:val="000000"/>
                <w:sz w:val="16"/>
                <w:szCs w:val="16"/>
              </w:rPr>
            </w:pP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rPr>
                <w:color w:val="000000"/>
                <w:sz w:val="16"/>
                <w:szCs w:val="16"/>
              </w:rPr>
            </w:pP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rPr>
                <w:color w:val="000000"/>
                <w:sz w:val="16"/>
                <w:szCs w:val="16"/>
              </w:rPr>
            </w:pP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30702</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国外债务付息</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rPr>
                <w:color w:val="000000"/>
                <w:sz w:val="16"/>
                <w:szCs w:val="16"/>
              </w:rPr>
            </w:pP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rPr>
                <w:color w:val="000000"/>
                <w:sz w:val="16"/>
                <w:szCs w:val="16"/>
              </w:rPr>
            </w:pP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rPr>
                <w:color w:val="000000"/>
                <w:sz w:val="16"/>
                <w:szCs w:val="16"/>
              </w:rPr>
            </w:pPr>
          </w:p>
        </w:tc>
      </w:tr>
      <w:tr>
        <w:tblPrEx>
          <w:tblCellMar>
            <w:top w:w="15" w:type="dxa"/>
            <w:left w:w="15" w:type="dxa"/>
            <w:bottom w:w="15" w:type="dxa"/>
            <w:right w:w="15" w:type="dxa"/>
          </w:tblCellMar>
        </w:tblPrEx>
        <w:trPr>
          <w:trHeight w:val="374"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rPr>
                <w:color w:val="000000"/>
                <w:sz w:val="16"/>
                <w:szCs w:val="16"/>
              </w:rPr>
            </w:pP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rPr>
                <w:color w:val="000000"/>
                <w:sz w:val="16"/>
                <w:szCs w:val="16"/>
              </w:rPr>
            </w:pP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rPr>
                <w:color w:val="000000"/>
                <w:sz w:val="16"/>
                <w:szCs w:val="16"/>
              </w:rPr>
            </w:pP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30703</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国内债务发行费用</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rPr>
                <w:color w:val="000000"/>
                <w:sz w:val="16"/>
                <w:szCs w:val="16"/>
              </w:rPr>
            </w:pP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rPr>
                <w:color w:val="000000"/>
                <w:sz w:val="16"/>
                <w:szCs w:val="16"/>
              </w:rPr>
            </w:pP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rPr>
                <w:color w:val="000000"/>
                <w:sz w:val="16"/>
                <w:szCs w:val="16"/>
              </w:rPr>
            </w:pPr>
          </w:p>
        </w:tc>
      </w:tr>
      <w:tr>
        <w:tblPrEx>
          <w:tblCellMar>
            <w:top w:w="15" w:type="dxa"/>
            <w:left w:w="15" w:type="dxa"/>
            <w:bottom w:w="15" w:type="dxa"/>
            <w:right w:w="15" w:type="dxa"/>
          </w:tblCellMar>
        </w:tblPrEx>
        <w:trPr>
          <w:trHeight w:val="374" w:hRule="atLeast"/>
        </w:trPr>
        <w:tc>
          <w:tcPr>
            <w:tcW w:w="88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rPr>
                <w:color w:val="000000"/>
                <w:sz w:val="16"/>
                <w:szCs w:val="16"/>
              </w:rPr>
            </w:pPr>
          </w:p>
        </w:tc>
        <w:tc>
          <w:tcPr>
            <w:tcW w:w="1440" w:type="dxa"/>
            <w:tcBorders>
              <w:top w:val="nil"/>
              <w:left w:val="nil"/>
              <w:bottom w:val="single" w:color="000000" w:sz="4" w:space="0"/>
              <w:right w:val="single" w:color="000000" w:sz="4" w:space="0"/>
            </w:tcBorders>
            <w:shd w:val="clear" w:color="auto" w:fill="C0C0C0"/>
            <w:vAlign w:val="center"/>
          </w:tcPr>
          <w:p>
            <w:pPr>
              <w:autoSpaceDE w:val="0"/>
              <w:spacing w:line="240" w:lineRule="atLeast"/>
              <w:rPr>
                <w:color w:val="000000"/>
                <w:sz w:val="16"/>
                <w:szCs w:val="16"/>
              </w:rPr>
            </w:pPr>
          </w:p>
        </w:tc>
        <w:tc>
          <w:tcPr>
            <w:tcW w:w="735" w:type="dxa"/>
            <w:tcBorders>
              <w:top w:val="nil"/>
              <w:left w:val="nil"/>
              <w:bottom w:val="single" w:color="000000" w:sz="4" w:space="0"/>
              <w:right w:val="single" w:color="000000" w:sz="4" w:space="0"/>
            </w:tcBorders>
            <w:shd w:val="clear" w:color="auto" w:fill="FFFFFF"/>
            <w:vAlign w:val="center"/>
          </w:tcPr>
          <w:p>
            <w:pPr>
              <w:autoSpaceDE w:val="0"/>
              <w:spacing w:line="240" w:lineRule="atLeast"/>
              <w:rPr>
                <w:color w:val="000000"/>
                <w:sz w:val="16"/>
                <w:szCs w:val="16"/>
              </w:rPr>
            </w:pPr>
          </w:p>
        </w:tc>
        <w:tc>
          <w:tcPr>
            <w:tcW w:w="82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30704</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color w:val="000000"/>
                <w:sz w:val="16"/>
                <w:szCs w:val="16"/>
              </w:rPr>
            </w:pPr>
            <w:r>
              <w:rPr>
                <w:rFonts w:hint="eastAsia"/>
                <w:color w:val="000000"/>
                <w:sz w:val="16"/>
                <w:szCs w:val="16"/>
              </w:rPr>
              <w:t xml:space="preserve">  国外债务发行费用</w:t>
            </w:r>
          </w:p>
        </w:tc>
        <w:tc>
          <w:tcPr>
            <w:tcW w:w="5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0.00</w:t>
            </w:r>
          </w:p>
        </w:tc>
        <w:tc>
          <w:tcPr>
            <w:tcW w:w="585" w:type="dxa"/>
            <w:tcBorders>
              <w:top w:val="nil"/>
              <w:left w:val="nil"/>
              <w:bottom w:val="single" w:color="000000" w:sz="4" w:space="0"/>
              <w:right w:val="single" w:color="000000" w:sz="4" w:space="0"/>
            </w:tcBorders>
            <w:shd w:val="clear" w:color="auto" w:fill="C0C0C0"/>
            <w:vAlign w:val="center"/>
          </w:tcPr>
          <w:p>
            <w:pPr>
              <w:autoSpaceDE w:val="0"/>
              <w:spacing w:line="240" w:lineRule="atLeast"/>
              <w:rPr>
                <w:color w:val="000000"/>
                <w:sz w:val="16"/>
                <w:szCs w:val="16"/>
              </w:rPr>
            </w:pPr>
          </w:p>
        </w:tc>
        <w:tc>
          <w:tcPr>
            <w:tcW w:w="1245" w:type="dxa"/>
            <w:tcBorders>
              <w:top w:val="nil"/>
              <w:left w:val="nil"/>
              <w:bottom w:val="single" w:color="000000" w:sz="4" w:space="0"/>
              <w:right w:val="single" w:color="000000" w:sz="4" w:space="0"/>
            </w:tcBorders>
            <w:shd w:val="clear" w:color="auto" w:fill="C0C0C0"/>
            <w:vAlign w:val="center"/>
          </w:tcPr>
          <w:p>
            <w:pPr>
              <w:autoSpaceDE w:val="0"/>
              <w:spacing w:line="240" w:lineRule="atLeast"/>
              <w:rPr>
                <w:color w:val="000000"/>
                <w:sz w:val="16"/>
                <w:szCs w:val="16"/>
              </w:rPr>
            </w:pPr>
          </w:p>
        </w:tc>
        <w:tc>
          <w:tcPr>
            <w:tcW w:w="645" w:type="dxa"/>
            <w:tcBorders>
              <w:top w:val="nil"/>
              <w:left w:val="nil"/>
              <w:bottom w:val="single" w:color="000000" w:sz="4" w:space="0"/>
              <w:right w:val="single" w:color="000000" w:sz="4" w:space="0"/>
            </w:tcBorders>
            <w:shd w:val="clear" w:color="auto" w:fill="FFFFFF"/>
            <w:vAlign w:val="center"/>
          </w:tcPr>
          <w:p>
            <w:pPr>
              <w:autoSpaceDE w:val="0"/>
              <w:spacing w:line="240" w:lineRule="atLeast"/>
              <w:rPr>
                <w:color w:val="000000"/>
                <w:sz w:val="16"/>
                <w:szCs w:val="16"/>
              </w:rPr>
            </w:pPr>
          </w:p>
        </w:tc>
      </w:tr>
      <w:tr>
        <w:tblPrEx>
          <w:tblCellMar>
            <w:top w:w="15" w:type="dxa"/>
            <w:left w:w="15" w:type="dxa"/>
            <w:bottom w:w="15" w:type="dxa"/>
            <w:right w:w="15" w:type="dxa"/>
          </w:tblCellMar>
        </w:tblPrEx>
        <w:trPr>
          <w:trHeight w:val="375" w:hRule="atLeast"/>
        </w:trPr>
        <w:tc>
          <w:tcPr>
            <w:tcW w:w="3060" w:type="dxa"/>
            <w:gridSpan w:val="3"/>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人员经费合计</w:t>
            </w:r>
          </w:p>
        </w:tc>
        <w:tc>
          <w:tcPr>
            <w:tcW w:w="82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249.24</w:t>
            </w:r>
          </w:p>
        </w:tc>
        <w:tc>
          <w:tcPr>
            <w:tcW w:w="111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b/>
                <w:bCs/>
                <w:color w:val="000000"/>
                <w:sz w:val="16"/>
                <w:szCs w:val="16"/>
              </w:rPr>
            </w:pPr>
            <w:r>
              <w:rPr>
                <w:rFonts w:hint="eastAsia"/>
                <w:b/>
                <w:bCs/>
                <w:color w:val="000000"/>
                <w:sz w:val="16"/>
                <w:szCs w:val="16"/>
              </w:rPr>
              <w:t>公用经费合计</w:t>
            </w:r>
          </w:p>
        </w:tc>
        <w:tc>
          <w:tcPr>
            <w:tcW w:w="3015" w:type="dxa"/>
            <w:gridSpan w:val="4"/>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19.35</w:t>
            </w:r>
          </w:p>
        </w:tc>
      </w:tr>
      <w:tr>
        <w:tblPrEx>
          <w:tblCellMar>
            <w:top w:w="15" w:type="dxa"/>
            <w:left w:w="15" w:type="dxa"/>
            <w:bottom w:w="15" w:type="dxa"/>
            <w:right w:w="15" w:type="dxa"/>
          </w:tblCellMar>
        </w:tblPrEx>
        <w:trPr>
          <w:trHeight w:val="375" w:hRule="atLeast"/>
        </w:trPr>
        <w:tc>
          <w:tcPr>
            <w:tcW w:w="8010" w:type="dxa"/>
            <w:gridSpan w:val="9"/>
            <w:tcBorders>
              <w:top w:val="nil"/>
              <w:left w:val="nil"/>
              <w:bottom w:val="nil"/>
              <w:right w:val="nil"/>
            </w:tcBorders>
            <w:shd w:val="clear" w:color="auto" w:fill="FFFFFF"/>
            <w:vAlign w:val="center"/>
          </w:tcPr>
          <w:p>
            <w:pPr>
              <w:autoSpaceDE w:val="0"/>
              <w:spacing w:line="240" w:lineRule="atLeast"/>
              <w:textAlignment w:val="center"/>
              <w:rPr>
                <w:color w:val="000000"/>
                <w:sz w:val="16"/>
                <w:szCs w:val="16"/>
              </w:rPr>
            </w:pPr>
            <w:r>
              <w:rPr>
                <w:rFonts w:hint="eastAsia"/>
                <w:color w:val="000000"/>
                <w:sz w:val="16"/>
                <w:szCs w:val="16"/>
              </w:rPr>
              <w:t>注：本表反映部门本年度一般公共预算财政拨款基本支出明细情况。</w:t>
            </w:r>
          </w:p>
        </w:tc>
      </w:tr>
    </w:tbl>
    <w:p>
      <w:pPr>
        <w:pStyle w:val="25"/>
        <w:autoSpaceDE w:val="0"/>
        <w:spacing w:before="0" w:beforeAutospacing="0" w:after="0" w:afterAutospacing="0" w:line="240" w:lineRule="atLeast"/>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 xml:space="preserve"> </w:t>
      </w:r>
    </w:p>
    <w:p>
      <w:pPr>
        <w:pStyle w:val="25"/>
        <w:autoSpaceDE w:val="0"/>
        <w:spacing w:before="0" w:beforeAutospacing="0" w:after="0" w:afterAutospacing="0" w:line="240" w:lineRule="atLeast"/>
        <w:rPr>
          <w:rFonts w:ascii="Times New Roman" w:hAnsi="Times New Roman" w:eastAsia="仿宋" w:cs="Times New Roman"/>
          <w:sz w:val="32"/>
          <w:szCs w:val="32"/>
          <w:shd w:val="clear" w:color="auto" w:fill="FFFFFF"/>
        </w:rPr>
      </w:pPr>
    </w:p>
    <w:tbl>
      <w:tblPr>
        <w:tblStyle w:val="13"/>
        <w:tblW w:w="8100" w:type="dxa"/>
        <w:tblInd w:w="238" w:type="dxa"/>
        <w:tblLayout w:type="fixed"/>
        <w:tblCellMar>
          <w:top w:w="15" w:type="dxa"/>
          <w:left w:w="15" w:type="dxa"/>
          <w:bottom w:w="15" w:type="dxa"/>
          <w:right w:w="15" w:type="dxa"/>
        </w:tblCellMar>
      </w:tblPr>
      <w:tblGrid>
        <w:gridCol w:w="825"/>
        <w:gridCol w:w="2700"/>
        <w:gridCol w:w="705"/>
        <w:gridCol w:w="690"/>
        <w:gridCol w:w="690"/>
        <w:gridCol w:w="780"/>
        <w:gridCol w:w="780"/>
        <w:gridCol w:w="930"/>
      </w:tblGrid>
      <w:tr>
        <w:tblPrEx>
          <w:tblCellMar>
            <w:top w:w="15" w:type="dxa"/>
            <w:left w:w="15" w:type="dxa"/>
            <w:bottom w:w="15" w:type="dxa"/>
            <w:right w:w="15" w:type="dxa"/>
          </w:tblCellMar>
        </w:tblPrEx>
        <w:trPr>
          <w:trHeight w:val="285" w:hRule="atLeast"/>
        </w:trPr>
        <w:tc>
          <w:tcPr>
            <w:tcW w:w="8100" w:type="dxa"/>
            <w:gridSpan w:val="8"/>
            <w:tcBorders>
              <w:top w:val="nil"/>
              <w:left w:val="nil"/>
              <w:bottom w:val="nil"/>
              <w:right w:val="single" w:color="808080" w:sz="4" w:space="0"/>
            </w:tcBorders>
            <w:shd w:val="clear" w:color="auto" w:fill="FFFFFF"/>
            <w:vAlign w:val="center"/>
          </w:tcPr>
          <w:p>
            <w:pPr>
              <w:autoSpaceDE w:val="0"/>
              <w:spacing w:line="240" w:lineRule="atLeast"/>
              <w:jc w:val="center"/>
              <w:textAlignment w:val="center"/>
              <w:rPr>
                <w:rFonts w:ascii="方正仿宋_GBK" w:eastAsia="方正仿宋_GBK"/>
                <w:color w:val="000000"/>
                <w:sz w:val="18"/>
                <w:szCs w:val="18"/>
              </w:rPr>
            </w:pPr>
            <w:r>
              <w:rPr>
                <w:rFonts w:hint="eastAsia" w:ascii="方正仿宋_GBK" w:eastAsia="方正仿宋_GBK"/>
                <w:color w:val="000000"/>
                <w:sz w:val="32"/>
                <w:szCs w:val="32"/>
              </w:rPr>
              <w:t>政府性基金预算财政拨款收入支出决算表</w:t>
            </w:r>
          </w:p>
        </w:tc>
      </w:tr>
      <w:tr>
        <w:trPr>
          <w:trHeight w:val="285" w:hRule="atLeast"/>
        </w:trPr>
        <w:tc>
          <w:tcPr>
            <w:tcW w:w="8100" w:type="dxa"/>
            <w:gridSpan w:val="8"/>
            <w:tcBorders>
              <w:top w:val="nil"/>
              <w:left w:val="nil"/>
              <w:bottom w:val="nil"/>
              <w:right w:val="single" w:color="808080" w:sz="4" w:space="0"/>
            </w:tcBorders>
            <w:shd w:val="clear" w:color="auto" w:fill="FFFFFF"/>
            <w:vAlign w:val="center"/>
          </w:tcPr>
          <w:p>
            <w:pPr>
              <w:autoSpaceDE w:val="0"/>
              <w:spacing w:line="240" w:lineRule="atLeast"/>
              <w:jc w:val="right"/>
              <w:textAlignment w:val="center"/>
              <w:rPr>
                <w:rFonts w:ascii="方正仿宋_GBK" w:eastAsia="方正仿宋_GBK"/>
                <w:color w:val="000000"/>
                <w:sz w:val="18"/>
                <w:szCs w:val="18"/>
              </w:rPr>
            </w:pPr>
            <w:r>
              <w:rPr>
                <w:rFonts w:hint="eastAsia" w:ascii="方正仿宋_GBK" w:eastAsia="方正仿宋_GBK"/>
                <w:color w:val="000000"/>
                <w:sz w:val="18"/>
                <w:szCs w:val="18"/>
              </w:rPr>
              <w:t>公开07表</w:t>
            </w:r>
          </w:p>
        </w:tc>
      </w:tr>
      <w:tr>
        <w:tblPrEx>
          <w:tblCellMar>
            <w:top w:w="15" w:type="dxa"/>
            <w:left w:w="15" w:type="dxa"/>
            <w:bottom w:w="15" w:type="dxa"/>
            <w:right w:w="15" w:type="dxa"/>
          </w:tblCellMar>
        </w:tblPrEx>
        <w:trPr>
          <w:trHeight w:val="285" w:hRule="atLeast"/>
        </w:trPr>
        <w:tc>
          <w:tcPr>
            <w:tcW w:w="3525" w:type="dxa"/>
            <w:gridSpan w:val="2"/>
            <w:tcBorders>
              <w:top w:val="nil"/>
              <w:left w:val="nil"/>
              <w:bottom w:val="single" w:color="auto" w:sz="4" w:space="0"/>
              <w:right w:val="nil"/>
            </w:tcBorders>
            <w:shd w:val="clear" w:color="auto" w:fill="FFFFFF"/>
            <w:vAlign w:val="center"/>
          </w:tcPr>
          <w:p>
            <w:pPr>
              <w:autoSpaceDE w:val="0"/>
              <w:spacing w:line="240" w:lineRule="atLeast"/>
              <w:rPr>
                <w:rFonts w:ascii="方正仿宋_GBK" w:eastAsia="方正仿宋_GBK"/>
                <w:color w:val="000000"/>
                <w:sz w:val="18"/>
                <w:szCs w:val="18"/>
              </w:rPr>
            </w:pPr>
            <w:r>
              <w:rPr>
                <w:rFonts w:hint="eastAsia" w:ascii="方正仿宋_GBK" w:eastAsia="方正仿宋_GBK"/>
                <w:color w:val="000000"/>
                <w:sz w:val="18"/>
                <w:szCs w:val="18"/>
              </w:rPr>
              <w:t>公开部门：</w:t>
            </w:r>
            <w:r>
              <w:rPr>
                <w:rFonts w:hint="eastAsia"/>
                <w:color w:val="000000"/>
                <w:sz w:val="16"/>
                <w:szCs w:val="16"/>
              </w:rPr>
              <w:t>重庆市垫江县交通建设工程服务中心</w:t>
            </w:r>
          </w:p>
        </w:tc>
        <w:tc>
          <w:tcPr>
            <w:tcW w:w="1395" w:type="dxa"/>
            <w:gridSpan w:val="2"/>
            <w:tcBorders>
              <w:top w:val="nil"/>
              <w:left w:val="nil"/>
              <w:bottom w:val="single" w:color="auto" w:sz="4" w:space="0"/>
              <w:right w:val="nil"/>
            </w:tcBorders>
            <w:shd w:val="clear" w:color="auto" w:fill="FFFFFF"/>
            <w:vAlign w:val="center"/>
          </w:tcPr>
          <w:p>
            <w:pPr>
              <w:autoSpaceDE w:val="0"/>
              <w:spacing w:line="240" w:lineRule="atLeast"/>
              <w:rPr>
                <w:rFonts w:ascii="方正仿宋_GBK" w:eastAsia="方正仿宋_GBK"/>
                <w:color w:val="000000"/>
                <w:sz w:val="18"/>
                <w:szCs w:val="18"/>
              </w:rPr>
            </w:pPr>
            <w:r>
              <w:rPr>
                <w:rFonts w:hint="eastAsia" w:ascii="方正仿宋_GBK" w:eastAsia="方正仿宋_GBK"/>
                <w:color w:val="000000"/>
                <w:sz w:val="18"/>
                <w:szCs w:val="18"/>
              </w:rPr>
              <w:t xml:space="preserve">        2020年度</w:t>
            </w:r>
          </w:p>
        </w:tc>
        <w:tc>
          <w:tcPr>
            <w:tcW w:w="3180" w:type="dxa"/>
            <w:gridSpan w:val="4"/>
            <w:tcBorders>
              <w:top w:val="nil"/>
              <w:left w:val="nil"/>
              <w:bottom w:val="single" w:color="auto" w:sz="4" w:space="0"/>
              <w:right w:val="single" w:color="808080" w:sz="4" w:space="0"/>
            </w:tcBorders>
            <w:shd w:val="clear" w:color="auto" w:fill="FFFFFF"/>
            <w:vAlign w:val="center"/>
          </w:tcPr>
          <w:p>
            <w:pPr>
              <w:autoSpaceDE w:val="0"/>
              <w:spacing w:line="240" w:lineRule="atLeast"/>
              <w:jc w:val="right"/>
              <w:textAlignment w:val="center"/>
              <w:rPr>
                <w:rFonts w:ascii="方正仿宋_GBK" w:eastAsia="方正仿宋_GBK"/>
                <w:color w:val="000000"/>
                <w:sz w:val="18"/>
                <w:szCs w:val="18"/>
              </w:rPr>
            </w:pPr>
            <w:r>
              <w:rPr>
                <w:rFonts w:hint="eastAsia" w:ascii="方正仿宋_GBK" w:eastAsia="方正仿宋_GBK"/>
                <w:color w:val="000000"/>
                <w:sz w:val="18"/>
                <w:szCs w:val="18"/>
              </w:rPr>
              <w:t>单位：万元</w:t>
            </w:r>
          </w:p>
        </w:tc>
      </w:tr>
      <w:tr>
        <w:tblPrEx>
          <w:tblCellMar>
            <w:top w:w="15" w:type="dxa"/>
            <w:left w:w="15" w:type="dxa"/>
            <w:bottom w:w="15" w:type="dxa"/>
            <w:right w:w="15" w:type="dxa"/>
          </w:tblCellMar>
        </w:tblPrEx>
        <w:trPr>
          <w:trHeight w:val="285" w:hRule="atLeast"/>
        </w:trPr>
        <w:tc>
          <w:tcPr>
            <w:tcW w:w="3525"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项目</w:t>
            </w:r>
          </w:p>
        </w:tc>
        <w:tc>
          <w:tcPr>
            <w:tcW w:w="705" w:type="dxa"/>
            <w:vMerge w:val="restart"/>
            <w:tcBorders>
              <w:top w:val="nil"/>
              <w:left w:val="nil"/>
              <w:bottom w:val="single" w:color="auto" w:sz="4" w:space="0"/>
              <w:right w:val="single" w:color="auto"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年初结转和结余</w:t>
            </w:r>
          </w:p>
        </w:tc>
        <w:tc>
          <w:tcPr>
            <w:tcW w:w="690" w:type="dxa"/>
            <w:vMerge w:val="restart"/>
            <w:tcBorders>
              <w:top w:val="nil"/>
              <w:left w:val="nil"/>
              <w:bottom w:val="single" w:color="auto" w:sz="4" w:space="0"/>
              <w:right w:val="single" w:color="auto"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本年收入</w:t>
            </w:r>
          </w:p>
        </w:tc>
        <w:tc>
          <w:tcPr>
            <w:tcW w:w="2250" w:type="dxa"/>
            <w:gridSpan w:val="3"/>
            <w:tcBorders>
              <w:top w:val="single" w:color="auto" w:sz="4" w:space="0"/>
              <w:left w:val="nil"/>
              <w:bottom w:val="nil"/>
              <w:right w:val="single" w:color="auto" w:sz="4" w:space="0"/>
            </w:tcBorders>
            <w:shd w:val="clear" w:color="auto" w:fill="C0C0C0"/>
            <w:vAlign w:val="center"/>
          </w:tcPr>
          <w:p>
            <w:pPr>
              <w:autoSpaceDE w:val="0"/>
              <w:spacing w:line="240" w:lineRule="atLeast"/>
              <w:jc w:val="center"/>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本年支出</w:t>
            </w:r>
          </w:p>
        </w:tc>
        <w:tc>
          <w:tcPr>
            <w:tcW w:w="930" w:type="dxa"/>
            <w:vMerge w:val="restart"/>
            <w:tcBorders>
              <w:top w:val="single" w:color="auto" w:sz="4" w:space="0"/>
              <w:left w:val="nil"/>
              <w:bottom w:val="single" w:color="auto" w:sz="4" w:space="0"/>
              <w:right w:val="single" w:color="auto"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年末结转和结余</w:t>
            </w:r>
          </w:p>
        </w:tc>
      </w:tr>
      <w:tr>
        <w:tblPrEx>
          <w:tblCellMar>
            <w:top w:w="15" w:type="dxa"/>
            <w:left w:w="15" w:type="dxa"/>
            <w:bottom w:w="15" w:type="dxa"/>
            <w:right w:w="15" w:type="dxa"/>
          </w:tblCellMar>
        </w:tblPrEx>
        <w:trPr>
          <w:trHeight w:val="263" w:hRule="atLeast"/>
        </w:trPr>
        <w:tc>
          <w:tcPr>
            <w:tcW w:w="825" w:type="dxa"/>
            <w:vMerge w:val="restart"/>
            <w:tcBorders>
              <w:top w:val="nil"/>
              <w:left w:val="single" w:color="000000" w:sz="4" w:space="0"/>
              <w:bottom w:val="single" w:color="auto"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功能分类科目编码</w:t>
            </w:r>
          </w:p>
        </w:tc>
        <w:tc>
          <w:tcPr>
            <w:tcW w:w="2700" w:type="dxa"/>
            <w:vMerge w:val="restart"/>
            <w:tcBorders>
              <w:top w:val="nil"/>
              <w:left w:val="nil"/>
              <w:bottom w:val="single" w:color="auto"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项目（按“项”级功能分类科目）</w:t>
            </w:r>
          </w:p>
        </w:tc>
        <w:tc>
          <w:tcPr>
            <w:tcW w:w="1395" w:type="dxa"/>
            <w:vMerge w:val="continue"/>
            <w:tcBorders>
              <w:top w:val="nil"/>
              <w:left w:val="nil"/>
              <w:bottom w:val="single" w:color="auto" w:sz="4" w:space="0"/>
              <w:right w:val="single" w:color="auto" w:sz="4" w:space="0"/>
            </w:tcBorders>
            <w:vAlign w:val="center"/>
          </w:tcPr>
          <w:p>
            <w:pPr>
              <w:rPr>
                <w:rFonts w:ascii="方正仿宋_GBK" w:eastAsia="方正仿宋_GBK"/>
                <w:b/>
                <w:bCs/>
                <w:color w:val="000000"/>
                <w:sz w:val="18"/>
                <w:szCs w:val="18"/>
              </w:rPr>
            </w:pPr>
          </w:p>
        </w:tc>
        <w:tc>
          <w:tcPr>
            <w:tcW w:w="690" w:type="dxa"/>
            <w:vMerge w:val="continue"/>
            <w:tcBorders>
              <w:top w:val="nil"/>
              <w:left w:val="nil"/>
              <w:bottom w:val="single" w:color="auto" w:sz="4" w:space="0"/>
              <w:right w:val="single" w:color="auto" w:sz="4" w:space="0"/>
            </w:tcBorders>
            <w:vAlign w:val="center"/>
          </w:tcPr>
          <w:p>
            <w:pPr>
              <w:rPr>
                <w:rFonts w:ascii="方正仿宋_GBK" w:eastAsia="方正仿宋_GBK"/>
                <w:b/>
                <w:bCs/>
                <w:color w:val="000000"/>
                <w:sz w:val="18"/>
                <w:szCs w:val="18"/>
              </w:rPr>
            </w:pPr>
          </w:p>
        </w:tc>
        <w:tc>
          <w:tcPr>
            <w:tcW w:w="690" w:type="dxa"/>
            <w:vMerge w:val="restart"/>
            <w:tcBorders>
              <w:top w:val="nil"/>
              <w:left w:val="nil"/>
              <w:bottom w:val="single" w:color="auto"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合计</w:t>
            </w:r>
          </w:p>
        </w:tc>
        <w:tc>
          <w:tcPr>
            <w:tcW w:w="780" w:type="dxa"/>
            <w:vMerge w:val="restart"/>
            <w:tcBorders>
              <w:top w:val="single" w:color="auto" w:sz="4" w:space="0"/>
              <w:left w:val="nil"/>
              <w:bottom w:val="single" w:color="auto"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基本支出</w:t>
            </w:r>
          </w:p>
        </w:tc>
        <w:tc>
          <w:tcPr>
            <w:tcW w:w="780" w:type="dxa"/>
            <w:vMerge w:val="restart"/>
            <w:tcBorders>
              <w:top w:val="single" w:color="auto" w:sz="4" w:space="0"/>
              <w:left w:val="nil"/>
              <w:bottom w:val="single" w:color="auto"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项目支出</w:t>
            </w:r>
          </w:p>
        </w:tc>
        <w:tc>
          <w:tcPr>
            <w:tcW w:w="930" w:type="dxa"/>
            <w:vMerge w:val="continue"/>
            <w:tcBorders>
              <w:top w:val="single" w:color="auto" w:sz="4" w:space="0"/>
              <w:left w:val="nil"/>
              <w:bottom w:val="single" w:color="auto" w:sz="4" w:space="0"/>
              <w:right w:val="single" w:color="auto" w:sz="4" w:space="0"/>
            </w:tcBorders>
            <w:vAlign w:val="center"/>
          </w:tcPr>
          <w:p>
            <w:pPr>
              <w:rPr>
                <w:rFonts w:ascii="方正仿宋_GBK" w:eastAsia="方正仿宋_GBK"/>
                <w:b/>
                <w:bCs/>
                <w:color w:val="000000"/>
                <w:sz w:val="18"/>
                <w:szCs w:val="18"/>
              </w:rPr>
            </w:pPr>
          </w:p>
        </w:tc>
      </w:tr>
      <w:tr>
        <w:tblPrEx>
          <w:tblCellMar>
            <w:top w:w="15" w:type="dxa"/>
            <w:left w:w="15" w:type="dxa"/>
            <w:bottom w:w="15" w:type="dxa"/>
            <w:right w:w="15" w:type="dxa"/>
          </w:tblCellMar>
        </w:tblPrEx>
        <w:trPr>
          <w:trHeight w:val="263" w:hRule="atLeast"/>
        </w:trPr>
        <w:tc>
          <w:tcPr>
            <w:tcW w:w="8100" w:type="dxa"/>
            <w:vMerge w:val="continue"/>
            <w:tcBorders>
              <w:top w:val="nil"/>
              <w:left w:val="single" w:color="000000" w:sz="4" w:space="0"/>
              <w:bottom w:val="single" w:color="auto" w:sz="4" w:space="0"/>
              <w:right w:val="single" w:color="000000" w:sz="4" w:space="0"/>
            </w:tcBorders>
            <w:vAlign w:val="center"/>
          </w:tcPr>
          <w:p>
            <w:pPr>
              <w:rPr>
                <w:rFonts w:ascii="方正仿宋_GBK" w:eastAsia="方正仿宋_GBK"/>
                <w:b/>
                <w:bCs/>
                <w:color w:val="000000"/>
                <w:sz w:val="18"/>
                <w:szCs w:val="18"/>
              </w:rPr>
            </w:pPr>
          </w:p>
        </w:tc>
        <w:tc>
          <w:tcPr>
            <w:tcW w:w="2700" w:type="dxa"/>
            <w:vMerge w:val="continue"/>
            <w:tcBorders>
              <w:top w:val="nil"/>
              <w:left w:val="nil"/>
              <w:bottom w:val="single" w:color="auto" w:sz="4" w:space="0"/>
              <w:right w:val="single" w:color="000000" w:sz="4" w:space="0"/>
            </w:tcBorders>
            <w:vAlign w:val="center"/>
          </w:tcPr>
          <w:p>
            <w:pPr>
              <w:rPr>
                <w:rFonts w:ascii="方正仿宋_GBK" w:eastAsia="方正仿宋_GBK"/>
                <w:b/>
                <w:bCs/>
                <w:color w:val="000000"/>
                <w:sz w:val="18"/>
                <w:szCs w:val="18"/>
              </w:rPr>
            </w:pPr>
          </w:p>
        </w:tc>
        <w:tc>
          <w:tcPr>
            <w:tcW w:w="1395" w:type="dxa"/>
            <w:vMerge w:val="continue"/>
            <w:tcBorders>
              <w:top w:val="nil"/>
              <w:left w:val="nil"/>
              <w:bottom w:val="single" w:color="auto" w:sz="4" w:space="0"/>
              <w:right w:val="single" w:color="auto" w:sz="4" w:space="0"/>
            </w:tcBorders>
            <w:vAlign w:val="center"/>
          </w:tcPr>
          <w:p>
            <w:pPr>
              <w:rPr>
                <w:rFonts w:ascii="方正仿宋_GBK" w:eastAsia="方正仿宋_GBK"/>
                <w:b/>
                <w:bCs/>
                <w:color w:val="000000"/>
                <w:sz w:val="18"/>
                <w:szCs w:val="18"/>
              </w:rPr>
            </w:pPr>
          </w:p>
        </w:tc>
        <w:tc>
          <w:tcPr>
            <w:tcW w:w="690" w:type="dxa"/>
            <w:vMerge w:val="continue"/>
            <w:tcBorders>
              <w:top w:val="nil"/>
              <w:left w:val="nil"/>
              <w:bottom w:val="single" w:color="auto" w:sz="4" w:space="0"/>
              <w:right w:val="single" w:color="auto" w:sz="4" w:space="0"/>
            </w:tcBorders>
            <w:vAlign w:val="center"/>
          </w:tcPr>
          <w:p>
            <w:pPr>
              <w:rPr>
                <w:rFonts w:ascii="方正仿宋_GBK" w:eastAsia="方正仿宋_GBK"/>
                <w:b/>
                <w:bCs/>
                <w:color w:val="000000"/>
                <w:sz w:val="18"/>
                <w:szCs w:val="18"/>
              </w:rPr>
            </w:pPr>
          </w:p>
        </w:tc>
        <w:tc>
          <w:tcPr>
            <w:tcW w:w="3180" w:type="dxa"/>
            <w:vMerge w:val="continue"/>
            <w:tcBorders>
              <w:top w:val="nil"/>
              <w:left w:val="nil"/>
              <w:bottom w:val="single" w:color="auto" w:sz="4" w:space="0"/>
              <w:right w:val="single" w:color="000000" w:sz="4" w:space="0"/>
            </w:tcBorders>
            <w:vAlign w:val="center"/>
          </w:tcPr>
          <w:p>
            <w:pPr>
              <w:rPr>
                <w:rFonts w:ascii="方正仿宋_GBK" w:eastAsia="方正仿宋_GBK"/>
                <w:b/>
                <w:bCs/>
                <w:color w:val="000000"/>
                <w:sz w:val="18"/>
                <w:szCs w:val="18"/>
              </w:rPr>
            </w:pPr>
          </w:p>
        </w:tc>
        <w:tc>
          <w:tcPr>
            <w:tcW w:w="780" w:type="dxa"/>
            <w:vMerge w:val="continue"/>
            <w:tcBorders>
              <w:top w:val="single" w:color="auto" w:sz="4" w:space="0"/>
              <w:left w:val="nil"/>
              <w:bottom w:val="single" w:color="auto" w:sz="4" w:space="0"/>
              <w:right w:val="single" w:color="000000" w:sz="4" w:space="0"/>
            </w:tcBorders>
            <w:vAlign w:val="center"/>
          </w:tcPr>
          <w:p>
            <w:pPr>
              <w:rPr>
                <w:rFonts w:ascii="方正仿宋_GBK" w:eastAsia="方正仿宋_GBK"/>
                <w:b/>
                <w:bCs/>
                <w:color w:val="000000"/>
                <w:sz w:val="18"/>
                <w:szCs w:val="18"/>
              </w:rPr>
            </w:pPr>
          </w:p>
        </w:tc>
        <w:tc>
          <w:tcPr>
            <w:tcW w:w="780" w:type="dxa"/>
            <w:vMerge w:val="continue"/>
            <w:tcBorders>
              <w:top w:val="single" w:color="auto" w:sz="4" w:space="0"/>
              <w:left w:val="nil"/>
              <w:bottom w:val="single" w:color="auto" w:sz="4" w:space="0"/>
              <w:right w:val="single" w:color="000000" w:sz="4" w:space="0"/>
            </w:tcBorders>
            <w:vAlign w:val="center"/>
          </w:tcPr>
          <w:p>
            <w:pPr>
              <w:rPr>
                <w:rFonts w:ascii="方正仿宋_GBK" w:eastAsia="方正仿宋_GBK"/>
                <w:b/>
                <w:bCs/>
                <w:color w:val="000000"/>
                <w:sz w:val="18"/>
                <w:szCs w:val="18"/>
              </w:rPr>
            </w:pPr>
          </w:p>
        </w:tc>
        <w:tc>
          <w:tcPr>
            <w:tcW w:w="930" w:type="dxa"/>
            <w:vMerge w:val="continue"/>
            <w:tcBorders>
              <w:top w:val="single" w:color="auto" w:sz="4" w:space="0"/>
              <w:left w:val="nil"/>
              <w:bottom w:val="single" w:color="auto" w:sz="4" w:space="0"/>
              <w:right w:val="single" w:color="auto" w:sz="4" w:space="0"/>
            </w:tcBorders>
            <w:vAlign w:val="center"/>
          </w:tcPr>
          <w:p>
            <w:pPr>
              <w:rPr>
                <w:rFonts w:ascii="方正仿宋_GBK" w:eastAsia="方正仿宋_GBK"/>
                <w:b/>
                <w:bCs/>
                <w:color w:val="000000"/>
                <w:sz w:val="18"/>
                <w:szCs w:val="18"/>
              </w:rPr>
            </w:pPr>
          </w:p>
        </w:tc>
      </w:tr>
      <w:tr>
        <w:tblPrEx>
          <w:tblCellMar>
            <w:top w:w="15" w:type="dxa"/>
            <w:left w:w="15" w:type="dxa"/>
            <w:bottom w:w="15" w:type="dxa"/>
            <w:right w:w="15" w:type="dxa"/>
          </w:tblCellMar>
        </w:tblPrEx>
        <w:trPr>
          <w:trHeight w:val="263" w:hRule="atLeast"/>
        </w:trPr>
        <w:tc>
          <w:tcPr>
            <w:tcW w:w="8100" w:type="dxa"/>
            <w:vMerge w:val="continue"/>
            <w:tcBorders>
              <w:top w:val="nil"/>
              <w:left w:val="single" w:color="000000" w:sz="4" w:space="0"/>
              <w:bottom w:val="single" w:color="auto" w:sz="4" w:space="0"/>
              <w:right w:val="single" w:color="000000" w:sz="4" w:space="0"/>
            </w:tcBorders>
            <w:vAlign w:val="center"/>
          </w:tcPr>
          <w:p>
            <w:pPr>
              <w:rPr>
                <w:rFonts w:ascii="方正仿宋_GBK" w:eastAsia="方正仿宋_GBK"/>
                <w:b/>
                <w:bCs/>
                <w:color w:val="000000"/>
                <w:sz w:val="18"/>
                <w:szCs w:val="18"/>
              </w:rPr>
            </w:pPr>
          </w:p>
        </w:tc>
        <w:tc>
          <w:tcPr>
            <w:tcW w:w="2700" w:type="dxa"/>
            <w:vMerge w:val="continue"/>
            <w:tcBorders>
              <w:top w:val="nil"/>
              <w:left w:val="nil"/>
              <w:bottom w:val="single" w:color="auto" w:sz="4" w:space="0"/>
              <w:right w:val="single" w:color="000000" w:sz="4" w:space="0"/>
            </w:tcBorders>
            <w:vAlign w:val="center"/>
          </w:tcPr>
          <w:p>
            <w:pPr>
              <w:rPr>
                <w:rFonts w:ascii="方正仿宋_GBK" w:eastAsia="方正仿宋_GBK"/>
                <w:b/>
                <w:bCs/>
                <w:color w:val="000000"/>
                <w:sz w:val="18"/>
                <w:szCs w:val="18"/>
              </w:rPr>
            </w:pPr>
          </w:p>
        </w:tc>
        <w:tc>
          <w:tcPr>
            <w:tcW w:w="1395" w:type="dxa"/>
            <w:vMerge w:val="continue"/>
            <w:tcBorders>
              <w:top w:val="nil"/>
              <w:left w:val="nil"/>
              <w:bottom w:val="single" w:color="auto" w:sz="4" w:space="0"/>
              <w:right w:val="single" w:color="auto" w:sz="4" w:space="0"/>
            </w:tcBorders>
            <w:vAlign w:val="center"/>
          </w:tcPr>
          <w:p>
            <w:pPr>
              <w:rPr>
                <w:rFonts w:ascii="方正仿宋_GBK" w:eastAsia="方正仿宋_GBK"/>
                <w:b/>
                <w:bCs/>
                <w:color w:val="000000"/>
                <w:sz w:val="18"/>
                <w:szCs w:val="18"/>
              </w:rPr>
            </w:pPr>
          </w:p>
        </w:tc>
        <w:tc>
          <w:tcPr>
            <w:tcW w:w="690" w:type="dxa"/>
            <w:vMerge w:val="continue"/>
            <w:tcBorders>
              <w:top w:val="nil"/>
              <w:left w:val="nil"/>
              <w:bottom w:val="single" w:color="auto" w:sz="4" w:space="0"/>
              <w:right w:val="single" w:color="auto" w:sz="4" w:space="0"/>
            </w:tcBorders>
            <w:vAlign w:val="center"/>
          </w:tcPr>
          <w:p>
            <w:pPr>
              <w:rPr>
                <w:rFonts w:ascii="方正仿宋_GBK" w:eastAsia="方正仿宋_GBK"/>
                <w:b/>
                <w:bCs/>
                <w:color w:val="000000"/>
                <w:sz w:val="18"/>
                <w:szCs w:val="18"/>
              </w:rPr>
            </w:pPr>
          </w:p>
        </w:tc>
        <w:tc>
          <w:tcPr>
            <w:tcW w:w="3180" w:type="dxa"/>
            <w:vMerge w:val="continue"/>
            <w:tcBorders>
              <w:top w:val="nil"/>
              <w:left w:val="nil"/>
              <w:bottom w:val="single" w:color="auto" w:sz="4" w:space="0"/>
              <w:right w:val="single" w:color="000000" w:sz="4" w:space="0"/>
            </w:tcBorders>
            <w:vAlign w:val="center"/>
          </w:tcPr>
          <w:p>
            <w:pPr>
              <w:rPr>
                <w:rFonts w:ascii="方正仿宋_GBK" w:eastAsia="方正仿宋_GBK"/>
                <w:b/>
                <w:bCs/>
                <w:color w:val="000000"/>
                <w:sz w:val="18"/>
                <w:szCs w:val="18"/>
              </w:rPr>
            </w:pPr>
          </w:p>
        </w:tc>
        <w:tc>
          <w:tcPr>
            <w:tcW w:w="780" w:type="dxa"/>
            <w:vMerge w:val="continue"/>
            <w:tcBorders>
              <w:top w:val="single" w:color="auto" w:sz="4" w:space="0"/>
              <w:left w:val="nil"/>
              <w:bottom w:val="single" w:color="auto" w:sz="4" w:space="0"/>
              <w:right w:val="single" w:color="000000" w:sz="4" w:space="0"/>
            </w:tcBorders>
            <w:vAlign w:val="center"/>
          </w:tcPr>
          <w:p>
            <w:pPr>
              <w:rPr>
                <w:rFonts w:ascii="方正仿宋_GBK" w:eastAsia="方正仿宋_GBK"/>
                <w:b/>
                <w:bCs/>
                <w:color w:val="000000"/>
                <w:sz w:val="18"/>
                <w:szCs w:val="18"/>
              </w:rPr>
            </w:pPr>
          </w:p>
        </w:tc>
        <w:tc>
          <w:tcPr>
            <w:tcW w:w="780" w:type="dxa"/>
            <w:vMerge w:val="continue"/>
            <w:tcBorders>
              <w:top w:val="single" w:color="auto" w:sz="4" w:space="0"/>
              <w:left w:val="nil"/>
              <w:bottom w:val="single" w:color="auto" w:sz="4" w:space="0"/>
              <w:right w:val="single" w:color="000000" w:sz="4" w:space="0"/>
            </w:tcBorders>
            <w:vAlign w:val="center"/>
          </w:tcPr>
          <w:p>
            <w:pPr>
              <w:rPr>
                <w:rFonts w:ascii="方正仿宋_GBK" w:eastAsia="方正仿宋_GBK"/>
                <w:b/>
                <w:bCs/>
                <w:color w:val="000000"/>
                <w:sz w:val="18"/>
                <w:szCs w:val="18"/>
              </w:rPr>
            </w:pPr>
          </w:p>
        </w:tc>
        <w:tc>
          <w:tcPr>
            <w:tcW w:w="930" w:type="dxa"/>
            <w:vMerge w:val="continue"/>
            <w:tcBorders>
              <w:top w:val="single" w:color="auto" w:sz="4" w:space="0"/>
              <w:left w:val="nil"/>
              <w:bottom w:val="single" w:color="auto" w:sz="4" w:space="0"/>
              <w:right w:val="single" w:color="auto" w:sz="4" w:space="0"/>
            </w:tcBorders>
            <w:vAlign w:val="center"/>
          </w:tcPr>
          <w:p>
            <w:pPr>
              <w:rPr>
                <w:rFonts w:ascii="方正仿宋_GBK" w:eastAsia="方正仿宋_GBK"/>
                <w:b/>
                <w:bCs/>
                <w:color w:val="000000"/>
                <w:sz w:val="18"/>
                <w:szCs w:val="18"/>
              </w:rPr>
            </w:pPr>
          </w:p>
        </w:tc>
      </w:tr>
      <w:tr>
        <w:tblPrEx>
          <w:tblCellMar>
            <w:top w:w="15" w:type="dxa"/>
            <w:left w:w="15" w:type="dxa"/>
            <w:bottom w:w="15" w:type="dxa"/>
            <w:right w:w="15" w:type="dxa"/>
          </w:tblCellMar>
        </w:tblPrEx>
        <w:trPr>
          <w:trHeight w:val="285" w:hRule="atLeast"/>
        </w:trPr>
        <w:tc>
          <w:tcPr>
            <w:tcW w:w="3525" w:type="dxa"/>
            <w:gridSpan w:val="2"/>
            <w:tcBorders>
              <w:top w:val="single" w:color="auto" w:sz="4" w:space="0"/>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合计</w:t>
            </w:r>
          </w:p>
        </w:tc>
        <w:tc>
          <w:tcPr>
            <w:tcW w:w="705" w:type="dxa"/>
            <w:tcBorders>
              <w:top w:val="single" w:color="auto" w:sz="4" w:space="0"/>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690" w:type="dxa"/>
            <w:tcBorders>
              <w:top w:val="single" w:color="auto" w:sz="4" w:space="0"/>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690" w:type="dxa"/>
            <w:tcBorders>
              <w:top w:val="single" w:color="auto" w:sz="4" w:space="0"/>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780" w:type="dxa"/>
            <w:tcBorders>
              <w:top w:val="single" w:color="auto" w:sz="4" w:space="0"/>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780" w:type="dxa"/>
            <w:tcBorders>
              <w:top w:val="single" w:color="auto" w:sz="4" w:space="0"/>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930" w:type="dxa"/>
            <w:tcBorders>
              <w:top w:val="single" w:color="auto" w:sz="4" w:space="0"/>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r>
      <w:tr>
        <w:tblPrEx>
          <w:tblCellMar>
            <w:top w:w="15" w:type="dxa"/>
            <w:left w:w="15" w:type="dxa"/>
            <w:bottom w:w="15" w:type="dxa"/>
            <w:right w:w="15" w:type="dxa"/>
          </w:tblCellMar>
        </w:tblPrEx>
        <w:trPr>
          <w:trHeight w:val="285" w:hRule="atLeast"/>
        </w:trPr>
        <w:tc>
          <w:tcPr>
            <w:tcW w:w="82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212</w:t>
            </w:r>
          </w:p>
        </w:tc>
        <w:tc>
          <w:tcPr>
            <w:tcW w:w="270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城乡社区支出</w:t>
            </w:r>
          </w:p>
        </w:tc>
        <w:tc>
          <w:tcPr>
            <w:tcW w:w="70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0.00</w:t>
            </w:r>
          </w:p>
        </w:tc>
        <w:tc>
          <w:tcPr>
            <w:tcW w:w="69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0.00</w:t>
            </w:r>
          </w:p>
        </w:tc>
        <w:tc>
          <w:tcPr>
            <w:tcW w:w="69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0.00</w:t>
            </w:r>
          </w:p>
        </w:tc>
        <w:tc>
          <w:tcPr>
            <w:tcW w:w="78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0.00</w:t>
            </w:r>
          </w:p>
        </w:tc>
        <w:tc>
          <w:tcPr>
            <w:tcW w:w="78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0.00</w:t>
            </w:r>
          </w:p>
        </w:tc>
        <w:tc>
          <w:tcPr>
            <w:tcW w:w="93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0.00</w:t>
            </w:r>
          </w:p>
        </w:tc>
      </w:tr>
      <w:tr>
        <w:tblPrEx>
          <w:tblCellMar>
            <w:top w:w="15" w:type="dxa"/>
            <w:left w:w="15" w:type="dxa"/>
            <w:bottom w:w="15" w:type="dxa"/>
            <w:right w:w="15" w:type="dxa"/>
          </w:tblCellMar>
        </w:tblPrEx>
        <w:trPr>
          <w:trHeight w:val="285" w:hRule="atLeast"/>
        </w:trPr>
        <w:tc>
          <w:tcPr>
            <w:tcW w:w="82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21208</w:t>
            </w:r>
          </w:p>
        </w:tc>
        <w:tc>
          <w:tcPr>
            <w:tcW w:w="270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国有土地使用权出让收入安排的支出</w:t>
            </w:r>
          </w:p>
        </w:tc>
        <w:tc>
          <w:tcPr>
            <w:tcW w:w="70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0.00</w:t>
            </w:r>
          </w:p>
        </w:tc>
        <w:tc>
          <w:tcPr>
            <w:tcW w:w="69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0.00</w:t>
            </w:r>
          </w:p>
        </w:tc>
        <w:tc>
          <w:tcPr>
            <w:tcW w:w="69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0.00</w:t>
            </w:r>
          </w:p>
        </w:tc>
        <w:tc>
          <w:tcPr>
            <w:tcW w:w="78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0.00</w:t>
            </w:r>
          </w:p>
        </w:tc>
        <w:tc>
          <w:tcPr>
            <w:tcW w:w="78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0.00</w:t>
            </w:r>
          </w:p>
        </w:tc>
        <w:tc>
          <w:tcPr>
            <w:tcW w:w="93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0.00</w:t>
            </w:r>
          </w:p>
        </w:tc>
      </w:tr>
      <w:tr>
        <w:tblPrEx>
          <w:tblCellMar>
            <w:top w:w="15" w:type="dxa"/>
            <w:left w:w="15" w:type="dxa"/>
            <w:bottom w:w="15" w:type="dxa"/>
            <w:right w:w="15" w:type="dxa"/>
          </w:tblCellMar>
        </w:tblPrEx>
        <w:trPr>
          <w:trHeight w:val="285" w:hRule="atLeast"/>
        </w:trPr>
        <w:tc>
          <w:tcPr>
            <w:tcW w:w="825" w:type="dxa"/>
            <w:tcBorders>
              <w:top w:val="nil"/>
              <w:left w:val="single" w:color="000000" w:sz="4" w:space="0"/>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2120899</w:t>
            </w:r>
          </w:p>
        </w:tc>
        <w:tc>
          <w:tcPr>
            <w:tcW w:w="2700" w:type="dxa"/>
            <w:tcBorders>
              <w:top w:val="nil"/>
              <w:left w:val="nil"/>
              <w:bottom w:val="single" w:color="000000" w:sz="4" w:space="0"/>
              <w:right w:val="single" w:color="000000" w:sz="4" w:space="0"/>
            </w:tcBorders>
            <w:shd w:val="clear" w:color="auto" w:fill="CC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 xml:space="preserve">  其他国有土地使用权出让收入安排的支出</w:t>
            </w:r>
          </w:p>
        </w:tc>
        <w:tc>
          <w:tcPr>
            <w:tcW w:w="70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69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69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78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78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93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r>
      <w:tr>
        <w:tblPrEx>
          <w:tblCellMar>
            <w:top w:w="15" w:type="dxa"/>
            <w:left w:w="15" w:type="dxa"/>
            <w:bottom w:w="15" w:type="dxa"/>
            <w:right w:w="15" w:type="dxa"/>
          </w:tblCellMar>
        </w:tblPrEx>
        <w:trPr>
          <w:trHeight w:val="285" w:hRule="atLeast"/>
        </w:trPr>
        <w:tc>
          <w:tcPr>
            <w:tcW w:w="82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234</w:t>
            </w:r>
          </w:p>
        </w:tc>
        <w:tc>
          <w:tcPr>
            <w:tcW w:w="270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抗疫特别国债安排的支出</w:t>
            </w:r>
          </w:p>
        </w:tc>
        <w:tc>
          <w:tcPr>
            <w:tcW w:w="70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0.00</w:t>
            </w:r>
          </w:p>
        </w:tc>
        <w:tc>
          <w:tcPr>
            <w:tcW w:w="69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0.00</w:t>
            </w:r>
          </w:p>
        </w:tc>
        <w:tc>
          <w:tcPr>
            <w:tcW w:w="69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0.00</w:t>
            </w:r>
          </w:p>
        </w:tc>
        <w:tc>
          <w:tcPr>
            <w:tcW w:w="78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0.00</w:t>
            </w:r>
          </w:p>
        </w:tc>
        <w:tc>
          <w:tcPr>
            <w:tcW w:w="78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0.00</w:t>
            </w:r>
          </w:p>
        </w:tc>
        <w:tc>
          <w:tcPr>
            <w:tcW w:w="93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0.00</w:t>
            </w:r>
          </w:p>
        </w:tc>
      </w:tr>
      <w:tr>
        <w:tblPrEx>
          <w:tblCellMar>
            <w:top w:w="15" w:type="dxa"/>
            <w:left w:w="15" w:type="dxa"/>
            <w:bottom w:w="15" w:type="dxa"/>
            <w:right w:w="15" w:type="dxa"/>
          </w:tblCellMar>
        </w:tblPrEx>
        <w:trPr>
          <w:trHeight w:val="285" w:hRule="atLeast"/>
        </w:trPr>
        <w:tc>
          <w:tcPr>
            <w:tcW w:w="825"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23402</w:t>
            </w:r>
          </w:p>
        </w:tc>
        <w:tc>
          <w:tcPr>
            <w:tcW w:w="270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抗疫相关支出</w:t>
            </w:r>
          </w:p>
        </w:tc>
        <w:tc>
          <w:tcPr>
            <w:tcW w:w="70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0.00</w:t>
            </w:r>
          </w:p>
        </w:tc>
        <w:tc>
          <w:tcPr>
            <w:tcW w:w="69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0.00</w:t>
            </w:r>
          </w:p>
        </w:tc>
        <w:tc>
          <w:tcPr>
            <w:tcW w:w="69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0.00</w:t>
            </w:r>
          </w:p>
        </w:tc>
        <w:tc>
          <w:tcPr>
            <w:tcW w:w="78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0.00</w:t>
            </w:r>
          </w:p>
        </w:tc>
        <w:tc>
          <w:tcPr>
            <w:tcW w:w="78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0.00</w:t>
            </w:r>
          </w:p>
        </w:tc>
        <w:tc>
          <w:tcPr>
            <w:tcW w:w="93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0.00</w:t>
            </w:r>
          </w:p>
        </w:tc>
      </w:tr>
      <w:tr>
        <w:tblPrEx>
          <w:tblCellMar>
            <w:top w:w="15" w:type="dxa"/>
            <w:left w:w="15" w:type="dxa"/>
            <w:bottom w:w="15" w:type="dxa"/>
            <w:right w:w="15" w:type="dxa"/>
          </w:tblCellMar>
        </w:tblPrEx>
        <w:trPr>
          <w:trHeight w:val="285" w:hRule="atLeast"/>
        </w:trPr>
        <w:tc>
          <w:tcPr>
            <w:tcW w:w="825" w:type="dxa"/>
            <w:tcBorders>
              <w:top w:val="nil"/>
              <w:left w:val="single" w:color="000000" w:sz="4" w:space="0"/>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2340204</w:t>
            </w:r>
          </w:p>
        </w:tc>
        <w:tc>
          <w:tcPr>
            <w:tcW w:w="2700" w:type="dxa"/>
            <w:tcBorders>
              <w:top w:val="nil"/>
              <w:left w:val="nil"/>
              <w:bottom w:val="single" w:color="000000" w:sz="4" w:space="0"/>
              <w:right w:val="single" w:color="000000" w:sz="4" w:space="0"/>
            </w:tcBorders>
            <w:shd w:val="clear" w:color="auto" w:fill="CC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 xml:space="preserve">  援企稳岗补贴</w:t>
            </w:r>
          </w:p>
        </w:tc>
        <w:tc>
          <w:tcPr>
            <w:tcW w:w="705"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69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69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78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78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93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r>
      <w:tr>
        <w:tblPrEx>
          <w:tblCellMar>
            <w:top w:w="15" w:type="dxa"/>
            <w:left w:w="15" w:type="dxa"/>
            <w:bottom w:w="15" w:type="dxa"/>
            <w:right w:w="15" w:type="dxa"/>
          </w:tblCellMar>
        </w:tblPrEx>
        <w:trPr>
          <w:trHeight w:val="285" w:hRule="atLeast"/>
        </w:trPr>
        <w:tc>
          <w:tcPr>
            <w:tcW w:w="8100" w:type="dxa"/>
            <w:gridSpan w:val="8"/>
            <w:tcBorders>
              <w:top w:val="nil"/>
              <w:left w:val="nil"/>
              <w:bottom w:val="nil"/>
              <w:right w:val="nil"/>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备注：本表反映部门本年度政府性基金预算财政拨款收入支出及结转和结余情况。</w:t>
            </w:r>
          </w:p>
        </w:tc>
      </w:tr>
      <w:tr>
        <w:tblPrEx>
          <w:tblCellMar>
            <w:top w:w="15" w:type="dxa"/>
            <w:left w:w="15" w:type="dxa"/>
            <w:bottom w:w="15" w:type="dxa"/>
            <w:right w:w="15" w:type="dxa"/>
          </w:tblCellMar>
        </w:tblPrEx>
        <w:trPr>
          <w:trHeight w:val="285" w:hRule="atLeast"/>
        </w:trPr>
        <w:tc>
          <w:tcPr>
            <w:tcW w:w="8100" w:type="dxa"/>
            <w:gridSpan w:val="8"/>
            <w:tcBorders>
              <w:top w:val="nil"/>
              <w:left w:val="nil"/>
              <w:bottom w:val="nil"/>
              <w:right w:val="nil"/>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注：本单位无政府性基金收入，也没有使用政府性基金安排的支出，故本表无数据。</w:t>
            </w:r>
          </w:p>
        </w:tc>
      </w:tr>
    </w:tbl>
    <w:p>
      <w:pPr>
        <w:pStyle w:val="25"/>
        <w:autoSpaceDE w:val="0"/>
        <w:spacing w:before="0" w:beforeAutospacing="0" w:after="0" w:afterAutospacing="0" w:line="240" w:lineRule="atLeast"/>
        <w:rPr>
          <w:rFonts w:hint="eastAsia" w:ascii="宋体" w:hAnsi="宋体"/>
          <w:sz w:val="24"/>
          <w:szCs w:val="24"/>
        </w:rPr>
      </w:pPr>
      <w:r>
        <w:rPr>
          <w:rFonts w:ascii="Times New Roman" w:hAnsi="Times New Roman" w:eastAsia="仿宋" w:cs="Times New Roman"/>
          <w:sz w:val="32"/>
          <w:szCs w:val="32"/>
          <w:shd w:val="clear" w:color="auto" w:fill="FFFFFF"/>
        </w:rPr>
        <w:t xml:space="preserve"> </w:t>
      </w:r>
    </w:p>
    <w:tbl>
      <w:tblPr>
        <w:tblStyle w:val="13"/>
        <w:tblW w:w="8025" w:type="dxa"/>
        <w:tblInd w:w="343" w:type="dxa"/>
        <w:tblLayout w:type="fixed"/>
        <w:tblCellMar>
          <w:top w:w="15" w:type="dxa"/>
          <w:left w:w="15" w:type="dxa"/>
          <w:bottom w:w="15" w:type="dxa"/>
          <w:right w:w="15" w:type="dxa"/>
        </w:tblCellMar>
      </w:tblPr>
      <w:tblGrid>
        <w:gridCol w:w="2760"/>
        <w:gridCol w:w="750"/>
        <w:gridCol w:w="840"/>
        <w:gridCol w:w="2715"/>
        <w:gridCol w:w="960"/>
      </w:tblGrid>
      <w:tr>
        <w:tblPrEx>
          <w:tblCellMar>
            <w:top w:w="15" w:type="dxa"/>
            <w:left w:w="15" w:type="dxa"/>
            <w:bottom w:w="15" w:type="dxa"/>
            <w:right w:w="15" w:type="dxa"/>
          </w:tblCellMar>
        </w:tblPrEx>
        <w:trPr>
          <w:trHeight w:val="480" w:hRule="atLeast"/>
        </w:trPr>
        <w:tc>
          <w:tcPr>
            <w:tcW w:w="8025" w:type="dxa"/>
            <w:gridSpan w:val="5"/>
            <w:tcBorders>
              <w:top w:val="nil"/>
              <w:left w:val="nil"/>
              <w:bottom w:val="nil"/>
              <w:right w:val="single" w:color="808080" w:sz="4" w:space="0"/>
            </w:tcBorders>
            <w:shd w:val="clear" w:color="auto" w:fill="FFFFFF"/>
            <w:vAlign w:val="center"/>
          </w:tcPr>
          <w:p>
            <w:pPr>
              <w:autoSpaceDE w:val="0"/>
              <w:spacing w:line="240" w:lineRule="atLeast"/>
              <w:jc w:val="center"/>
              <w:rPr>
                <w:rFonts w:ascii="方正仿宋_GBK" w:eastAsia="方正仿宋_GBK"/>
                <w:color w:val="000000"/>
                <w:sz w:val="18"/>
                <w:szCs w:val="18"/>
              </w:rPr>
            </w:pPr>
            <w:r>
              <w:rPr>
                <w:rFonts w:hint="eastAsia" w:ascii="方正仿宋_GBK" w:eastAsia="方正仿宋_GBK"/>
                <w:color w:val="000000"/>
                <w:sz w:val="32"/>
                <w:szCs w:val="32"/>
              </w:rPr>
              <w:t>机构运行信息表</w:t>
            </w:r>
          </w:p>
        </w:tc>
      </w:tr>
      <w:tr>
        <w:tblPrEx>
          <w:tblCellMar>
            <w:top w:w="15" w:type="dxa"/>
            <w:left w:w="15" w:type="dxa"/>
            <w:bottom w:w="15" w:type="dxa"/>
            <w:right w:w="15" w:type="dxa"/>
          </w:tblCellMar>
        </w:tblPrEx>
        <w:trPr>
          <w:trHeight w:val="270" w:hRule="atLeast"/>
        </w:trPr>
        <w:tc>
          <w:tcPr>
            <w:tcW w:w="8025" w:type="dxa"/>
            <w:gridSpan w:val="5"/>
            <w:tcBorders>
              <w:top w:val="nil"/>
              <w:left w:val="nil"/>
              <w:bottom w:val="nil"/>
              <w:right w:val="single" w:color="808080" w:sz="4" w:space="0"/>
            </w:tcBorders>
            <w:shd w:val="clear" w:color="auto" w:fill="FFFFFF"/>
            <w:vAlign w:val="center"/>
          </w:tcPr>
          <w:p>
            <w:pPr>
              <w:autoSpaceDE w:val="0"/>
              <w:spacing w:line="240" w:lineRule="atLeast"/>
              <w:jc w:val="right"/>
              <w:textAlignment w:val="center"/>
              <w:rPr>
                <w:rFonts w:ascii="方正仿宋_GBK" w:eastAsia="方正仿宋_GBK"/>
                <w:color w:val="000000"/>
                <w:sz w:val="18"/>
                <w:szCs w:val="18"/>
              </w:rPr>
            </w:pPr>
            <w:r>
              <w:rPr>
                <w:rFonts w:hint="eastAsia" w:ascii="方正仿宋_GBK" w:eastAsia="方正仿宋_GBK"/>
                <w:color w:val="000000"/>
                <w:sz w:val="18"/>
                <w:szCs w:val="18"/>
              </w:rPr>
              <w:t>公开08表</w:t>
            </w:r>
          </w:p>
        </w:tc>
      </w:tr>
      <w:tr>
        <w:tblPrEx>
          <w:tblCellMar>
            <w:top w:w="15" w:type="dxa"/>
            <w:left w:w="15" w:type="dxa"/>
            <w:bottom w:w="15" w:type="dxa"/>
            <w:right w:w="15" w:type="dxa"/>
          </w:tblCellMar>
        </w:tblPrEx>
        <w:trPr>
          <w:trHeight w:val="292" w:hRule="atLeast"/>
        </w:trPr>
        <w:tc>
          <w:tcPr>
            <w:tcW w:w="4350" w:type="dxa"/>
            <w:gridSpan w:val="3"/>
            <w:tcBorders>
              <w:top w:val="nil"/>
              <w:left w:val="nil"/>
              <w:bottom w:val="single" w:color="808080" w:sz="4" w:space="0"/>
              <w:right w:val="nil"/>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公开部门：重庆市垫江县交通建设工程服务中心</w:t>
            </w:r>
          </w:p>
        </w:tc>
        <w:tc>
          <w:tcPr>
            <w:tcW w:w="3675" w:type="dxa"/>
            <w:gridSpan w:val="2"/>
            <w:tcBorders>
              <w:top w:val="nil"/>
              <w:left w:val="nil"/>
              <w:bottom w:val="single" w:color="808080" w:sz="4" w:space="0"/>
              <w:right w:val="single" w:color="80808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2020年度                                单位：万元</w:t>
            </w:r>
          </w:p>
        </w:tc>
      </w:tr>
      <w:tr>
        <w:tblPrEx>
          <w:tblCellMar>
            <w:top w:w="15" w:type="dxa"/>
            <w:left w:w="15" w:type="dxa"/>
            <w:bottom w:w="15" w:type="dxa"/>
            <w:right w:w="15" w:type="dxa"/>
          </w:tblCellMar>
        </w:tblPrEx>
        <w:trPr>
          <w:trHeight w:val="360" w:hRule="atLeast"/>
        </w:trPr>
        <w:tc>
          <w:tcPr>
            <w:tcW w:w="276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jc w:val="center"/>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项  目</w:t>
            </w:r>
          </w:p>
        </w:tc>
        <w:tc>
          <w:tcPr>
            <w:tcW w:w="75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预算数</w:t>
            </w:r>
          </w:p>
        </w:tc>
        <w:tc>
          <w:tcPr>
            <w:tcW w:w="84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决算数</w:t>
            </w:r>
          </w:p>
        </w:tc>
        <w:tc>
          <w:tcPr>
            <w:tcW w:w="2715" w:type="dxa"/>
            <w:tcBorders>
              <w:top w:val="nil"/>
              <w:left w:val="nil"/>
              <w:bottom w:val="single" w:color="000000" w:sz="4" w:space="0"/>
              <w:right w:val="single" w:color="000000" w:sz="4" w:space="0"/>
            </w:tcBorders>
            <w:shd w:val="clear" w:color="auto" w:fill="C0C0C0"/>
            <w:vAlign w:val="center"/>
          </w:tcPr>
          <w:p>
            <w:pPr>
              <w:autoSpaceDE w:val="0"/>
              <w:spacing w:line="240" w:lineRule="atLeast"/>
              <w:jc w:val="center"/>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项  目</w:t>
            </w:r>
          </w:p>
        </w:tc>
        <w:tc>
          <w:tcPr>
            <w:tcW w:w="96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决算数</w:t>
            </w:r>
          </w:p>
        </w:tc>
      </w:tr>
      <w:tr>
        <w:tblPrEx>
          <w:tblCellMar>
            <w:top w:w="15" w:type="dxa"/>
            <w:left w:w="15" w:type="dxa"/>
            <w:bottom w:w="15" w:type="dxa"/>
            <w:right w:w="15" w:type="dxa"/>
          </w:tblCellMar>
        </w:tblPrEx>
        <w:trPr>
          <w:trHeight w:val="285" w:hRule="atLeast"/>
        </w:trPr>
        <w:tc>
          <w:tcPr>
            <w:tcW w:w="276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一、“三公”经费支出</w:t>
            </w:r>
          </w:p>
        </w:tc>
        <w:tc>
          <w:tcPr>
            <w:tcW w:w="75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w:t>
            </w:r>
          </w:p>
        </w:tc>
        <w:tc>
          <w:tcPr>
            <w:tcW w:w="8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w:t>
            </w:r>
          </w:p>
        </w:tc>
        <w:tc>
          <w:tcPr>
            <w:tcW w:w="271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四、机关运行经费</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r>
      <w:tr>
        <w:tblPrEx>
          <w:tblCellMar>
            <w:top w:w="15" w:type="dxa"/>
            <w:left w:w="15" w:type="dxa"/>
            <w:bottom w:w="15" w:type="dxa"/>
            <w:right w:w="15" w:type="dxa"/>
          </w:tblCellMar>
        </w:tblPrEx>
        <w:trPr>
          <w:trHeight w:val="315" w:hRule="atLeast"/>
        </w:trPr>
        <w:tc>
          <w:tcPr>
            <w:tcW w:w="276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（一）支出合计</w:t>
            </w:r>
          </w:p>
        </w:tc>
        <w:tc>
          <w:tcPr>
            <w:tcW w:w="75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8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271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（一）行政单位</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r>
      <w:tr>
        <w:tblPrEx>
          <w:tblCellMar>
            <w:top w:w="15" w:type="dxa"/>
            <w:left w:w="15" w:type="dxa"/>
            <w:bottom w:w="15" w:type="dxa"/>
            <w:right w:w="15" w:type="dxa"/>
          </w:tblCellMar>
        </w:tblPrEx>
        <w:trPr>
          <w:trHeight w:val="315" w:hRule="atLeast"/>
        </w:trPr>
        <w:tc>
          <w:tcPr>
            <w:tcW w:w="276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 xml:space="preserve">  1．因公出国（境）费</w:t>
            </w:r>
          </w:p>
        </w:tc>
        <w:tc>
          <w:tcPr>
            <w:tcW w:w="75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8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271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（二）参照公务员法管理事业单位</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r>
      <w:tr>
        <w:tblPrEx>
          <w:tblCellMar>
            <w:top w:w="15" w:type="dxa"/>
            <w:left w:w="15" w:type="dxa"/>
            <w:bottom w:w="15" w:type="dxa"/>
            <w:right w:w="15" w:type="dxa"/>
          </w:tblCellMar>
        </w:tblPrEx>
        <w:trPr>
          <w:trHeight w:val="315" w:hRule="atLeast"/>
        </w:trPr>
        <w:tc>
          <w:tcPr>
            <w:tcW w:w="276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 xml:space="preserve">  2．公务用车购置及运行维护费</w:t>
            </w:r>
          </w:p>
        </w:tc>
        <w:tc>
          <w:tcPr>
            <w:tcW w:w="75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8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271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五、国有资产占用情况</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w:t>
            </w:r>
          </w:p>
        </w:tc>
      </w:tr>
      <w:tr>
        <w:tblPrEx>
          <w:tblCellMar>
            <w:top w:w="15" w:type="dxa"/>
            <w:left w:w="15" w:type="dxa"/>
            <w:bottom w:w="15" w:type="dxa"/>
            <w:right w:w="15" w:type="dxa"/>
          </w:tblCellMar>
        </w:tblPrEx>
        <w:trPr>
          <w:trHeight w:val="330" w:hRule="atLeast"/>
        </w:trPr>
        <w:tc>
          <w:tcPr>
            <w:tcW w:w="276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（1）公务用车购置费</w:t>
            </w:r>
          </w:p>
        </w:tc>
        <w:tc>
          <w:tcPr>
            <w:tcW w:w="75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8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271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（一）车辆数合计（辆）</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w:t>
            </w:r>
          </w:p>
        </w:tc>
      </w:tr>
      <w:tr>
        <w:tblPrEx>
          <w:tblCellMar>
            <w:top w:w="15" w:type="dxa"/>
            <w:left w:w="15" w:type="dxa"/>
            <w:bottom w:w="15" w:type="dxa"/>
            <w:right w:w="15" w:type="dxa"/>
          </w:tblCellMar>
        </w:tblPrEx>
        <w:trPr>
          <w:trHeight w:val="315" w:hRule="atLeast"/>
        </w:trPr>
        <w:tc>
          <w:tcPr>
            <w:tcW w:w="276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 xml:space="preserve"> （2）公务用车运行维护费</w:t>
            </w:r>
          </w:p>
        </w:tc>
        <w:tc>
          <w:tcPr>
            <w:tcW w:w="75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8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271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 xml:space="preserve">  1.副部（省）级及以上领导用车</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w:t>
            </w:r>
          </w:p>
        </w:tc>
      </w:tr>
      <w:tr>
        <w:tblPrEx>
          <w:tblCellMar>
            <w:top w:w="15" w:type="dxa"/>
            <w:left w:w="15" w:type="dxa"/>
            <w:bottom w:w="15" w:type="dxa"/>
            <w:right w:w="15" w:type="dxa"/>
          </w:tblCellMar>
        </w:tblPrEx>
        <w:trPr>
          <w:trHeight w:val="315" w:hRule="atLeast"/>
        </w:trPr>
        <w:tc>
          <w:tcPr>
            <w:tcW w:w="276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 xml:space="preserve">  3．公务接待费</w:t>
            </w:r>
          </w:p>
        </w:tc>
        <w:tc>
          <w:tcPr>
            <w:tcW w:w="75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8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271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 xml:space="preserve">  2.主要领导干部用车</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w:t>
            </w:r>
          </w:p>
        </w:tc>
      </w:tr>
      <w:tr>
        <w:tblPrEx>
          <w:tblCellMar>
            <w:top w:w="15" w:type="dxa"/>
            <w:left w:w="15" w:type="dxa"/>
            <w:bottom w:w="15" w:type="dxa"/>
            <w:right w:w="15" w:type="dxa"/>
          </w:tblCellMar>
        </w:tblPrEx>
        <w:trPr>
          <w:trHeight w:val="360" w:hRule="atLeast"/>
        </w:trPr>
        <w:tc>
          <w:tcPr>
            <w:tcW w:w="276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 xml:space="preserve">    （1）国内接待费</w:t>
            </w:r>
          </w:p>
        </w:tc>
        <w:tc>
          <w:tcPr>
            <w:tcW w:w="75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w:t>
            </w:r>
          </w:p>
        </w:tc>
        <w:tc>
          <w:tcPr>
            <w:tcW w:w="8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271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 xml:space="preserve">  3.机要通信用车</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w:t>
            </w:r>
          </w:p>
        </w:tc>
      </w:tr>
      <w:tr>
        <w:tblPrEx>
          <w:tblCellMar>
            <w:top w:w="15" w:type="dxa"/>
            <w:left w:w="15" w:type="dxa"/>
            <w:bottom w:w="15" w:type="dxa"/>
            <w:right w:w="15" w:type="dxa"/>
          </w:tblCellMar>
        </w:tblPrEx>
        <w:trPr>
          <w:trHeight w:val="300" w:hRule="atLeast"/>
        </w:trPr>
        <w:tc>
          <w:tcPr>
            <w:tcW w:w="276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 xml:space="preserve">     其中：外事接待费</w:t>
            </w:r>
          </w:p>
        </w:tc>
        <w:tc>
          <w:tcPr>
            <w:tcW w:w="75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w:t>
            </w:r>
          </w:p>
        </w:tc>
        <w:tc>
          <w:tcPr>
            <w:tcW w:w="8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271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 xml:space="preserve">  4.应急保障用车</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w:t>
            </w:r>
          </w:p>
        </w:tc>
      </w:tr>
      <w:tr>
        <w:tblPrEx>
          <w:tblCellMar>
            <w:top w:w="15" w:type="dxa"/>
            <w:left w:w="15" w:type="dxa"/>
            <w:bottom w:w="15" w:type="dxa"/>
            <w:right w:w="15" w:type="dxa"/>
          </w:tblCellMar>
        </w:tblPrEx>
        <w:trPr>
          <w:trHeight w:val="285" w:hRule="atLeast"/>
        </w:trPr>
        <w:tc>
          <w:tcPr>
            <w:tcW w:w="276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 xml:space="preserve">   （2）国（境）外接待费</w:t>
            </w:r>
          </w:p>
        </w:tc>
        <w:tc>
          <w:tcPr>
            <w:tcW w:w="75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w:t>
            </w:r>
          </w:p>
        </w:tc>
        <w:tc>
          <w:tcPr>
            <w:tcW w:w="8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271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 xml:space="preserve">  5.执法执勤用车</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w:t>
            </w:r>
          </w:p>
        </w:tc>
      </w:tr>
      <w:tr>
        <w:tblPrEx>
          <w:tblCellMar>
            <w:top w:w="15" w:type="dxa"/>
            <w:left w:w="15" w:type="dxa"/>
            <w:bottom w:w="15" w:type="dxa"/>
            <w:right w:w="15" w:type="dxa"/>
          </w:tblCellMar>
        </w:tblPrEx>
        <w:trPr>
          <w:trHeight w:val="300" w:hRule="atLeast"/>
        </w:trPr>
        <w:tc>
          <w:tcPr>
            <w:tcW w:w="276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（二）相关统计数</w:t>
            </w:r>
          </w:p>
        </w:tc>
        <w:tc>
          <w:tcPr>
            <w:tcW w:w="75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w:t>
            </w:r>
          </w:p>
        </w:tc>
        <w:tc>
          <w:tcPr>
            <w:tcW w:w="8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w:t>
            </w:r>
          </w:p>
        </w:tc>
        <w:tc>
          <w:tcPr>
            <w:tcW w:w="271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 xml:space="preserve">  6.特种专业技术用车</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w:t>
            </w:r>
          </w:p>
        </w:tc>
      </w:tr>
      <w:tr>
        <w:tblPrEx>
          <w:tblCellMar>
            <w:top w:w="15" w:type="dxa"/>
            <w:left w:w="15" w:type="dxa"/>
            <w:bottom w:w="15" w:type="dxa"/>
            <w:right w:w="15" w:type="dxa"/>
          </w:tblCellMar>
        </w:tblPrEx>
        <w:trPr>
          <w:trHeight w:val="300" w:hRule="atLeast"/>
        </w:trPr>
        <w:tc>
          <w:tcPr>
            <w:tcW w:w="276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1．因公出国（境）团组数（个）</w:t>
            </w:r>
          </w:p>
        </w:tc>
        <w:tc>
          <w:tcPr>
            <w:tcW w:w="75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w:t>
            </w:r>
          </w:p>
        </w:tc>
        <w:tc>
          <w:tcPr>
            <w:tcW w:w="8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w:t>
            </w:r>
          </w:p>
        </w:tc>
        <w:tc>
          <w:tcPr>
            <w:tcW w:w="271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 xml:space="preserve">  7.离退休干部用车</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w:t>
            </w:r>
          </w:p>
        </w:tc>
      </w:tr>
      <w:tr>
        <w:tblPrEx>
          <w:tblCellMar>
            <w:top w:w="15" w:type="dxa"/>
            <w:left w:w="15" w:type="dxa"/>
            <w:bottom w:w="15" w:type="dxa"/>
            <w:right w:w="15" w:type="dxa"/>
          </w:tblCellMar>
        </w:tblPrEx>
        <w:trPr>
          <w:trHeight w:val="300" w:hRule="atLeast"/>
        </w:trPr>
        <w:tc>
          <w:tcPr>
            <w:tcW w:w="276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2．因公出国（境）人次数（人）</w:t>
            </w:r>
          </w:p>
        </w:tc>
        <w:tc>
          <w:tcPr>
            <w:tcW w:w="75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w:t>
            </w:r>
          </w:p>
        </w:tc>
        <w:tc>
          <w:tcPr>
            <w:tcW w:w="8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w:t>
            </w:r>
          </w:p>
        </w:tc>
        <w:tc>
          <w:tcPr>
            <w:tcW w:w="271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 xml:space="preserve">  8.其他用车</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w:t>
            </w:r>
          </w:p>
        </w:tc>
      </w:tr>
      <w:tr>
        <w:tblPrEx>
          <w:tblCellMar>
            <w:top w:w="15" w:type="dxa"/>
            <w:left w:w="15" w:type="dxa"/>
            <w:bottom w:w="15" w:type="dxa"/>
            <w:right w:w="15" w:type="dxa"/>
          </w:tblCellMar>
        </w:tblPrEx>
        <w:trPr>
          <w:trHeight w:val="582" w:hRule="atLeast"/>
        </w:trPr>
        <w:tc>
          <w:tcPr>
            <w:tcW w:w="276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3．公务用车购置数（辆）</w:t>
            </w:r>
          </w:p>
        </w:tc>
        <w:tc>
          <w:tcPr>
            <w:tcW w:w="75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w:t>
            </w:r>
          </w:p>
        </w:tc>
        <w:tc>
          <w:tcPr>
            <w:tcW w:w="8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w:t>
            </w:r>
          </w:p>
        </w:tc>
        <w:tc>
          <w:tcPr>
            <w:tcW w:w="271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（二）单价50万元（含）以上通用设备（台，套）</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w:t>
            </w:r>
          </w:p>
        </w:tc>
      </w:tr>
      <w:tr>
        <w:tblPrEx>
          <w:tblCellMar>
            <w:top w:w="15" w:type="dxa"/>
            <w:left w:w="15" w:type="dxa"/>
            <w:bottom w:w="15" w:type="dxa"/>
            <w:right w:w="15" w:type="dxa"/>
          </w:tblCellMar>
        </w:tblPrEx>
        <w:trPr>
          <w:trHeight w:val="375" w:hRule="atLeast"/>
        </w:trPr>
        <w:tc>
          <w:tcPr>
            <w:tcW w:w="276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4．公务用车保有量（辆）</w:t>
            </w:r>
          </w:p>
        </w:tc>
        <w:tc>
          <w:tcPr>
            <w:tcW w:w="75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w:t>
            </w:r>
          </w:p>
        </w:tc>
        <w:tc>
          <w:tcPr>
            <w:tcW w:w="8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w:t>
            </w:r>
          </w:p>
        </w:tc>
        <w:tc>
          <w:tcPr>
            <w:tcW w:w="271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（三）单价100万（含）元以上专用设备（台，套）</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w:t>
            </w:r>
          </w:p>
        </w:tc>
      </w:tr>
      <w:tr>
        <w:tblPrEx>
          <w:tblCellMar>
            <w:top w:w="15" w:type="dxa"/>
            <w:left w:w="15" w:type="dxa"/>
            <w:bottom w:w="15" w:type="dxa"/>
            <w:right w:w="15" w:type="dxa"/>
          </w:tblCellMar>
        </w:tblPrEx>
        <w:trPr>
          <w:trHeight w:val="374" w:hRule="atLeast"/>
        </w:trPr>
        <w:tc>
          <w:tcPr>
            <w:tcW w:w="276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5．国内公务接待批次（个）</w:t>
            </w:r>
          </w:p>
        </w:tc>
        <w:tc>
          <w:tcPr>
            <w:tcW w:w="75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w:t>
            </w:r>
          </w:p>
        </w:tc>
        <w:tc>
          <w:tcPr>
            <w:tcW w:w="8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w:t>
            </w:r>
          </w:p>
        </w:tc>
        <w:tc>
          <w:tcPr>
            <w:tcW w:w="271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18"/>
                <w:szCs w:val="18"/>
              </w:rPr>
            </w:pPr>
            <w:r>
              <w:rPr>
                <w:rFonts w:hint="eastAsia" w:ascii="方正仿宋_GBK" w:eastAsia="方正仿宋_GBK"/>
                <w:b/>
                <w:bCs/>
                <w:color w:val="000000"/>
                <w:sz w:val="18"/>
                <w:szCs w:val="18"/>
              </w:rPr>
              <w:t>六、政府采购支出信息</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w:t>
            </w:r>
          </w:p>
        </w:tc>
      </w:tr>
      <w:tr>
        <w:tblPrEx>
          <w:tblCellMar>
            <w:top w:w="15" w:type="dxa"/>
            <w:left w:w="15" w:type="dxa"/>
            <w:bottom w:w="15" w:type="dxa"/>
            <w:right w:w="15" w:type="dxa"/>
          </w:tblCellMar>
        </w:tblPrEx>
        <w:trPr>
          <w:trHeight w:val="374" w:hRule="atLeast"/>
        </w:trPr>
        <w:tc>
          <w:tcPr>
            <w:tcW w:w="276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 xml:space="preserve">     其中：外事接待批次（个）</w:t>
            </w:r>
          </w:p>
        </w:tc>
        <w:tc>
          <w:tcPr>
            <w:tcW w:w="75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w:t>
            </w:r>
          </w:p>
        </w:tc>
        <w:tc>
          <w:tcPr>
            <w:tcW w:w="8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w:t>
            </w:r>
          </w:p>
        </w:tc>
        <w:tc>
          <w:tcPr>
            <w:tcW w:w="271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 xml:space="preserve">  （一）政府采购支出合计</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r>
      <w:tr>
        <w:tblPrEx>
          <w:tblCellMar>
            <w:top w:w="15" w:type="dxa"/>
            <w:left w:w="15" w:type="dxa"/>
            <w:bottom w:w="15" w:type="dxa"/>
            <w:right w:w="15" w:type="dxa"/>
          </w:tblCellMar>
        </w:tblPrEx>
        <w:trPr>
          <w:trHeight w:val="374" w:hRule="atLeast"/>
        </w:trPr>
        <w:tc>
          <w:tcPr>
            <w:tcW w:w="276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 xml:space="preserve"> 6．国内公务接待人次（人）</w:t>
            </w:r>
          </w:p>
        </w:tc>
        <w:tc>
          <w:tcPr>
            <w:tcW w:w="75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w:t>
            </w:r>
          </w:p>
        </w:tc>
        <w:tc>
          <w:tcPr>
            <w:tcW w:w="8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w:t>
            </w:r>
          </w:p>
        </w:tc>
        <w:tc>
          <w:tcPr>
            <w:tcW w:w="271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 xml:space="preserve">     1．政府采购货物支出</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r>
      <w:tr>
        <w:tblPrEx>
          <w:tblCellMar>
            <w:top w:w="15" w:type="dxa"/>
            <w:left w:w="15" w:type="dxa"/>
            <w:bottom w:w="15" w:type="dxa"/>
            <w:right w:w="15" w:type="dxa"/>
          </w:tblCellMar>
        </w:tblPrEx>
        <w:trPr>
          <w:trHeight w:val="209" w:hRule="atLeast"/>
        </w:trPr>
        <w:tc>
          <w:tcPr>
            <w:tcW w:w="276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 xml:space="preserve">     其中：外事接待人次（人）</w:t>
            </w:r>
          </w:p>
        </w:tc>
        <w:tc>
          <w:tcPr>
            <w:tcW w:w="75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w:t>
            </w:r>
          </w:p>
        </w:tc>
        <w:tc>
          <w:tcPr>
            <w:tcW w:w="8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w:t>
            </w:r>
          </w:p>
        </w:tc>
        <w:tc>
          <w:tcPr>
            <w:tcW w:w="271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 xml:space="preserve">     2．政府采购工程支出</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r>
      <w:tr>
        <w:tblPrEx>
          <w:tblCellMar>
            <w:top w:w="15" w:type="dxa"/>
            <w:left w:w="15" w:type="dxa"/>
            <w:bottom w:w="15" w:type="dxa"/>
            <w:right w:w="15" w:type="dxa"/>
          </w:tblCellMar>
        </w:tblPrEx>
        <w:trPr>
          <w:trHeight w:val="477" w:hRule="atLeast"/>
        </w:trPr>
        <w:tc>
          <w:tcPr>
            <w:tcW w:w="276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 xml:space="preserve">  7．国（境）外公务接待批次（个）</w:t>
            </w:r>
          </w:p>
        </w:tc>
        <w:tc>
          <w:tcPr>
            <w:tcW w:w="75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w:t>
            </w:r>
          </w:p>
        </w:tc>
        <w:tc>
          <w:tcPr>
            <w:tcW w:w="8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w:t>
            </w:r>
          </w:p>
        </w:tc>
        <w:tc>
          <w:tcPr>
            <w:tcW w:w="271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 xml:space="preserve">     3．政府采购服务支出</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r>
      <w:tr>
        <w:tblPrEx>
          <w:tblCellMar>
            <w:top w:w="15" w:type="dxa"/>
            <w:left w:w="15" w:type="dxa"/>
            <w:bottom w:w="15" w:type="dxa"/>
            <w:right w:w="15" w:type="dxa"/>
          </w:tblCellMar>
        </w:tblPrEx>
        <w:trPr>
          <w:trHeight w:val="492" w:hRule="atLeast"/>
        </w:trPr>
        <w:tc>
          <w:tcPr>
            <w:tcW w:w="276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 xml:space="preserve">  8．国（境）外公务接待人次（人）</w:t>
            </w:r>
          </w:p>
        </w:tc>
        <w:tc>
          <w:tcPr>
            <w:tcW w:w="75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w:t>
            </w:r>
          </w:p>
        </w:tc>
        <w:tc>
          <w:tcPr>
            <w:tcW w:w="8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w:t>
            </w:r>
          </w:p>
        </w:tc>
        <w:tc>
          <w:tcPr>
            <w:tcW w:w="271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 xml:space="preserve">  （二）政府采购授予中小企业合同金额</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r>
      <w:tr>
        <w:tblPrEx>
          <w:tblCellMar>
            <w:top w:w="15" w:type="dxa"/>
            <w:left w:w="15" w:type="dxa"/>
            <w:bottom w:w="15" w:type="dxa"/>
            <w:right w:w="15" w:type="dxa"/>
          </w:tblCellMar>
        </w:tblPrEx>
        <w:trPr>
          <w:trHeight w:val="314" w:hRule="atLeast"/>
        </w:trPr>
        <w:tc>
          <w:tcPr>
            <w:tcW w:w="276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二、会议费</w:t>
            </w:r>
          </w:p>
        </w:tc>
        <w:tc>
          <w:tcPr>
            <w:tcW w:w="75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w:t>
            </w:r>
          </w:p>
        </w:tc>
        <w:tc>
          <w:tcPr>
            <w:tcW w:w="8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c>
          <w:tcPr>
            <w:tcW w:w="2715"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 xml:space="preserve">       其中：授予小微企业合同金额</w:t>
            </w: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0.00</w:t>
            </w:r>
          </w:p>
        </w:tc>
      </w:tr>
      <w:tr>
        <w:tblPrEx>
          <w:tblCellMar>
            <w:top w:w="15" w:type="dxa"/>
            <w:left w:w="15" w:type="dxa"/>
            <w:bottom w:w="15" w:type="dxa"/>
            <w:right w:w="15" w:type="dxa"/>
          </w:tblCellMar>
        </w:tblPrEx>
        <w:trPr>
          <w:trHeight w:val="284" w:hRule="atLeast"/>
        </w:trPr>
        <w:tc>
          <w:tcPr>
            <w:tcW w:w="2760"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三、培训费</w:t>
            </w:r>
          </w:p>
        </w:tc>
        <w:tc>
          <w:tcPr>
            <w:tcW w:w="75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w:t>
            </w:r>
          </w:p>
        </w:tc>
        <w:tc>
          <w:tcPr>
            <w:tcW w:w="84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18"/>
                <w:szCs w:val="18"/>
              </w:rPr>
            </w:pPr>
            <w:r>
              <w:rPr>
                <w:rFonts w:hint="eastAsia" w:ascii="方正仿宋_GBK" w:eastAsia="方正仿宋_GBK"/>
                <w:color w:val="000000"/>
                <w:sz w:val="18"/>
                <w:szCs w:val="18"/>
              </w:rPr>
              <w:t>1.41</w:t>
            </w:r>
          </w:p>
        </w:tc>
        <w:tc>
          <w:tcPr>
            <w:tcW w:w="2715" w:type="dxa"/>
            <w:tcBorders>
              <w:top w:val="nil"/>
              <w:left w:val="nil"/>
              <w:bottom w:val="single" w:color="000000" w:sz="4" w:space="0"/>
              <w:right w:val="single" w:color="000000" w:sz="4" w:space="0"/>
            </w:tcBorders>
            <w:shd w:val="clear" w:color="auto" w:fill="C0C0C0"/>
            <w:vAlign w:val="center"/>
          </w:tcPr>
          <w:p>
            <w:pPr>
              <w:autoSpaceDE w:val="0"/>
              <w:spacing w:line="240" w:lineRule="atLeast"/>
              <w:rPr>
                <w:rFonts w:ascii="方正仿宋_GBK" w:eastAsia="方正仿宋_GBK"/>
                <w:color w:val="000000"/>
                <w:sz w:val="18"/>
                <w:szCs w:val="18"/>
              </w:rPr>
            </w:pPr>
          </w:p>
        </w:tc>
        <w:tc>
          <w:tcPr>
            <w:tcW w:w="960" w:type="dxa"/>
            <w:tcBorders>
              <w:top w:val="nil"/>
              <w:left w:val="nil"/>
              <w:bottom w:val="single" w:color="000000" w:sz="4" w:space="0"/>
              <w:right w:val="single" w:color="000000" w:sz="4" w:space="0"/>
            </w:tcBorders>
            <w:shd w:val="clear" w:color="auto" w:fill="FFFFFF"/>
            <w:vAlign w:val="center"/>
          </w:tcPr>
          <w:p>
            <w:pPr>
              <w:autoSpaceDE w:val="0"/>
              <w:spacing w:line="240" w:lineRule="atLeast"/>
              <w:rPr>
                <w:rFonts w:ascii="方正仿宋_GBK" w:eastAsia="方正仿宋_GBK"/>
                <w:color w:val="000000"/>
                <w:sz w:val="18"/>
                <w:szCs w:val="18"/>
              </w:rPr>
            </w:pPr>
          </w:p>
        </w:tc>
      </w:tr>
      <w:tr>
        <w:tblPrEx>
          <w:tblCellMar>
            <w:top w:w="15" w:type="dxa"/>
            <w:left w:w="15" w:type="dxa"/>
            <w:bottom w:w="15" w:type="dxa"/>
            <w:right w:w="15" w:type="dxa"/>
          </w:tblCellMar>
        </w:tblPrEx>
        <w:trPr>
          <w:trHeight w:val="285" w:hRule="atLeast"/>
        </w:trPr>
        <w:tc>
          <w:tcPr>
            <w:tcW w:w="8025" w:type="dxa"/>
            <w:gridSpan w:val="5"/>
            <w:tcBorders>
              <w:top w:val="nil"/>
              <w:left w:val="nil"/>
              <w:bottom w:val="nil"/>
              <w:right w:val="nil"/>
            </w:tcBorders>
            <w:shd w:val="clear" w:color="auto" w:fill="FFFFFF"/>
            <w:vAlign w:val="center"/>
          </w:tcPr>
          <w:p>
            <w:pPr>
              <w:pStyle w:val="2"/>
              <w:ind w:firstLine="0"/>
            </w:pPr>
            <w:r>
              <w:rPr>
                <w:rFonts w:ascii="Times New Roman" w:hAnsi="Times New Roman" w:eastAsia="方正仿宋_GBK" w:cs="Times New Roman"/>
                <w:sz w:val="18"/>
                <w:szCs w:val="18"/>
              </w:rPr>
              <w:t xml:space="preserve">备注：预算数年初部门预算批复数，决算数包括当年财政拨款预算和以前年度结转结余资金安排的实际支出。 </w:t>
            </w:r>
          </w:p>
        </w:tc>
      </w:tr>
    </w:tbl>
    <w:p>
      <w:pPr>
        <w:pStyle w:val="25"/>
        <w:autoSpaceDE w:val="0"/>
        <w:spacing w:before="0" w:beforeAutospacing="0" w:after="0" w:afterAutospacing="0" w:line="240" w:lineRule="atLeast"/>
        <w:ind w:firstLine="360" w:firstLineChars="200"/>
        <w:rPr>
          <w:rFonts w:hint="eastAsia" w:ascii="Times New Roman" w:hAnsi="Times New Roman" w:eastAsia="方正仿宋_GBK" w:cs="Times New Roman"/>
          <w:color w:val="000000"/>
          <w:sz w:val="18"/>
          <w:szCs w:val="18"/>
        </w:rPr>
      </w:pPr>
      <w:r>
        <w:rPr>
          <w:rFonts w:ascii="Times New Roman" w:hAnsi="Times New Roman" w:eastAsia="方正仿宋_GBK" w:cs="Times New Roman"/>
          <w:color w:val="000000"/>
          <w:sz w:val="18"/>
          <w:szCs w:val="18"/>
        </w:rPr>
        <w:t xml:space="preserve">  </w:t>
      </w:r>
    </w:p>
    <w:p>
      <w:pPr>
        <w:pStyle w:val="25"/>
        <w:autoSpaceDE w:val="0"/>
        <w:spacing w:before="0" w:beforeAutospacing="0" w:after="0" w:afterAutospacing="0" w:line="240" w:lineRule="atLeast"/>
        <w:ind w:firstLine="360" w:firstLineChars="200"/>
        <w:rPr>
          <w:rFonts w:ascii="Times New Roman" w:hAnsi="Times New Roman" w:eastAsia="方正仿宋_GBK" w:cs="Times New Roman"/>
          <w:color w:val="000000"/>
          <w:sz w:val="18"/>
          <w:szCs w:val="18"/>
        </w:rPr>
      </w:pPr>
      <w:r>
        <w:rPr>
          <w:rFonts w:ascii="Times New Roman" w:hAnsi="Times New Roman" w:eastAsia="方正仿宋_GBK" w:cs="Times New Roman"/>
          <w:color w:val="000000"/>
          <w:sz w:val="18"/>
          <w:szCs w:val="18"/>
        </w:rPr>
        <w:t xml:space="preserve"> </w:t>
      </w:r>
    </w:p>
    <w:p>
      <w:pPr>
        <w:pStyle w:val="25"/>
        <w:autoSpaceDE w:val="0"/>
        <w:spacing w:before="0" w:beforeAutospacing="0" w:after="0" w:afterAutospacing="0" w:line="240" w:lineRule="atLeast"/>
        <w:ind w:firstLine="360" w:firstLineChars="200"/>
        <w:rPr>
          <w:rFonts w:ascii="Times New Roman" w:hAnsi="Times New Roman" w:eastAsia="方正仿宋_GBK" w:cs="Times New Roman"/>
          <w:color w:val="000000"/>
          <w:sz w:val="18"/>
          <w:szCs w:val="18"/>
        </w:rPr>
      </w:pPr>
    </w:p>
    <w:p>
      <w:pPr>
        <w:pStyle w:val="25"/>
        <w:autoSpaceDE w:val="0"/>
        <w:spacing w:before="0" w:beforeAutospacing="0" w:after="0" w:afterAutospacing="0" w:line="240" w:lineRule="atLeast"/>
        <w:ind w:firstLine="360" w:firstLineChars="200"/>
        <w:rPr>
          <w:rFonts w:ascii="Times New Roman" w:hAnsi="Times New Roman" w:eastAsia="方正仿宋_GBK" w:cs="Times New Roman"/>
          <w:color w:val="000000"/>
          <w:sz w:val="18"/>
          <w:szCs w:val="18"/>
        </w:rPr>
      </w:pPr>
    </w:p>
    <w:p>
      <w:pPr>
        <w:pStyle w:val="25"/>
        <w:autoSpaceDE w:val="0"/>
        <w:spacing w:before="0" w:beforeAutospacing="0" w:after="0" w:afterAutospacing="0" w:line="240" w:lineRule="atLeast"/>
        <w:ind w:firstLine="360" w:firstLineChars="200"/>
        <w:rPr>
          <w:rFonts w:ascii="Times New Roman" w:hAnsi="Times New Roman" w:eastAsia="方正仿宋_GBK" w:cs="Times New Roman"/>
          <w:color w:val="000000"/>
          <w:sz w:val="18"/>
          <w:szCs w:val="18"/>
        </w:rPr>
      </w:pPr>
    </w:p>
    <w:p>
      <w:pPr>
        <w:pStyle w:val="25"/>
        <w:autoSpaceDE w:val="0"/>
        <w:spacing w:before="0" w:beforeAutospacing="0" w:after="0" w:afterAutospacing="0" w:line="240" w:lineRule="atLeast"/>
        <w:ind w:firstLine="360" w:firstLineChars="200"/>
        <w:rPr>
          <w:rFonts w:ascii="Times New Roman" w:hAnsi="Times New Roman" w:eastAsia="方正仿宋_GBK" w:cs="Times New Roman"/>
          <w:color w:val="000000"/>
          <w:sz w:val="18"/>
          <w:szCs w:val="18"/>
        </w:rPr>
      </w:pPr>
    </w:p>
    <w:p>
      <w:pPr>
        <w:pStyle w:val="25"/>
        <w:autoSpaceDE w:val="0"/>
        <w:spacing w:before="0" w:beforeAutospacing="0" w:after="0" w:afterAutospacing="0" w:line="240" w:lineRule="atLeast"/>
        <w:ind w:firstLine="360" w:firstLineChars="200"/>
        <w:rPr>
          <w:rFonts w:ascii="Times New Roman" w:hAnsi="Times New Roman" w:eastAsia="方正仿宋_GBK" w:cs="Times New Roman"/>
          <w:color w:val="000000"/>
          <w:sz w:val="18"/>
          <w:szCs w:val="18"/>
        </w:rPr>
      </w:pPr>
    </w:p>
    <w:tbl>
      <w:tblPr>
        <w:tblStyle w:val="13"/>
        <w:tblW w:w="7845" w:type="dxa"/>
        <w:tblInd w:w="135" w:type="dxa"/>
        <w:tblLayout w:type="fixed"/>
        <w:tblCellMar>
          <w:top w:w="15" w:type="dxa"/>
          <w:left w:w="15" w:type="dxa"/>
          <w:bottom w:w="15" w:type="dxa"/>
          <w:right w:w="15" w:type="dxa"/>
        </w:tblCellMar>
      </w:tblPr>
      <w:tblGrid>
        <w:gridCol w:w="1699"/>
        <w:gridCol w:w="2966"/>
        <w:gridCol w:w="1128"/>
        <w:gridCol w:w="972"/>
        <w:gridCol w:w="1080"/>
      </w:tblGrid>
      <w:tr>
        <w:tblPrEx>
          <w:tblCellMar>
            <w:top w:w="15" w:type="dxa"/>
            <w:left w:w="15" w:type="dxa"/>
            <w:bottom w:w="15" w:type="dxa"/>
            <w:right w:w="15" w:type="dxa"/>
          </w:tblCellMar>
        </w:tblPrEx>
        <w:trPr>
          <w:trHeight w:val="285" w:hRule="atLeast"/>
        </w:trPr>
        <w:tc>
          <w:tcPr>
            <w:tcW w:w="7845" w:type="dxa"/>
            <w:gridSpan w:val="5"/>
            <w:tcBorders>
              <w:top w:val="nil"/>
              <w:left w:val="nil"/>
              <w:bottom w:val="nil"/>
              <w:right w:val="single" w:color="808080" w:sz="4" w:space="0"/>
            </w:tcBorders>
            <w:shd w:val="clear" w:color="auto" w:fill="FFFFFF"/>
            <w:vAlign w:val="center"/>
          </w:tcPr>
          <w:p>
            <w:pPr>
              <w:autoSpaceDE w:val="0"/>
              <w:spacing w:line="240" w:lineRule="atLeast"/>
              <w:jc w:val="center"/>
              <w:textAlignment w:val="center"/>
              <w:rPr>
                <w:rFonts w:ascii="方正仿宋_GBK" w:eastAsia="方正仿宋_GBK"/>
                <w:color w:val="000000"/>
                <w:sz w:val="20"/>
                <w:szCs w:val="20"/>
              </w:rPr>
            </w:pPr>
            <w:r>
              <w:rPr>
                <w:rFonts w:hint="eastAsia" w:ascii="方正仿宋_GBK" w:eastAsia="方正仿宋_GBK"/>
                <w:color w:val="000000"/>
                <w:sz w:val="32"/>
                <w:szCs w:val="32"/>
              </w:rPr>
              <w:t>国有资本经营预算财政拨款支出决算表</w:t>
            </w:r>
          </w:p>
        </w:tc>
      </w:tr>
      <w:tr>
        <w:tblPrEx>
          <w:tblCellMar>
            <w:top w:w="15" w:type="dxa"/>
            <w:left w:w="15" w:type="dxa"/>
            <w:bottom w:w="15" w:type="dxa"/>
            <w:right w:w="15" w:type="dxa"/>
          </w:tblCellMar>
        </w:tblPrEx>
        <w:trPr>
          <w:trHeight w:val="285" w:hRule="atLeast"/>
        </w:trPr>
        <w:tc>
          <w:tcPr>
            <w:tcW w:w="7845" w:type="dxa"/>
            <w:gridSpan w:val="5"/>
            <w:tcBorders>
              <w:top w:val="nil"/>
              <w:left w:val="nil"/>
              <w:bottom w:val="nil"/>
              <w:right w:val="single" w:color="808080" w:sz="4" w:space="0"/>
            </w:tcBorders>
            <w:shd w:val="clear" w:color="auto" w:fill="FFFFFF"/>
            <w:vAlign w:val="center"/>
          </w:tcPr>
          <w:p>
            <w:pPr>
              <w:autoSpaceDE w:val="0"/>
              <w:spacing w:line="240" w:lineRule="atLeast"/>
              <w:jc w:val="right"/>
              <w:textAlignment w:val="center"/>
              <w:rPr>
                <w:rFonts w:ascii="方正仿宋_GBK" w:eastAsia="方正仿宋_GBK"/>
                <w:color w:val="000000"/>
                <w:sz w:val="20"/>
                <w:szCs w:val="20"/>
              </w:rPr>
            </w:pPr>
            <w:r>
              <w:rPr>
                <w:rFonts w:hint="eastAsia" w:ascii="方正仿宋_GBK" w:eastAsia="方正仿宋_GBK"/>
                <w:color w:val="000000"/>
                <w:sz w:val="20"/>
                <w:szCs w:val="20"/>
              </w:rPr>
              <w:t>公开09表</w:t>
            </w:r>
          </w:p>
        </w:tc>
      </w:tr>
      <w:tr>
        <w:tblPrEx>
          <w:tblCellMar>
            <w:top w:w="15" w:type="dxa"/>
            <w:left w:w="15" w:type="dxa"/>
            <w:bottom w:w="15" w:type="dxa"/>
            <w:right w:w="15" w:type="dxa"/>
          </w:tblCellMar>
        </w:tblPrEx>
        <w:trPr>
          <w:trHeight w:val="285" w:hRule="atLeast"/>
        </w:trPr>
        <w:tc>
          <w:tcPr>
            <w:tcW w:w="7845" w:type="dxa"/>
            <w:gridSpan w:val="5"/>
            <w:tcBorders>
              <w:top w:val="nil"/>
              <w:left w:val="nil"/>
              <w:bottom w:val="single" w:color="808080" w:sz="4" w:space="0"/>
              <w:right w:val="single" w:color="808080" w:sz="4" w:space="0"/>
            </w:tcBorders>
            <w:shd w:val="clear" w:color="auto" w:fill="FFFFFF"/>
            <w:vAlign w:val="center"/>
          </w:tcPr>
          <w:p>
            <w:pPr>
              <w:autoSpaceDE w:val="0"/>
              <w:spacing w:line="240" w:lineRule="atLeast"/>
              <w:textAlignment w:val="center"/>
              <w:rPr>
                <w:rFonts w:ascii="方正仿宋_GBK" w:eastAsia="方正仿宋_GBK"/>
                <w:color w:val="000000"/>
                <w:sz w:val="20"/>
                <w:szCs w:val="20"/>
              </w:rPr>
            </w:pPr>
            <w:r>
              <w:rPr>
                <w:rFonts w:hint="eastAsia" w:ascii="方正仿宋_GBK" w:eastAsia="方正仿宋_GBK"/>
                <w:color w:val="000000"/>
                <w:sz w:val="20"/>
                <w:szCs w:val="20"/>
              </w:rPr>
              <w:t>公开部门：重庆市垫江县交通建设工程服务中心        2020年度                       单位：万元</w:t>
            </w:r>
          </w:p>
        </w:tc>
      </w:tr>
      <w:tr>
        <w:tblPrEx>
          <w:tblCellMar>
            <w:top w:w="15" w:type="dxa"/>
            <w:left w:w="15" w:type="dxa"/>
            <w:bottom w:w="15" w:type="dxa"/>
            <w:right w:w="15" w:type="dxa"/>
          </w:tblCellMar>
        </w:tblPrEx>
        <w:trPr>
          <w:trHeight w:val="285" w:hRule="atLeast"/>
        </w:trPr>
        <w:tc>
          <w:tcPr>
            <w:tcW w:w="4665" w:type="dxa"/>
            <w:gridSpan w:val="2"/>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20"/>
                <w:szCs w:val="20"/>
              </w:rPr>
            </w:pPr>
            <w:r>
              <w:rPr>
                <w:rFonts w:hint="eastAsia" w:ascii="方正仿宋_GBK" w:eastAsia="方正仿宋_GBK"/>
                <w:b/>
                <w:bCs/>
                <w:color w:val="000000"/>
                <w:sz w:val="20"/>
                <w:szCs w:val="20"/>
              </w:rPr>
              <w:t>项目</w:t>
            </w:r>
          </w:p>
        </w:tc>
        <w:tc>
          <w:tcPr>
            <w:tcW w:w="3180" w:type="dxa"/>
            <w:gridSpan w:val="3"/>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20"/>
                <w:szCs w:val="20"/>
              </w:rPr>
            </w:pPr>
            <w:r>
              <w:rPr>
                <w:rFonts w:hint="eastAsia" w:ascii="方正仿宋_GBK" w:eastAsia="方正仿宋_GBK"/>
                <w:b/>
                <w:bCs/>
                <w:color w:val="000000"/>
                <w:sz w:val="20"/>
                <w:szCs w:val="20"/>
              </w:rPr>
              <w:t>本年支出</w:t>
            </w:r>
          </w:p>
        </w:tc>
      </w:tr>
      <w:tr>
        <w:tblPrEx>
          <w:tblCellMar>
            <w:top w:w="15" w:type="dxa"/>
            <w:left w:w="15" w:type="dxa"/>
            <w:bottom w:w="15" w:type="dxa"/>
            <w:right w:w="15" w:type="dxa"/>
          </w:tblCellMar>
        </w:tblPrEx>
        <w:trPr>
          <w:trHeight w:val="292" w:hRule="atLeast"/>
        </w:trPr>
        <w:tc>
          <w:tcPr>
            <w:tcW w:w="1699" w:type="dxa"/>
            <w:vMerge w:val="restart"/>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20"/>
                <w:szCs w:val="20"/>
              </w:rPr>
            </w:pPr>
            <w:r>
              <w:rPr>
                <w:rFonts w:hint="eastAsia" w:ascii="方正仿宋_GBK" w:eastAsia="方正仿宋_GBK"/>
                <w:b/>
                <w:bCs/>
                <w:color w:val="000000"/>
                <w:sz w:val="20"/>
                <w:szCs w:val="20"/>
              </w:rPr>
              <w:t>功能分类科目编码</w:t>
            </w:r>
          </w:p>
        </w:tc>
        <w:tc>
          <w:tcPr>
            <w:tcW w:w="2966" w:type="dxa"/>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20"/>
                <w:szCs w:val="20"/>
              </w:rPr>
            </w:pPr>
            <w:r>
              <w:rPr>
                <w:rFonts w:hint="eastAsia" w:ascii="方正仿宋_GBK" w:eastAsia="方正仿宋_GBK"/>
                <w:b/>
                <w:bCs/>
                <w:color w:val="000000"/>
                <w:sz w:val="20"/>
                <w:szCs w:val="20"/>
              </w:rPr>
              <w:t>科目名称</w:t>
            </w:r>
          </w:p>
        </w:tc>
        <w:tc>
          <w:tcPr>
            <w:tcW w:w="1128" w:type="dxa"/>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20"/>
                <w:szCs w:val="20"/>
              </w:rPr>
            </w:pPr>
            <w:r>
              <w:rPr>
                <w:rFonts w:hint="eastAsia" w:ascii="方正仿宋_GBK" w:eastAsia="方正仿宋_GBK"/>
                <w:b/>
                <w:bCs/>
                <w:color w:val="000000"/>
                <w:sz w:val="20"/>
                <w:szCs w:val="20"/>
              </w:rPr>
              <w:t>合计</w:t>
            </w:r>
          </w:p>
        </w:tc>
        <w:tc>
          <w:tcPr>
            <w:tcW w:w="972" w:type="dxa"/>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20"/>
                <w:szCs w:val="20"/>
              </w:rPr>
            </w:pPr>
            <w:r>
              <w:rPr>
                <w:rFonts w:hint="eastAsia" w:ascii="方正仿宋_GBK" w:eastAsia="方正仿宋_GBK"/>
                <w:b/>
                <w:bCs/>
                <w:color w:val="000000"/>
                <w:sz w:val="20"/>
                <w:szCs w:val="20"/>
              </w:rPr>
              <w:t>基本支出</w:t>
            </w:r>
          </w:p>
        </w:tc>
        <w:tc>
          <w:tcPr>
            <w:tcW w:w="1080" w:type="dxa"/>
            <w:vMerge w:val="restart"/>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20"/>
                <w:szCs w:val="20"/>
              </w:rPr>
            </w:pPr>
            <w:r>
              <w:rPr>
                <w:rFonts w:hint="eastAsia" w:ascii="方正仿宋_GBK" w:eastAsia="方正仿宋_GBK"/>
                <w:b/>
                <w:bCs/>
                <w:color w:val="000000"/>
                <w:sz w:val="20"/>
                <w:szCs w:val="20"/>
              </w:rPr>
              <w:t>项目支出</w:t>
            </w:r>
          </w:p>
        </w:tc>
      </w:tr>
      <w:tr>
        <w:tblPrEx>
          <w:tblCellMar>
            <w:top w:w="15" w:type="dxa"/>
            <w:left w:w="15" w:type="dxa"/>
            <w:bottom w:w="15" w:type="dxa"/>
            <w:right w:w="15" w:type="dxa"/>
          </w:tblCellMar>
        </w:tblPrEx>
        <w:trPr>
          <w:trHeight w:val="292" w:hRule="atLeast"/>
        </w:trPr>
        <w:tc>
          <w:tcPr>
            <w:tcW w:w="7845" w:type="dxa"/>
            <w:vMerge w:val="continue"/>
            <w:tcBorders>
              <w:top w:val="nil"/>
              <w:left w:val="single" w:color="000000" w:sz="4" w:space="0"/>
              <w:bottom w:val="single" w:color="000000" w:sz="4" w:space="0"/>
              <w:right w:val="single" w:color="000000" w:sz="4" w:space="0"/>
            </w:tcBorders>
            <w:vAlign w:val="center"/>
          </w:tcPr>
          <w:p>
            <w:pPr>
              <w:rPr>
                <w:rFonts w:ascii="方正仿宋_GBK" w:eastAsia="方正仿宋_GBK"/>
                <w:b/>
                <w:bCs/>
                <w:color w:val="000000"/>
                <w:sz w:val="20"/>
                <w:szCs w:val="20"/>
              </w:rPr>
            </w:pPr>
          </w:p>
        </w:tc>
        <w:tc>
          <w:tcPr>
            <w:tcW w:w="2966" w:type="dxa"/>
            <w:vMerge w:val="continue"/>
            <w:tcBorders>
              <w:top w:val="nil"/>
              <w:left w:val="nil"/>
              <w:bottom w:val="single" w:color="000000" w:sz="4" w:space="0"/>
              <w:right w:val="single" w:color="000000" w:sz="4" w:space="0"/>
            </w:tcBorders>
            <w:vAlign w:val="center"/>
          </w:tcPr>
          <w:p>
            <w:pPr>
              <w:rPr>
                <w:rFonts w:ascii="方正仿宋_GBK" w:eastAsia="方正仿宋_GBK"/>
                <w:b/>
                <w:bCs/>
                <w:color w:val="000000"/>
                <w:sz w:val="20"/>
                <w:szCs w:val="20"/>
              </w:rPr>
            </w:pPr>
          </w:p>
        </w:tc>
        <w:tc>
          <w:tcPr>
            <w:tcW w:w="3180" w:type="dxa"/>
            <w:vMerge w:val="continue"/>
            <w:tcBorders>
              <w:top w:val="nil"/>
              <w:left w:val="nil"/>
              <w:bottom w:val="single" w:color="000000" w:sz="4" w:space="0"/>
              <w:right w:val="single" w:color="000000" w:sz="4" w:space="0"/>
            </w:tcBorders>
            <w:vAlign w:val="center"/>
          </w:tcPr>
          <w:p>
            <w:pPr>
              <w:rPr>
                <w:rFonts w:ascii="方正仿宋_GBK" w:eastAsia="方正仿宋_GBK"/>
                <w:b/>
                <w:bCs/>
                <w:color w:val="000000"/>
                <w:sz w:val="20"/>
                <w:szCs w:val="20"/>
              </w:rPr>
            </w:pPr>
          </w:p>
        </w:tc>
        <w:tc>
          <w:tcPr>
            <w:tcW w:w="972" w:type="dxa"/>
            <w:vMerge w:val="continue"/>
            <w:tcBorders>
              <w:top w:val="nil"/>
              <w:left w:val="nil"/>
              <w:bottom w:val="single" w:color="000000" w:sz="4" w:space="0"/>
              <w:right w:val="single" w:color="000000" w:sz="4" w:space="0"/>
            </w:tcBorders>
            <w:vAlign w:val="center"/>
          </w:tcPr>
          <w:p>
            <w:pPr>
              <w:rPr>
                <w:rFonts w:ascii="方正仿宋_GBK" w:eastAsia="方正仿宋_GBK"/>
                <w:b/>
                <w:bCs/>
                <w:color w:val="000000"/>
                <w:sz w:val="20"/>
                <w:szCs w:val="20"/>
              </w:rPr>
            </w:pPr>
          </w:p>
        </w:tc>
        <w:tc>
          <w:tcPr>
            <w:tcW w:w="1080" w:type="dxa"/>
            <w:vMerge w:val="continue"/>
            <w:tcBorders>
              <w:top w:val="nil"/>
              <w:left w:val="nil"/>
              <w:bottom w:val="single" w:color="000000" w:sz="4" w:space="0"/>
              <w:right w:val="single" w:color="000000" w:sz="4" w:space="0"/>
            </w:tcBorders>
            <w:vAlign w:val="center"/>
          </w:tcPr>
          <w:p>
            <w:pPr>
              <w:rPr>
                <w:rFonts w:ascii="方正仿宋_GBK" w:eastAsia="方正仿宋_GBK"/>
                <w:b/>
                <w:bCs/>
                <w:color w:val="000000"/>
                <w:sz w:val="20"/>
                <w:szCs w:val="20"/>
              </w:rPr>
            </w:pPr>
          </w:p>
        </w:tc>
      </w:tr>
      <w:tr>
        <w:tblPrEx>
          <w:tblCellMar>
            <w:top w:w="15" w:type="dxa"/>
            <w:left w:w="15" w:type="dxa"/>
            <w:bottom w:w="15" w:type="dxa"/>
            <w:right w:w="15" w:type="dxa"/>
          </w:tblCellMar>
        </w:tblPrEx>
        <w:trPr>
          <w:trHeight w:val="292" w:hRule="atLeast"/>
        </w:trPr>
        <w:tc>
          <w:tcPr>
            <w:tcW w:w="7845" w:type="dxa"/>
            <w:vMerge w:val="continue"/>
            <w:tcBorders>
              <w:top w:val="nil"/>
              <w:left w:val="single" w:color="000000" w:sz="4" w:space="0"/>
              <w:bottom w:val="single" w:color="000000" w:sz="4" w:space="0"/>
              <w:right w:val="single" w:color="000000" w:sz="4" w:space="0"/>
            </w:tcBorders>
            <w:vAlign w:val="center"/>
          </w:tcPr>
          <w:p>
            <w:pPr>
              <w:rPr>
                <w:rFonts w:ascii="方正仿宋_GBK" w:eastAsia="方正仿宋_GBK"/>
                <w:b/>
                <w:bCs/>
                <w:color w:val="000000"/>
                <w:sz w:val="20"/>
                <w:szCs w:val="20"/>
              </w:rPr>
            </w:pPr>
          </w:p>
        </w:tc>
        <w:tc>
          <w:tcPr>
            <w:tcW w:w="2966" w:type="dxa"/>
            <w:vMerge w:val="continue"/>
            <w:tcBorders>
              <w:top w:val="nil"/>
              <w:left w:val="nil"/>
              <w:bottom w:val="single" w:color="000000" w:sz="4" w:space="0"/>
              <w:right w:val="single" w:color="000000" w:sz="4" w:space="0"/>
            </w:tcBorders>
            <w:vAlign w:val="center"/>
          </w:tcPr>
          <w:p>
            <w:pPr>
              <w:rPr>
                <w:rFonts w:ascii="方正仿宋_GBK" w:eastAsia="方正仿宋_GBK"/>
                <w:b/>
                <w:bCs/>
                <w:color w:val="000000"/>
                <w:sz w:val="20"/>
                <w:szCs w:val="20"/>
              </w:rPr>
            </w:pPr>
          </w:p>
        </w:tc>
        <w:tc>
          <w:tcPr>
            <w:tcW w:w="3180" w:type="dxa"/>
            <w:vMerge w:val="continue"/>
            <w:tcBorders>
              <w:top w:val="nil"/>
              <w:left w:val="nil"/>
              <w:bottom w:val="single" w:color="000000" w:sz="4" w:space="0"/>
              <w:right w:val="single" w:color="000000" w:sz="4" w:space="0"/>
            </w:tcBorders>
            <w:vAlign w:val="center"/>
          </w:tcPr>
          <w:p>
            <w:pPr>
              <w:rPr>
                <w:rFonts w:ascii="方正仿宋_GBK" w:eastAsia="方正仿宋_GBK"/>
                <w:b/>
                <w:bCs/>
                <w:color w:val="000000"/>
                <w:sz w:val="20"/>
                <w:szCs w:val="20"/>
              </w:rPr>
            </w:pPr>
          </w:p>
        </w:tc>
        <w:tc>
          <w:tcPr>
            <w:tcW w:w="972" w:type="dxa"/>
            <w:vMerge w:val="continue"/>
            <w:tcBorders>
              <w:top w:val="nil"/>
              <w:left w:val="nil"/>
              <w:bottom w:val="single" w:color="000000" w:sz="4" w:space="0"/>
              <w:right w:val="single" w:color="000000" w:sz="4" w:space="0"/>
            </w:tcBorders>
            <w:vAlign w:val="center"/>
          </w:tcPr>
          <w:p>
            <w:pPr>
              <w:rPr>
                <w:rFonts w:ascii="方正仿宋_GBK" w:eastAsia="方正仿宋_GBK"/>
                <w:b/>
                <w:bCs/>
                <w:color w:val="000000"/>
                <w:sz w:val="20"/>
                <w:szCs w:val="20"/>
              </w:rPr>
            </w:pPr>
          </w:p>
        </w:tc>
        <w:tc>
          <w:tcPr>
            <w:tcW w:w="1080" w:type="dxa"/>
            <w:vMerge w:val="continue"/>
            <w:tcBorders>
              <w:top w:val="nil"/>
              <w:left w:val="nil"/>
              <w:bottom w:val="single" w:color="000000" w:sz="4" w:space="0"/>
              <w:right w:val="single" w:color="000000" w:sz="4" w:space="0"/>
            </w:tcBorders>
            <w:vAlign w:val="center"/>
          </w:tcPr>
          <w:p>
            <w:pPr>
              <w:rPr>
                <w:rFonts w:ascii="方正仿宋_GBK" w:eastAsia="方正仿宋_GBK"/>
                <w:b/>
                <w:bCs/>
                <w:color w:val="000000"/>
                <w:sz w:val="20"/>
                <w:szCs w:val="20"/>
              </w:rPr>
            </w:pPr>
          </w:p>
        </w:tc>
      </w:tr>
      <w:tr>
        <w:tblPrEx>
          <w:tblCellMar>
            <w:top w:w="15" w:type="dxa"/>
            <w:left w:w="15" w:type="dxa"/>
            <w:bottom w:w="15" w:type="dxa"/>
            <w:right w:w="15" w:type="dxa"/>
          </w:tblCellMar>
        </w:tblPrEx>
        <w:trPr>
          <w:trHeight w:val="285" w:hRule="atLeast"/>
        </w:trPr>
        <w:tc>
          <w:tcPr>
            <w:tcW w:w="4665" w:type="dxa"/>
            <w:gridSpan w:val="2"/>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20"/>
                <w:szCs w:val="20"/>
              </w:rPr>
            </w:pPr>
            <w:r>
              <w:rPr>
                <w:rFonts w:hint="eastAsia" w:ascii="方正仿宋_GBK" w:eastAsia="方正仿宋_GBK"/>
                <w:b/>
                <w:bCs/>
                <w:color w:val="000000"/>
                <w:sz w:val="20"/>
                <w:szCs w:val="20"/>
              </w:rPr>
              <w:t>合计</w:t>
            </w:r>
          </w:p>
        </w:tc>
        <w:tc>
          <w:tcPr>
            <w:tcW w:w="1128"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20"/>
                <w:szCs w:val="20"/>
              </w:rPr>
            </w:pPr>
            <w:r>
              <w:rPr>
                <w:rFonts w:hint="eastAsia" w:ascii="方正仿宋_GBK" w:eastAsia="方正仿宋_GBK"/>
                <w:color w:val="000000"/>
                <w:sz w:val="20"/>
                <w:szCs w:val="20"/>
              </w:rPr>
              <w:t>0.00</w:t>
            </w:r>
          </w:p>
        </w:tc>
        <w:tc>
          <w:tcPr>
            <w:tcW w:w="972"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20"/>
                <w:szCs w:val="20"/>
              </w:rPr>
            </w:pPr>
            <w:r>
              <w:rPr>
                <w:rFonts w:hint="eastAsia" w:ascii="方正仿宋_GBK" w:eastAsia="方正仿宋_GBK"/>
                <w:color w:val="000000"/>
                <w:sz w:val="20"/>
                <w:szCs w:val="20"/>
              </w:rPr>
              <w:t>0.00</w:t>
            </w:r>
          </w:p>
        </w:tc>
        <w:tc>
          <w:tcPr>
            <w:tcW w:w="108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20"/>
                <w:szCs w:val="20"/>
              </w:rPr>
            </w:pPr>
            <w:r>
              <w:rPr>
                <w:rFonts w:hint="eastAsia" w:ascii="方正仿宋_GBK" w:eastAsia="方正仿宋_GBK"/>
                <w:color w:val="000000"/>
                <w:sz w:val="20"/>
                <w:szCs w:val="20"/>
              </w:rPr>
              <w:t>0.00</w:t>
            </w:r>
          </w:p>
        </w:tc>
      </w:tr>
      <w:tr>
        <w:tblPrEx>
          <w:tblCellMar>
            <w:top w:w="15" w:type="dxa"/>
            <w:left w:w="15" w:type="dxa"/>
            <w:bottom w:w="15" w:type="dxa"/>
            <w:right w:w="15" w:type="dxa"/>
          </w:tblCellMar>
        </w:tblPrEx>
        <w:trPr>
          <w:trHeight w:val="285" w:hRule="atLeast"/>
        </w:trPr>
        <w:tc>
          <w:tcPr>
            <w:tcW w:w="1699"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20"/>
                <w:szCs w:val="20"/>
              </w:rPr>
            </w:pPr>
            <w:r>
              <w:rPr>
                <w:rFonts w:hint="eastAsia" w:ascii="方正仿宋_GBK" w:eastAsia="方正仿宋_GBK"/>
                <w:b/>
                <w:bCs/>
                <w:color w:val="000000"/>
                <w:sz w:val="20"/>
                <w:szCs w:val="20"/>
              </w:rPr>
              <w:t>223</w:t>
            </w:r>
          </w:p>
        </w:tc>
        <w:tc>
          <w:tcPr>
            <w:tcW w:w="2966"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20"/>
                <w:szCs w:val="20"/>
              </w:rPr>
            </w:pPr>
            <w:r>
              <w:rPr>
                <w:rFonts w:hint="eastAsia" w:ascii="方正仿宋_GBK" w:eastAsia="方正仿宋_GBK"/>
                <w:b/>
                <w:bCs/>
                <w:color w:val="000000"/>
                <w:sz w:val="20"/>
                <w:szCs w:val="20"/>
              </w:rPr>
              <w:t>国有资本经营预算支出</w:t>
            </w:r>
          </w:p>
        </w:tc>
        <w:tc>
          <w:tcPr>
            <w:tcW w:w="1128"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20"/>
                <w:szCs w:val="20"/>
              </w:rPr>
            </w:pPr>
            <w:r>
              <w:rPr>
                <w:rFonts w:hint="eastAsia" w:ascii="方正仿宋_GBK" w:eastAsia="方正仿宋_GBK"/>
                <w:b/>
                <w:bCs/>
                <w:color w:val="000000"/>
                <w:sz w:val="20"/>
                <w:szCs w:val="20"/>
              </w:rPr>
              <w:t>0.00</w:t>
            </w:r>
          </w:p>
        </w:tc>
        <w:tc>
          <w:tcPr>
            <w:tcW w:w="972"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20"/>
                <w:szCs w:val="20"/>
              </w:rPr>
            </w:pPr>
            <w:r>
              <w:rPr>
                <w:rFonts w:hint="eastAsia" w:ascii="方正仿宋_GBK" w:eastAsia="方正仿宋_GBK"/>
                <w:b/>
                <w:bCs/>
                <w:color w:val="000000"/>
                <w:sz w:val="20"/>
                <w:szCs w:val="20"/>
              </w:rPr>
              <w:t>0.00</w:t>
            </w:r>
          </w:p>
        </w:tc>
        <w:tc>
          <w:tcPr>
            <w:tcW w:w="108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20"/>
                <w:szCs w:val="20"/>
              </w:rPr>
            </w:pPr>
            <w:r>
              <w:rPr>
                <w:rFonts w:hint="eastAsia" w:ascii="方正仿宋_GBK" w:eastAsia="方正仿宋_GBK"/>
                <w:b/>
                <w:bCs/>
                <w:color w:val="000000"/>
                <w:sz w:val="20"/>
                <w:szCs w:val="20"/>
              </w:rPr>
              <w:t>0.00</w:t>
            </w:r>
          </w:p>
        </w:tc>
      </w:tr>
      <w:tr>
        <w:tblPrEx>
          <w:tblCellMar>
            <w:top w:w="15" w:type="dxa"/>
            <w:left w:w="15" w:type="dxa"/>
            <w:bottom w:w="15" w:type="dxa"/>
            <w:right w:w="15" w:type="dxa"/>
          </w:tblCellMar>
        </w:tblPrEx>
        <w:trPr>
          <w:trHeight w:val="285" w:hRule="atLeast"/>
        </w:trPr>
        <w:tc>
          <w:tcPr>
            <w:tcW w:w="1699" w:type="dxa"/>
            <w:tcBorders>
              <w:top w:val="nil"/>
              <w:left w:val="single" w:color="000000" w:sz="4" w:space="0"/>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20"/>
                <w:szCs w:val="20"/>
              </w:rPr>
            </w:pPr>
            <w:r>
              <w:rPr>
                <w:rFonts w:hint="eastAsia" w:ascii="方正仿宋_GBK" w:eastAsia="方正仿宋_GBK"/>
                <w:b/>
                <w:bCs/>
                <w:color w:val="000000"/>
                <w:sz w:val="20"/>
                <w:szCs w:val="20"/>
              </w:rPr>
              <w:t>22399</w:t>
            </w:r>
          </w:p>
        </w:tc>
        <w:tc>
          <w:tcPr>
            <w:tcW w:w="2966"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20"/>
                <w:szCs w:val="20"/>
              </w:rPr>
            </w:pPr>
            <w:r>
              <w:rPr>
                <w:rFonts w:hint="eastAsia" w:ascii="方正仿宋_GBK" w:eastAsia="方正仿宋_GBK"/>
                <w:b/>
                <w:bCs/>
                <w:color w:val="000000"/>
                <w:sz w:val="20"/>
                <w:szCs w:val="20"/>
              </w:rPr>
              <w:t>其他国有资本经营预算支出</w:t>
            </w:r>
          </w:p>
        </w:tc>
        <w:tc>
          <w:tcPr>
            <w:tcW w:w="1128"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20"/>
                <w:szCs w:val="20"/>
              </w:rPr>
            </w:pPr>
            <w:r>
              <w:rPr>
                <w:rFonts w:hint="eastAsia" w:ascii="方正仿宋_GBK" w:eastAsia="方正仿宋_GBK"/>
                <w:b/>
                <w:bCs/>
                <w:color w:val="000000"/>
                <w:sz w:val="20"/>
                <w:szCs w:val="20"/>
              </w:rPr>
              <w:t>0.00</w:t>
            </w:r>
          </w:p>
        </w:tc>
        <w:tc>
          <w:tcPr>
            <w:tcW w:w="972"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20"/>
                <w:szCs w:val="20"/>
              </w:rPr>
            </w:pPr>
            <w:r>
              <w:rPr>
                <w:rFonts w:hint="eastAsia" w:ascii="方正仿宋_GBK" w:eastAsia="方正仿宋_GBK"/>
                <w:b/>
                <w:bCs/>
                <w:color w:val="000000"/>
                <w:sz w:val="20"/>
                <w:szCs w:val="20"/>
              </w:rPr>
              <w:t>0.00</w:t>
            </w:r>
          </w:p>
        </w:tc>
        <w:tc>
          <w:tcPr>
            <w:tcW w:w="1080" w:type="dxa"/>
            <w:tcBorders>
              <w:top w:val="nil"/>
              <w:left w:val="nil"/>
              <w:bottom w:val="single" w:color="000000" w:sz="4" w:space="0"/>
              <w:right w:val="single" w:color="000000" w:sz="4" w:space="0"/>
            </w:tcBorders>
            <w:shd w:val="clear" w:color="auto" w:fill="C0C0C0"/>
            <w:vAlign w:val="center"/>
          </w:tcPr>
          <w:p>
            <w:pPr>
              <w:autoSpaceDE w:val="0"/>
              <w:spacing w:line="240" w:lineRule="atLeast"/>
              <w:textAlignment w:val="center"/>
              <w:rPr>
                <w:rFonts w:ascii="方正仿宋_GBK" w:eastAsia="方正仿宋_GBK"/>
                <w:b/>
                <w:bCs/>
                <w:color w:val="000000"/>
                <w:sz w:val="20"/>
                <w:szCs w:val="20"/>
              </w:rPr>
            </w:pPr>
            <w:r>
              <w:rPr>
                <w:rFonts w:hint="eastAsia" w:ascii="方正仿宋_GBK" w:eastAsia="方正仿宋_GBK"/>
                <w:b/>
                <w:bCs/>
                <w:color w:val="000000"/>
                <w:sz w:val="20"/>
                <w:szCs w:val="20"/>
              </w:rPr>
              <w:t>0.00</w:t>
            </w:r>
          </w:p>
        </w:tc>
      </w:tr>
      <w:tr>
        <w:tblPrEx>
          <w:tblCellMar>
            <w:top w:w="15" w:type="dxa"/>
            <w:left w:w="15" w:type="dxa"/>
            <w:bottom w:w="15" w:type="dxa"/>
            <w:right w:w="15" w:type="dxa"/>
          </w:tblCellMar>
        </w:tblPrEx>
        <w:trPr>
          <w:trHeight w:val="285" w:hRule="atLeast"/>
        </w:trPr>
        <w:tc>
          <w:tcPr>
            <w:tcW w:w="1699" w:type="dxa"/>
            <w:tcBorders>
              <w:top w:val="nil"/>
              <w:left w:val="single" w:color="000000" w:sz="4" w:space="0"/>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20"/>
                <w:szCs w:val="20"/>
              </w:rPr>
            </w:pPr>
            <w:r>
              <w:rPr>
                <w:rFonts w:hint="eastAsia" w:ascii="方正仿宋_GBK" w:eastAsia="方正仿宋_GBK"/>
                <w:color w:val="000000"/>
                <w:sz w:val="20"/>
                <w:szCs w:val="20"/>
              </w:rPr>
              <w:t>2239901</w:t>
            </w:r>
          </w:p>
        </w:tc>
        <w:tc>
          <w:tcPr>
            <w:tcW w:w="2966" w:type="dxa"/>
            <w:tcBorders>
              <w:top w:val="nil"/>
              <w:left w:val="nil"/>
              <w:bottom w:val="single" w:color="000000" w:sz="4" w:space="0"/>
              <w:right w:val="single" w:color="000000" w:sz="4" w:space="0"/>
            </w:tcBorders>
            <w:shd w:val="clear" w:color="auto" w:fill="CCFFFF"/>
            <w:vAlign w:val="center"/>
          </w:tcPr>
          <w:p>
            <w:pPr>
              <w:autoSpaceDE w:val="0"/>
              <w:spacing w:line="240" w:lineRule="atLeast"/>
              <w:textAlignment w:val="center"/>
              <w:rPr>
                <w:rFonts w:ascii="方正仿宋_GBK" w:eastAsia="方正仿宋_GBK"/>
                <w:color w:val="000000"/>
                <w:sz w:val="20"/>
                <w:szCs w:val="20"/>
              </w:rPr>
            </w:pPr>
            <w:r>
              <w:rPr>
                <w:rFonts w:hint="eastAsia" w:ascii="方正仿宋_GBK" w:eastAsia="方正仿宋_GBK"/>
                <w:color w:val="000000"/>
                <w:sz w:val="20"/>
                <w:szCs w:val="20"/>
              </w:rPr>
              <w:t xml:space="preserve">  其他国有资本经营预算支出</w:t>
            </w:r>
          </w:p>
        </w:tc>
        <w:tc>
          <w:tcPr>
            <w:tcW w:w="1128"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20"/>
                <w:szCs w:val="20"/>
              </w:rPr>
            </w:pPr>
            <w:r>
              <w:rPr>
                <w:rFonts w:hint="eastAsia" w:ascii="方正仿宋_GBK" w:eastAsia="方正仿宋_GBK"/>
                <w:color w:val="000000"/>
                <w:sz w:val="20"/>
                <w:szCs w:val="20"/>
              </w:rPr>
              <w:t>0.00</w:t>
            </w:r>
          </w:p>
        </w:tc>
        <w:tc>
          <w:tcPr>
            <w:tcW w:w="972"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20"/>
                <w:szCs w:val="20"/>
              </w:rPr>
            </w:pPr>
            <w:r>
              <w:rPr>
                <w:rFonts w:hint="eastAsia" w:ascii="方正仿宋_GBK" w:eastAsia="方正仿宋_GBK"/>
                <w:color w:val="000000"/>
                <w:sz w:val="20"/>
                <w:szCs w:val="20"/>
              </w:rPr>
              <w:t>0.00</w:t>
            </w:r>
          </w:p>
        </w:tc>
        <w:tc>
          <w:tcPr>
            <w:tcW w:w="1080" w:type="dxa"/>
            <w:tcBorders>
              <w:top w:val="nil"/>
              <w:left w:val="nil"/>
              <w:bottom w:val="single" w:color="000000" w:sz="4" w:space="0"/>
              <w:right w:val="single" w:color="000000" w:sz="4" w:space="0"/>
            </w:tcBorders>
            <w:shd w:val="clear" w:color="auto" w:fill="FFFFFF"/>
            <w:vAlign w:val="center"/>
          </w:tcPr>
          <w:p>
            <w:pPr>
              <w:autoSpaceDE w:val="0"/>
              <w:spacing w:line="240" w:lineRule="atLeast"/>
              <w:textAlignment w:val="center"/>
              <w:rPr>
                <w:rFonts w:ascii="方正仿宋_GBK" w:eastAsia="方正仿宋_GBK"/>
                <w:color w:val="000000"/>
                <w:sz w:val="20"/>
                <w:szCs w:val="20"/>
              </w:rPr>
            </w:pPr>
            <w:r>
              <w:rPr>
                <w:rFonts w:hint="eastAsia" w:ascii="方正仿宋_GBK" w:eastAsia="方正仿宋_GBK"/>
                <w:color w:val="000000"/>
                <w:sz w:val="20"/>
                <w:szCs w:val="20"/>
              </w:rPr>
              <w:t>0.00</w:t>
            </w:r>
          </w:p>
        </w:tc>
      </w:tr>
      <w:tr>
        <w:tblPrEx>
          <w:tblCellMar>
            <w:top w:w="15" w:type="dxa"/>
            <w:left w:w="15" w:type="dxa"/>
            <w:bottom w:w="15" w:type="dxa"/>
            <w:right w:w="15" w:type="dxa"/>
          </w:tblCellMar>
        </w:tblPrEx>
        <w:trPr>
          <w:trHeight w:val="285" w:hRule="atLeast"/>
        </w:trPr>
        <w:tc>
          <w:tcPr>
            <w:tcW w:w="7845" w:type="dxa"/>
            <w:gridSpan w:val="5"/>
            <w:tcBorders>
              <w:top w:val="nil"/>
              <w:left w:val="nil"/>
              <w:bottom w:val="nil"/>
              <w:right w:val="nil"/>
            </w:tcBorders>
            <w:shd w:val="clear" w:color="auto" w:fill="FFFFFF"/>
            <w:vAlign w:val="center"/>
          </w:tcPr>
          <w:p>
            <w:pPr>
              <w:autoSpaceDE w:val="0"/>
              <w:spacing w:line="240" w:lineRule="atLeast"/>
              <w:textAlignment w:val="center"/>
              <w:rPr>
                <w:rFonts w:ascii="Times New Roman" w:hAnsi="Times New Roman" w:eastAsia="方正仿宋_GBK" w:cs="Times New Roman"/>
                <w:color w:val="000000"/>
                <w:sz w:val="18"/>
                <w:szCs w:val="18"/>
              </w:rPr>
            </w:pPr>
            <w:r>
              <w:rPr>
                <w:rFonts w:ascii="Times New Roman" w:hAnsi="Times New Roman" w:eastAsia="方正仿宋_GBK" w:cs="Times New Roman"/>
                <w:color w:val="000000"/>
                <w:sz w:val="18"/>
                <w:szCs w:val="18"/>
              </w:rPr>
              <w:t>备注：本表反映部门本年度国有资本经营预算财政拨款支出情况。</w:t>
            </w:r>
          </w:p>
          <w:p>
            <w:pPr>
              <w:pStyle w:val="2"/>
              <w:ind w:firstLine="0"/>
            </w:pPr>
            <w:r>
              <w:rPr>
                <w:rFonts w:ascii="Times New Roman" w:hAnsi="Times New Roman" w:eastAsia="方正仿宋_GBK" w:cs="Times New Roman"/>
                <w:sz w:val="18"/>
                <w:szCs w:val="18"/>
              </w:rPr>
              <w:t>注：本单位2020</w:t>
            </w:r>
            <w:r>
              <w:rPr>
                <w:rFonts w:hint="eastAsia" w:ascii="方正仿宋_GBK" w:eastAsia="方正仿宋_GBK" w:cs="Times New Roman"/>
                <w:sz w:val="18"/>
                <w:szCs w:val="18"/>
              </w:rPr>
              <w:t>年度无</w:t>
            </w:r>
            <w:r>
              <w:rPr>
                <w:rFonts w:ascii="Times New Roman" w:hAnsi="Times New Roman" w:eastAsia="方正仿宋_GBK" w:cs="Times New Roman"/>
                <w:sz w:val="18"/>
                <w:szCs w:val="18"/>
              </w:rPr>
              <w:t>国有资本经营预算财政拨款收支，故此表无数据。</w:t>
            </w:r>
          </w:p>
        </w:tc>
      </w:tr>
    </w:tbl>
    <w:p>
      <w:pPr>
        <w:pStyle w:val="25"/>
        <w:autoSpaceDE w:val="0"/>
        <w:spacing w:before="0" w:beforeAutospacing="0" w:after="0" w:afterAutospacing="0" w:line="240" w:lineRule="atLeast"/>
        <w:ind w:firstLine="640" w:firstLineChars="200"/>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 xml:space="preserve"> </w:t>
      </w:r>
    </w:p>
    <w:p>
      <w:pPr>
        <w:pStyle w:val="25"/>
        <w:autoSpaceDE w:val="0"/>
        <w:spacing w:before="0" w:beforeAutospacing="0" w:after="0" w:afterAutospacing="0" w:line="240" w:lineRule="atLeast"/>
        <w:ind w:firstLine="640" w:firstLineChars="200"/>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 xml:space="preserve"> </w:t>
      </w:r>
    </w:p>
    <w:sectPr>
      <w:pgSz w:w="11915" w:h="1685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16F19"/>
    <w:multiLevelType w:val="multilevel"/>
    <w:tmpl w:val="37E16F19"/>
    <w:lvl w:ilvl="0" w:tentative="0">
      <w:start w:val="1"/>
      <w:numFmt w:val="chineseCounting"/>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1">
    <w:nsid w:val="52610899"/>
    <w:multiLevelType w:val="multilevel"/>
    <w:tmpl w:val="52610899"/>
    <w:lvl w:ilvl="0" w:tentative="0">
      <w:start w:val="5"/>
      <w:numFmt w:val="chineseCounting"/>
      <w:suff w:val="nothing"/>
      <w:lvlText w:val="（%1）"/>
      <w:lvlJc w:val="left"/>
      <w:pPr>
        <w:tabs>
          <w:tab w:val="left" w:pos="0"/>
        </w:tabs>
        <w:ind w:left="0" w:firstLine="0"/>
      </w:pPr>
      <w:rPr>
        <w:rFonts w:hint="eastAsia" w:ascii="宋体" w:hAnsi="宋体" w:eastAsia="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doNotCompress"/>
  <w:compat>
    <w:doNotExpandShiftReturn/>
    <w:useFELayout/>
    <w:compatSetting w:name="compatibilityMode" w:uri="http://schemas.microsoft.com/office/word" w:val="12"/>
  </w:compat>
  <w:rsids>
    <w:rsidRoot w:val="00631E49"/>
    <w:rsid w:val="00631E49"/>
    <w:rsid w:val="00B06D99"/>
    <w:rsid w:val="12A84F2B"/>
    <w:rsid w:val="13E92005"/>
    <w:rsid w:val="18C85914"/>
    <w:rsid w:val="1B3E006A"/>
    <w:rsid w:val="274F3B2F"/>
    <w:rsid w:val="3CA24A9B"/>
    <w:rsid w:val="468A52D7"/>
    <w:rsid w:val="69D42720"/>
    <w:rsid w:val="6B167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semiHidden="0" w:name="Table Simple 1"/>
    <w:lsdException w:uiPriority="99" w:semiHidden="0" w:name="Table Simple 2"/>
    <w:lsdException w:uiPriority="99" w:semiHidden="0" w:name="Table Simple 3"/>
    <w:lsdException w:uiPriority="99" w:semiHidden="0" w:name="Table Classic 1"/>
    <w:lsdException w:uiPriority="99" w:semiHidden="0" w:name="Table Classic 2"/>
    <w:lsdException w:uiPriority="99" w:semiHidden="0" w:name="Table Classic 3"/>
    <w:lsdException w:uiPriority="99" w:semiHidden="0" w:name="Table Classic 4"/>
    <w:lsdException w:uiPriority="99" w:semiHidden="0" w:name="Table Colorful 1"/>
    <w:lsdException w:uiPriority="99" w:semiHidden="0" w:name="Table Colorful 2"/>
    <w:lsdException w:uiPriority="99" w:semiHidden="0" w:name="Table Colorful 3"/>
    <w:lsdException w:uiPriority="99" w:semiHidden="0" w:name="Table Columns 1"/>
    <w:lsdException w:uiPriority="99" w:semiHidden="0" w:name="Table Columns 2"/>
    <w:lsdException w:uiPriority="99" w:semiHidden="0" w:name="Table Columns 3"/>
    <w:lsdException w:uiPriority="99" w:semiHidden="0" w:name="Table Columns 4"/>
    <w:lsdException w:uiPriority="99" w:semiHidden="0" w:name="Table Columns 5"/>
    <w:lsdException w:uiPriority="99" w:semiHidden="0" w:name="Table Grid 1"/>
    <w:lsdException w:uiPriority="99" w:semiHidden="0" w:name="Table Grid 2"/>
    <w:lsdException w:uiPriority="99" w:semiHidden="0" w:name="Table Grid 3"/>
    <w:lsdException w:uiPriority="99" w:semiHidden="0" w:name="Table Grid 4"/>
    <w:lsdException w:uiPriority="99" w:semiHidden="0" w:name="Table Grid 5"/>
    <w:lsdException w:uiPriority="99" w:semiHidden="0" w:name="Table Grid 6"/>
    <w:lsdException w:uiPriority="99" w:semiHidden="0" w:name="Table Grid 7"/>
    <w:lsdException w:uiPriority="99" w:semiHidden="0" w:name="Table Grid 8"/>
    <w:lsdException w:uiPriority="99" w:semiHidden="0" w:name="Table List 1"/>
    <w:lsdException w:uiPriority="99" w:semiHidden="0" w:name="Table List 2"/>
    <w:lsdException w:uiPriority="99" w:semiHidden="0" w:name="Table List 3"/>
    <w:lsdException w:uiPriority="99" w:semiHidden="0" w:name="Table List 4"/>
    <w:lsdException w:uiPriority="99" w:semiHidden="0" w:name="Table List 5"/>
    <w:lsdException w:uiPriority="99" w:semiHidden="0" w:name="Table List 6"/>
    <w:lsdException w:uiPriority="99" w:semiHidden="0" w:name="Table List 7"/>
    <w:lsdException w:uiPriority="99" w:semiHidden="0" w:name="Table List 8"/>
    <w:lsdException w:uiPriority="99" w:semiHidden="0" w:name="Table 3D effects 1"/>
    <w:lsdException w:uiPriority="99" w:semiHidden="0" w:name="Table 3D effects 2"/>
    <w:lsdException w:uiPriority="99" w:semiHidden="0" w:name="Table 3D effects 3"/>
    <w:lsdException w:uiPriority="99" w:semiHidden="0" w:name="Table Contemporary"/>
    <w:lsdException w:uiPriority="99" w:semiHidden="0" w:name="Table Elegant"/>
    <w:lsdException w:uiPriority="99" w:semiHidden="0" w:name="Table Professional"/>
    <w:lsdException w:uiPriority="99" w:semiHidden="0" w:name="Table Subtle 1"/>
    <w:lsdException w:uiPriority="99" w:semiHidden="0" w:name="Table Subtle 2"/>
    <w:lsdException w:uiPriority="99" w:semiHidden="0" w:name="Table Web 1"/>
    <w:lsdException w:uiPriority="99" w:semiHidden="0" w:name="Table Web 2"/>
    <w:lsdException w:uiPriority="99" w:semiHidden="0" w:name="Table Web 3"/>
    <w:lsdException w:unhideWhenUsed="0" w:uiPriority="0" w:semiHidden="0" w:name="Balloon Text"/>
    <w:lsdException w:uiPriority="99" w:semiHidden="0" w:name="Table Grid"/>
    <w:lsdException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15"/>
    <w:qFormat/>
    <w:uiPriority w:val="0"/>
    <w:pPr>
      <w:spacing w:before="100" w:beforeAutospacing="1" w:after="100" w:afterAutospacing="1"/>
      <w:outlineLvl w:val="0"/>
    </w:pPr>
    <w:rPr>
      <w:b/>
      <w:bCs/>
      <w:kern w:val="44"/>
      <w:sz w:val="48"/>
      <w:szCs w:val="48"/>
    </w:rPr>
  </w:style>
  <w:style w:type="paragraph" w:styleId="4">
    <w:name w:val="heading 2"/>
    <w:basedOn w:val="1"/>
    <w:next w:val="1"/>
    <w:link w:val="16"/>
    <w:qFormat/>
    <w:uiPriority w:val="0"/>
    <w:pPr>
      <w:spacing w:before="100" w:beforeAutospacing="1" w:after="100" w:afterAutospacing="1"/>
      <w:outlineLvl w:val="1"/>
    </w:pPr>
    <w:rPr>
      <w:b/>
      <w:bCs/>
      <w:sz w:val="36"/>
      <w:szCs w:val="36"/>
    </w:rPr>
  </w:style>
  <w:style w:type="paragraph" w:styleId="5">
    <w:name w:val="heading 3"/>
    <w:basedOn w:val="1"/>
    <w:next w:val="1"/>
    <w:link w:val="17"/>
    <w:qFormat/>
    <w:uiPriority w:val="0"/>
    <w:pPr>
      <w:spacing w:before="100" w:beforeAutospacing="1" w:after="100" w:afterAutospacing="1"/>
      <w:outlineLvl w:val="2"/>
    </w:pPr>
    <w:rPr>
      <w:b/>
      <w:bCs/>
      <w:sz w:val="27"/>
      <w:szCs w:val="27"/>
    </w:rPr>
  </w:style>
  <w:style w:type="paragraph" w:styleId="6">
    <w:name w:val="heading 4"/>
    <w:basedOn w:val="1"/>
    <w:next w:val="1"/>
    <w:link w:val="18"/>
    <w:qFormat/>
    <w:uiPriority w:val="0"/>
    <w:pPr>
      <w:spacing w:before="100" w:beforeAutospacing="1" w:after="100" w:afterAutospacing="1"/>
      <w:outlineLvl w:val="3"/>
    </w:pPr>
    <w:rPr>
      <w:b/>
      <w:bCs/>
    </w:rPr>
  </w:style>
  <w:style w:type="paragraph" w:styleId="7">
    <w:name w:val="heading 5"/>
    <w:basedOn w:val="1"/>
    <w:next w:val="1"/>
    <w:link w:val="19"/>
    <w:qFormat/>
    <w:uiPriority w:val="0"/>
    <w:pPr>
      <w:spacing w:before="100" w:beforeAutospacing="1" w:after="100" w:afterAutospacing="1"/>
      <w:outlineLvl w:val="4"/>
    </w:pPr>
    <w:rPr>
      <w:b/>
      <w:bCs/>
      <w:sz w:val="20"/>
      <w:szCs w:val="20"/>
    </w:rPr>
  </w:style>
  <w:style w:type="paragraph" w:styleId="8">
    <w:name w:val="heading 6"/>
    <w:basedOn w:val="1"/>
    <w:next w:val="1"/>
    <w:link w:val="20"/>
    <w:qFormat/>
    <w:uiPriority w:val="0"/>
    <w:pPr>
      <w:spacing w:before="100" w:beforeAutospacing="1" w:after="100" w:afterAutospacing="1"/>
      <w:outlineLvl w:val="5"/>
    </w:pPr>
    <w:rPr>
      <w:b/>
      <w:bCs/>
      <w:sz w:val="15"/>
      <w:szCs w:val="15"/>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spacing w:line="425" w:lineRule="atLeast"/>
      <w:ind w:firstLine="420"/>
      <w:textAlignment w:val="baseline"/>
    </w:pPr>
    <w:rPr>
      <w:rFonts w:ascii="Calibri" w:hAnsi="Calibri"/>
      <w:color w:val="000000"/>
      <w:sz w:val="21"/>
      <w:szCs w:val="21"/>
    </w:rPr>
  </w:style>
  <w:style w:type="paragraph" w:styleId="9">
    <w:name w:val="footer"/>
    <w:basedOn w:val="1"/>
    <w:link w:val="58"/>
    <w:uiPriority w:val="0"/>
    <w:pPr>
      <w:tabs>
        <w:tab w:val="center" w:pos="4153"/>
        <w:tab w:val="right" w:pos="8306"/>
      </w:tabs>
      <w:snapToGrid w:val="0"/>
    </w:pPr>
    <w:rPr>
      <w:sz w:val="18"/>
      <w:szCs w:val="18"/>
    </w:rPr>
  </w:style>
  <w:style w:type="paragraph" w:styleId="10">
    <w:name w:val="header"/>
    <w:basedOn w:val="1"/>
    <w:link w:val="57"/>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link w:val="21"/>
    <w:qFormat/>
    <w:uiPriority w:val="0"/>
  </w:style>
  <w:style w:type="paragraph" w:styleId="12">
    <w:name w:val="Normal (Web)"/>
    <w:basedOn w:val="1"/>
    <w:qFormat/>
    <w:uiPriority w:val="0"/>
    <w:pPr>
      <w:spacing w:before="100" w:beforeAutospacing="1" w:after="100" w:afterAutospacing="1"/>
    </w:pPr>
  </w:style>
  <w:style w:type="character" w:customStyle="1" w:styleId="15">
    <w:name w:val="标题 1 Char"/>
    <w:basedOn w:val="14"/>
    <w:link w:val="3"/>
    <w:qFormat/>
    <w:uiPriority w:val="0"/>
    <w:rPr>
      <w:rFonts w:ascii="宋体" w:hAnsi="宋体" w:eastAsia="宋体" w:cs="宋体"/>
      <w:b/>
      <w:bCs/>
      <w:kern w:val="44"/>
      <w:sz w:val="44"/>
      <w:szCs w:val="44"/>
    </w:rPr>
  </w:style>
  <w:style w:type="character" w:customStyle="1" w:styleId="16">
    <w:name w:val="标题 2 Char"/>
    <w:basedOn w:val="14"/>
    <w:link w:val="4"/>
    <w:uiPriority w:val="0"/>
    <w:rPr>
      <w:rFonts w:asciiTheme="majorHAnsi" w:hAnsiTheme="majorHAnsi" w:eastAsiaTheme="majorEastAsia" w:cstheme="majorBidi"/>
      <w:b/>
      <w:bCs/>
      <w:sz w:val="32"/>
      <w:szCs w:val="32"/>
    </w:rPr>
  </w:style>
  <w:style w:type="character" w:customStyle="1" w:styleId="17">
    <w:name w:val="标题 3 Char"/>
    <w:basedOn w:val="14"/>
    <w:link w:val="5"/>
    <w:uiPriority w:val="0"/>
    <w:rPr>
      <w:rFonts w:ascii="宋体" w:hAnsi="宋体" w:eastAsia="宋体" w:cs="宋体"/>
      <w:b/>
      <w:bCs/>
      <w:sz w:val="32"/>
      <w:szCs w:val="32"/>
    </w:rPr>
  </w:style>
  <w:style w:type="character" w:customStyle="1" w:styleId="18">
    <w:name w:val="标题 4 Char"/>
    <w:basedOn w:val="14"/>
    <w:link w:val="6"/>
    <w:uiPriority w:val="0"/>
    <w:rPr>
      <w:rFonts w:asciiTheme="majorHAnsi" w:hAnsiTheme="majorHAnsi" w:eastAsiaTheme="majorEastAsia" w:cstheme="majorBidi"/>
      <w:b/>
      <w:bCs/>
      <w:sz w:val="28"/>
      <w:szCs w:val="28"/>
    </w:rPr>
  </w:style>
  <w:style w:type="character" w:customStyle="1" w:styleId="19">
    <w:name w:val="标题 5 Char"/>
    <w:basedOn w:val="14"/>
    <w:link w:val="7"/>
    <w:uiPriority w:val="0"/>
    <w:rPr>
      <w:rFonts w:ascii="宋体" w:hAnsi="宋体" w:eastAsia="宋体" w:cs="宋体"/>
      <w:b/>
      <w:bCs/>
      <w:sz w:val="28"/>
      <w:szCs w:val="28"/>
    </w:rPr>
  </w:style>
  <w:style w:type="character" w:customStyle="1" w:styleId="20">
    <w:name w:val="标题 6 Char"/>
    <w:basedOn w:val="14"/>
    <w:link w:val="8"/>
    <w:qFormat/>
    <w:uiPriority w:val="0"/>
    <w:rPr>
      <w:rFonts w:asciiTheme="majorHAnsi" w:hAnsiTheme="majorHAnsi" w:eastAsiaTheme="majorEastAsia" w:cstheme="majorBidi"/>
      <w:b/>
      <w:bCs/>
      <w:sz w:val="24"/>
      <w:szCs w:val="24"/>
    </w:rPr>
  </w:style>
  <w:style w:type="character" w:customStyle="1" w:styleId="21">
    <w:name w:val="HTML 预设格式 Char"/>
    <w:basedOn w:val="14"/>
    <w:link w:val="11"/>
    <w:qFormat/>
    <w:uiPriority w:val="0"/>
    <w:rPr>
      <w:rFonts w:ascii="Courier New" w:hAnsi="Courier New" w:eastAsia="宋体" w:cs="Courier New"/>
    </w:rPr>
  </w:style>
  <w:style w:type="paragraph" w:customStyle="1" w:styleId="22">
    <w:name w:val="普通(网站) Char Char Char Char"/>
    <w:basedOn w:val="1"/>
    <w:uiPriority w:val="0"/>
    <w:pPr>
      <w:spacing w:before="100" w:beforeAutospacing="1" w:after="100" w:afterAutospacing="1"/>
    </w:pPr>
  </w:style>
  <w:style w:type="paragraph" w:customStyle="1" w:styleId="23">
    <w:name w:val="普通(网站) Char Char"/>
    <w:basedOn w:val="1"/>
    <w:uiPriority w:val="0"/>
    <w:pPr>
      <w:spacing w:before="100" w:beforeAutospacing="1" w:after="100" w:afterAutospacing="1"/>
    </w:pPr>
  </w:style>
  <w:style w:type="paragraph" w:customStyle="1" w:styleId="24">
    <w:name w:val="HTML 预设格式 Char Char"/>
    <w:basedOn w:val="1"/>
    <w:uiPriority w:val="0"/>
  </w:style>
  <w:style w:type="paragraph" w:customStyle="1" w:styleId="25">
    <w:name w:val="普通(网站) Char"/>
    <w:basedOn w:val="1"/>
    <w:qFormat/>
    <w:uiPriority w:val="0"/>
    <w:pPr>
      <w:spacing w:before="100" w:beforeAutospacing="1" w:after="100" w:afterAutospacing="1"/>
    </w:pPr>
  </w:style>
  <w:style w:type="paragraph" w:customStyle="1" w:styleId="26">
    <w:name w:val="pre Char"/>
    <w:basedOn w:val="1"/>
    <w:qFormat/>
    <w:uiPriority w:val="0"/>
  </w:style>
  <w:style w:type="paragraph" w:customStyle="1" w:styleId="27">
    <w:name w:val="普通(网站) Char Char Char"/>
    <w:basedOn w:val="1"/>
    <w:qFormat/>
    <w:uiPriority w:val="0"/>
    <w:pPr>
      <w:spacing w:before="100" w:beforeAutospacing="1" w:after="100" w:afterAutospacing="1"/>
    </w:pPr>
  </w:style>
  <w:style w:type="paragraph" w:customStyle="1" w:styleId="28">
    <w:name w:val="p Char"/>
    <w:basedOn w:val="1"/>
    <w:qFormat/>
    <w:uiPriority w:val="0"/>
    <w:pPr>
      <w:spacing w:before="100" w:beforeAutospacing="1" w:after="100" w:afterAutospacing="1"/>
    </w:pPr>
  </w:style>
  <w:style w:type="paragraph" w:customStyle="1" w:styleId="29">
    <w:name w:val="_Style 1"/>
    <w:basedOn w:val="1"/>
    <w:qFormat/>
    <w:uiPriority w:val="0"/>
    <w:pPr>
      <w:ind w:firstLine="420" w:firstLineChars="200"/>
    </w:pPr>
  </w:style>
  <w:style w:type="paragraph" w:customStyle="1" w:styleId="30">
    <w:name w:val="HTML 预设格式 Char Char Char"/>
    <w:basedOn w:val="1"/>
    <w:uiPriority w:val="0"/>
  </w:style>
  <w:style w:type="paragraph" w:customStyle="1" w:styleId="31">
    <w:name w:val="HTML 预设格式 Char1"/>
    <w:basedOn w:val="1"/>
    <w:uiPriority w:val="0"/>
  </w:style>
  <w:style w:type="character" w:customStyle="1" w:styleId="32">
    <w:name w:val="10"/>
    <w:basedOn w:val="14"/>
    <w:uiPriority w:val="0"/>
    <w:rPr>
      <w:rFonts w:hint="default" w:ascii="Times New Roman" w:hAnsi="Times New Roman" w:cs="Times New Roman"/>
    </w:rPr>
  </w:style>
  <w:style w:type="character" w:customStyle="1" w:styleId="33">
    <w:name w:val="15"/>
    <w:basedOn w:val="14"/>
    <w:qFormat/>
    <w:uiPriority w:val="0"/>
    <w:rPr>
      <w:rFonts w:hint="default" w:ascii="Arial" w:hAnsi="Arial" w:cs="Arial"/>
      <w:color w:val="000000"/>
      <w:sz w:val="20"/>
      <w:szCs w:val="20"/>
    </w:rPr>
  </w:style>
  <w:style w:type="character" w:customStyle="1" w:styleId="34">
    <w:name w:val="16"/>
    <w:basedOn w:val="14"/>
    <w:qFormat/>
    <w:uiPriority w:val="0"/>
    <w:rPr>
      <w:rFonts w:hint="default" w:ascii="Times New Roman" w:hAnsi="Times New Roman" w:cs="Times New Roman"/>
    </w:rPr>
  </w:style>
  <w:style w:type="character" w:customStyle="1" w:styleId="35">
    <w:name w:val="17"/>
    <w:basedOn w:val="14"/>
    <w:qFormat/>
    <w:uiPriority w:val="0"/>
    <w:rPr>
      <w:rFonts w:hint="default" w:ascii="Times New Roman" w:hAnsi="Times New Roman" w:cs="Times New Roman"/>
    </w:rPr>
  </w:style>
  <w:style w:type="character" w:customStyle="1" w:styleId="36">
    <w:name w:val="18"/>
    <w:basedOn w:val="14"/>
    <w:uiPriority w:val="0"/>
    <w:rPr>
      <w:rFonts w:hint="default" w:ascii="Times New Roman" w:hAnsi="Times New Roman" w:cs="Times New Roman"/>
    </w:rPr>
  </w:style>
  <w:style w:type="character" w:customStyle="1" w:styleId="37">
    <w:name w:val="19"/>
    <w:basedOn w:val="14"/>
    <w:uiPriority w:val="0"/>
    <w:rPr>
      <w:rFonts w:hint="default" w:ascii="Times New Roman" w:hAnsi="Times New Roman" w:cs="Times New Roman"/>
    </w:rPr>
  </w:style>
  <w:style w:type="character" w:customStyle="1" w:styleId="38">
    <w:name w:val="20"/>
    <w:basedOn w:val="14"/>
    <w:uiPriority w:val="0"/>
    <w:rPr>
      <w:rFonts w:hint="default" w:ascii="Times New Roman" w:hAnsi="Times New Roman" w:cs="Times New Roman"/>
      <w:color w:val="000000"/>
      <w:sz w:val="20"/>
      <w:szCs w:val="20"/>
    </w:rPr>
  </w:style>
  <w:style w:type="character" w:customStyle="1" w:styleId="39">
    <w:name w:val="21"/>
    <w:basedOn w:val="14"/>
    <w:uiPriority w:val="0"/>
    <w:rPr>
      <w:rFonts w:hint="default" w:ascii="Times New Roman" w:hAnsi="Times New Roman" w:cs="Times New Roman"/>
    </w:rPr>
  </w:style>
  <w:style w:type="character" w:customStyle="1" w:styleId="40">
    <w:name w:val="22"/>
    <w:basedOn w:val="14"/>
    <w:qFormat/>
    <w:uiPriority w:val="0"/>
    <w:rPr>
      <w:rFonts w:hint="default" w:ascii="Times New Roman" w:hAnsi="Times New Roman" w:cs="Times New Roman"/>
    </w:rPr>
  </w:style>
  <w:style w:type="character" w:customStyle="1" w:styleId="41">
    <w:name w:val="23"/>
    <w:basedOn w:val="14"/>
    <w:qFormat/>
    <w:uiPriority w:val="0"/>
    <w:rPr>
      <w:rFonts w:hint="default" w:ascii="Times New Roman" w:hAnsi="Times New Roman" w:cs="Times New Roman"/>
      <w:b/>
      <w:bCs/>
    </w:rPr>
  </w:style>
  <w:style w:type="character" w:customStyle="1" w:styleId="42">
    <w:name w:val="24"/>
    <w:basedOn w:val="14"/>
    <w:qFormat/>
    <w:uiPriority w:val="0"/>
    <w:rPr>
      <w:rFonts w:hint="default" w:ascii="Times New Roman" w:hAnsi="Times New Roman" w:cs="Times New Roman"/>
    </w:rPr>
  </w:style>
  <w:style w:type="character" w:customStyle="1" w:styleId="43">
    <w:name w:val="25"/>
    <w:basedOn w:val="14"/>
    <w:qFormat/>
    <w:uiPriority w:val="0"/>
    <w:rPr>
      <w:rFonts w:hint="default" w:ascii="Times New Roman" w:hAnsi="Times New Roman" w:cs="Times New Roman"/>
    </w:rPr>
  </w:style>
  <w:style w:type="character" w:customStyle="1" w:styleId="44">
    <w:name w:val="26"/>
    <w:basedOn w:val="14"/>
    <w:uiPriority w:val="0"/>
    <w:rPr>
      <w:rFonts w:hint="default" w:ascii="Times New Roman" w:hAnsi="Times New Roman" w:cs="Times New Roman"/>
    </w:rPr>
  </w:style>
  <w:style w:type="character" w:customStyle="1" w:styleId="45">
    <w:name w:val="27"/>
    <w:basedOn w:val="14"/>
    <w:uiPriority w:val="0"/>
    <w:rPr>
      <w:rFonts w:hint="default" w:ascii="Times New Roman" w:hAnsi="Times New Roman" w:cs="Times New Roman"/>
      <w:b/>
      <w:bCs/>
    </w:rPr>
  </w:style>
  <w:style w:type="character" w:customStyle="1" w:styleId="46">
    <w:name w:val="28"/>
    <w:basedOn w:val="14"/>
    <w:uiPriority w:val="0"/>
    <w:rPr>
      <w:rFonts w:hint="default" w:ascii="Times New Roman" w:hAnsi="Times New Roman" w:cs="Times New Roman"/>
      <w:b/>
      <w:bCs/>
      <w:color w:val="000000"/>
      <w:sz w:val="16"/>
      <w:szCs w:val="16"/>
    </w:rPr>
  </w:style>
  <w:style w:type="character" w:customStyle="1" w:styleId="47">
    <w:name w:val="29"/>
    <w:basedOn w:val="14"/>
    <w:uiPriority w:val="0"/>
    <w:rPr>
      <w:rFonts w:hint="eastAsia" w:ascii="方正仿宋_GBK" w:eastAsia="方正仿宋_GBK"/>
      <w:color w:val="000000"/>
      <w:sz w:val="20"/>
      <w:szCs w:val="20"/>
    </w:rPr>
  </w:style>
  <w:style w:type="character" w:customStyle="1" w:styleId="48">
    <w:name w:val="30"/>
    <w:basedOn w:val="14"/>
    <w:qFormat/>
    <w:uiPriority w:val="0"/>
    <w:rPr>
      <w:rFonts w:hint="eastAsia" w:ascii="方正仿宋_GBK" w:eastAsia="方正仿宋_GBK"/>
      <w:color w:val="000000"/>
      <w:sz w:val="16"/>
      <w:szCs w:val="16"/>
    </w:rPr>
  </w:style>
  <w:style w:type="character" w:customStyle="1" w:styleId="49">
    <w:name w:val="31"/>
    <w:basedOn w:val="14"/>
    <w:qFormat/>
    <w:uiPriority w:val="0"/>
    <w:rPr>
      <w:rFonts w:hint="default" w:ascii="Times New Roman" w:hAnsi="Times New Roman" w:cs="Times New Roman"/>
    </w:rPr>
  </w:style>
  <w:style w:type="character" w:customStyle="1" w:styleId="50">
    <w:name w:val="32"/>
    <w:basedOn w:val="14"/>
    <w:qFormat/>
    <w:uiPriority w:val="0"/>
    <w:rPr>
      <w:rFonts w:hint="default" w:ascii="Times New Roman" w:hAnsi="Times New Roman" w:cs="Times New Roman"/>
    </w:rPr>
  </w:style>
  <w:style w:type="character" w:customStyle="1" w:styleId="51">
    <w:name w:val="33"/>
    <w:basedOn w:val="14"/>
    <w:qFormat/>
    <w:uiPriority w:val="0"/>
    <w:rPr>
      <w:rFonts w:hint="default" w:ascii="Times New Roman" w:hAnsi="Times New Roman" w:cs="Times New Roman"/>
    </w:rPr>
  </w:style>
  <w:style w:type="character" w:customStyle="1" w:styleId="52">
    <w:name w:val="34"/>
    <w:basedOn w:val="14"/>
    <w:uiPriority w:val="0"/>
    <w:rPr>
      <w:rFonts w:hint="default" w:ascii="Times New Roman" w:hAnsi="Times New Roman" w:cs="Times New Roman"/>
      <w:color w:val="000000"/>
      <w:sz w:val="16"/>
      <w:szCs w:val="16"/>
    </w:rPr>
  </w:style>
  <w:style w:type="character" w:customStyle="1" w:styleId="53">
    <w:name w:val="35"/>
    <w:basedOn w:val="14"/>
    <w:uiPriority w:val="0"/>
    <w:rPr>
      <w:rFonts w:hint="default" w:ascii="Times New Roman" w:hAnsi="Times New Roman" w:cs="Times New Roman"/>
    </w:rPr>
  </w:style>
  <w:style w:type="character" w:customStyle="1" w:styleId="54">
    <w:name w:val="36"/>
    <w:basedOn w:val="14"/>
    <w:uiPriority w:val="0"/>
    <w:rPr>
      <w:rFonts w:hint="default" w:ascii="Times New Roman" w:hAnsi="Times New Roman" w:cs="Times New Roman"/>
    </w:rPr>
  </w:style>
  <w:style w:type="character" w:customStyle="1" w:styleId="55">
    <w:name w:val="37"/>
    <w:basedOn w:val="14"/>
    <w:uiPriority w:val="0"/>
    <w:rPr>
      <w:rFonts w:hint="default" w:ascii="Times New Roman" w:hAnsi="Times New Roman" w:cs="Times New Roman"/>
    </w:rPr>
  </w:style>
  <w:style w:type="character" w:customStyle="1" w:styleId="56">
    <w:name w:val="38"/>
    <w:basedOn w:val="14"/>
    <w:uiPriority w:val="0"/>
    <w:rPr>
      <w:rFonts w:hint="default" w:ascii="Times New Roman" w:hAnsi="Times New Roman" w:cs="Times New Roman"/>
    </w:rPr>
  </w:style>
  <w:style w:type="character" w:customStyle="1" w:styleId="57">
    <w:name w:val="页眉 Char"/>
    <w:basedOn w:val="14"/>
    <w:link w:val="10"/>
    <w:uiPriority w:val="0"/>
    <w:rPr>
      <w:rFonts w:ascii="宋体" w:hAnsi="宋体" w:eastAsia="宋体" w:cs="宋体"/>
      <w:sz w:val="18"/>
      <w:szCs w:val="18"/>
    </w:rPr>
  </w:style>
  <w:style w:type="character" w:customStyle="1" w:styleId="58">
    <w:name w:val="页脚 Char"/>
    <w:basedOn w:val="14"/>
    <w:link w:val="9"/>
    <w:uiPriority w:val="0"/>
    <w:rPr>
      <w:rFonts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23</Pages>
  <Words>2397</Words>
  <Characters>13663</Characters>
  <Lines>113</Lines>
  <Paragraphs>32</Paragraphs>
  <TotalTime>4</TotalTime>
  <ScaleCrop>false</ScaleCrop>
  <LinksUpToDate>false</LinksUpToDate>
  <CharactersWithSpaces>16028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2021-09-28T06:25:00Z</dcterms:created>
  <dc:creator>李彩凤</dc:creator>
  <cp:lastModifiedBy>交委刘玲</cp:lastModifiedBy>
  <dcterms:modified xsi:type="dcterms:W3CDTF">2022-01-20T07:01:37Z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D6D5638257254E1C99A971FED60EB8CD</vt:lpwstr>
  </property>
</Properties>
</file>