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center"/>
        <w:textAlignment w:val="auto"/>
        <w:outlineLvl w:val="9"/>
        <w:rPr>
          <w:rFonts w:hint="default" w:ascii="Times New Roman" w:hAnsi="Times New Roman" w:eastAsia="方正小标宋_GBK" w:cs="Times New Roman"/>
          <w:sz w:val="44"/>
          <w:szCs w:val="44"/>
        </w:rPr>
      </w:pP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center"/>
        <w:textAlignment w:val="auto"/>
        <w:outlineLvl w:val="9"/>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垫江县邮政业发展服务中心</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center"/>
        <w:textAlignment w:val="auto"/>
        <w:outlineLvl w:val="9"/>
        <w:rPr>
          <w:rFonts w:hint="default" w:ascii="Times New Roman" w:hAnsi="Times New Roman" w:eastAsia="方正小标宋_GBK" w:cs="Times New Roman"/>
          <w:sz w:val="44"/>
          <w:szCs w:val="44"/>
          <w:shd w:val="clear" w:color="auto" w:fill="FFFFFF"/>
        </w:rPr>
      </w:pPr>
      <w:r>
        <w:rPr>
          <w:rFonts w:hint="default" w:ascii="Times New Roman" w:hAnsi="Times New Roman" w:eastAsia="方正小标宋_GBK" w:cs="Times New Roman"/>
          <w:sz w:val="44"/>
          <w:szCs w:val="44"/>
          <w:shd w:val="clear" w:color="auto" w:fill="FFFFFF"/>
        </w:rPr>
        <w:t>2023年度决算公开说明</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一、单位基本情况</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（一）职能职责</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贯彻执行邮政业法律法规、方针政策和服务标准，开展邮政业发展战略、规划和政策的研究，为邮政业发展提供咨询和服务，促进邮政业又好又快发展。具体职责任务：1.贯彻执行邮政业法律法规、方针政策和服务标准；2.研究提出本县邮政业发展规划、政策和战略的建议；3.开展邮政行业安全生产、经济运行、人力资源等基础数据的统计分析，组织开展邮政业重大问题调研，为邮政主管部门提出本县邮政行业监管建议；4.提供邮政行业发展规划、政策法规、物流信息、行业标准等事项的咨询服务；5.研究提出邮政和物流行业服务本县经济社会发展的建议；6.做好邮政业重大项目的推动和实施工作；7.承办垫江邮政管理局和垫江县交通委员会交办的其他事项。</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（二）机构设置</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1.机构设置：本单位内设办公室、发展监管科2个科室。</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2.财政供养人数：本单位2023年在职职工7人、临时工1人。</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二、部门决算情况说明</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（一）收入支出决算总体情况说明</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1.总体情况。2023年度收入总计194.59万元，支出总计194.59万元。收支较上年决算数增加9.28万元，增长5.01%，主要原因是本年度人员工资普调、工会经费支出增加。</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收入情况。2023年度收入合计180.59万元，较上年决算数增加11.29万元，增长6.67%，主要原因是本年度人员工资普调、工会经费支出增加。其中：财政拨款收入180.59万元，占100.00%；事业收入0.00万元，占0.00%；经营收入0.00万元，占0.00%；其他收入0.00万元，占0.00%。此外，使用非财政拨款结余和专用结余0.00万元，年初结转和结余14.00万元。</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支出情况。2023年度支出合计194.59万元，较上年决算数增加9.28万元，增长5.01%，主要原因是本年度人员工资普调、工会经费支出增加。其中：基本支出164.83万元，占84.70%；项目支出29.76万元，占15.30%；经营支出0.00万元，占0.00%。此外，结余分配0.00万元。</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4.结转结余情况。2023年度年末结转和结余0.00万元，较上年决算数无增减，主要原因是本年收支平衡。</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（二）财政拨款收入支出决算总体情况说明</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2023年度财政拨款收、支总计194.59万元。与2022年相比，财政拨款收、支总计各增加10.28万元，增长5.58%。主要原因是本年度人员工资普调、工会经费支出增加。</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（三）一般公共预算财政拨款收入支出决算情况说明</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收入情况。2023年度一般公共预算财政拨款收入180.59万元，较上年决算数增加11.29万元，增长6.67%。主要原因是本年度人员工资普调、工会经费支出增加，较年初预算数增加32.76万元，增长22.16%。主要原因是本年度人员工资普调、工会经费支出增加。 此外，年初财政拨款结转和结余14.00万元。</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2.支出情况。2023年度一般公共预算财政拨款支出194.59万元，较上年决算数增加10.28万元，增长5.58%。主要原因是本年度人员工资普调，工会经费支出增加。 较年初预算数增加46.76万元，增长31.63%。主要原因是本年度人员工资普调、工会经费支出增加。</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3.结转结余情况。2023年度年末一般公共预算财政拨款结转和结余0.00万元，较上年决算数无增减，主要原因是本年度收支平衡无结转结余。</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4.比较情况。本部门2023年度一般公共预算财政拨款支出主要用于以下几个方面：</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（1）教育支出0.38万元，占0.19%，较年初预算数无增减，主要原因是实际支出数与年初预算数一致。</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（2）社会保障与就业支出12.60万元，占6.47%，较年初预算数增加0.75万元，增长6.33%，主要原因是养老基数调整。</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（3）卫生健康支出5.02万元，占2.58%，较年初预算数增加0.08万元，增长1.62%，主要原因是医疗保险基数调整。</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（4）交通运输支出164.31万元，占84.44%，较年初预算数增加39.57万元，增长31.72%，主要原因是本年度人员工资普调、工会经费支出增加。</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（5）住房保障支出12.29万元，占6.32%，较年初预算数增加6.37万元，增长107.60%，主要原因是单位补交公积金部分。</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（四）一般公共预算财政拨款基本支出决算情况说明</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2023年度一般公共财政拨款基本支出164.83万元。其中：人员经费145.54万元，较上年决算数增加7.64万元，增长5.54%，主要原因是本年度人员工资普调、工会经费支出增加。人员经费用途主要包括人员基本工资、津贴、绩效工资、伙食补助费、养老保险交费、职业年金交费、医疗费、公积金、其它社会保障交费、其它工资福利。公用经费19.29万元，较上年决算数减少0.75万元，下降3.74%，主要原因是严格落实过紧日子相关要求。公用经费用途主要包括办公费、邮电费、劳务费、接待费、培训费、工会经费、其它交通费和其它商品服务支出。</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（五）政府性基金预算收支决算情况说明</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2023年度政府性基金预算财政拨款年初结转结余0.00万元，年末结转结余0.00万元。本年收入0.00万元，较上年决算数无增减，主要原因是本年度无政府性基金预算财政拨款收入。本年支出0.00万元，较上年决算数无增减，主要原因是本年度无政府性基金预算财政拨款支出。本单位2023年度无政府性基金预算财政拨款收支。</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（六）国有资本经营预算财政拨款支出决算情况说明</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本单位2023年度无国有资本经营预算财政拨款支出。</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三、“三公”经费情况说明</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（一）“三公”经费支出总体情况说明</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2023年度“三公”经费支出共计0.19万元，较年初预算数减少0.16万元，下降45.71%，主要原因是严格落实过紧日子相关要求。较上年支出数减少0.19万元，下降50.00%，主要原因是严格落实过紧日子相关要求。</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（二）“三公”经费分项支出情况</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2023年度本部门因公出国（境）费用0.00万元。费用支出较年初预算数无增减，主要原因是年初预算数未安排因公出国（境）费用，也未发生因公出国（境）费用。较上年支出数无增减，主要原因是上年和本年均未发生因公出国（境）费用。</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公务车购置费0.00万元。费用支出较年初预算数无增减，主要原因是年初预算数未安排公务车购置费用。较上年支出数无增减，主要原因是上年和本年均未发生公务车购置费用。</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公务车运行维护费0.00万元。费用支出较年初预算数无增减，主要原因是年初预算数未安排公务车运行维护费用。较上年支出数无增减，主要原因是上年和本年均未发生公务车运行维护费用。</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公务接待费0.19万元，主要用于接受相关部门检查指导工作发生的接待支出。费用支出较年初预算数减少0.16万元，下降45.71%，主要原因是严格落实过紧日子相关要求。较上年支出数减少0.19万元，下降50.00%，主要原因是严格落实过紧日子相关要求。</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（三）“三公”经费实物量情况</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2023年度本部门因公出国（境）共计0个团组，0人；公务用车购置0辆，公务车保有量为0辆；国内公务接待4批次30人，其中：国内外事接待0批次，0人；国（境）外公务接待0批次，0人。2023年本部门人均接待费64.13元，车均购置费0万元，车均维护费0万元。</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四、其他需要说明的事项</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（一）财政拨款会议费和培训费情况说明</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本年度会议费支出0.00万元，较上年决算数无增减，主要原因是上年和本年均未发生会议费支出。本年度培训费支出2.38万元，较上年决算数增加1.99万元，增长510.26%，主要原因是2023年度干部职工教育培训费、执法培训费增加1.99万元。</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（二）机关运行经费情况说明</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2023年度本部门机关运行经费支出0.00万元，机关运行经费较上年支出数无增减，主要原因是按照部门决算列报口径，我单位不在机关运行经费统计范围之内。</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（三）国有资产占用情况说明</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截至2023年12月31日，本部门共有车辆0辆，其中，副部（省）级及以上领导用车0辆、主要负责人用车0辆、机要通信用车0辆、应急保障用车0辆、执法执勤用车0辆，特种专业技术用车0辆，离退休干部用车0辆。单价100万元（含）以上专用设备0台（套）。</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（四）政府采购支出情况说明</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2023年度本部门政府采购支出总额0.00万元，其中：政府采购货物支出0.00万元、政府采购工程支出0.00万元、政府采购服务支出0.00万元。授予中小企业合同金额0.00万元，占政府采购支出总额的0%，其中：授予小微企业合同金额0.00万元，占政府采购支出总额的0 %。2023年度我单位未发生政府采购事项，无相关经费支出。</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五、预算绩效管理情况说明</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（一）单位自评情况</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sectPr>
          <w:footerReference r:id="rId3" w:type="default"/>
          <w:pgSz w:w="11850" w:h="16783"/>
          <w:pgMar w:top="2098" w:right="1474" w:bottom="1984" w:left="1587" w:header="851" w:footer="992" w:gutter="0"/>
          <w:pgNumType w:fmt="numberInDash"/>
          <w:cols w:space="720" w:num="1"/>
          <w:docGrid w:type="lines" w:linePitch="312" w:charSpace="0"/>
        </w:sectPr>
      </w:pPr>
      <w:r>
        <w:rPr>
          <w:rFonts w:hint="default" w:ascii="Times New Roman" w:hAnsi="Times New Roman" w:eastAsia="方正仿宋_GBK" w:cs="Times New Roman"/>
          <w:sz w:val="32"/>
          <w:szCs w:val="32"/>
        </w:rPr>
        <w:t>根据预算绩效管理要求，本单位对1个二级项目开展了绩效自评，涉及财政拨款项目支出资金8.36万元。</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p>
    <w:tbl>
      <w:tblPr>
        <w:tblStyle w:val="8"/>
        <w:tblW w:w="13207" w:type="dxa"/>
        <w:tblInd w:w="0" w:type="dxa"/>
        <w:tblLayout w:type="fixed"/>
        <w:tblCellMar>
          <w:top w:w="0" w:type="dxa"/>
          <w:left w:w="0" w:type="dxa"/>
          <w:bottom w:w="0" w:type="dxa"/>
          <w:right w:w="0" w:type="dxa"/>
        </w:tblCellMar>
      </w:tblPr>
      <w:tblGrid>
        <w:gridCol w:w="2887"/>
        <w:gridCol w:w="1451"/>
        <w:gridCol w:w="1452"/>
        <w:gridCol w:w="1"/>
        <w:gridCol w:w="1151"/>
        <w:gridCol w:w="833"/>
        <w:gridCol w:w="914"/>
        <w:gridCol w:w="1072"/>
        <w:gridCol w:w="750"/>
        <w:gridCol w:w="675"/>
        <w:gridCol w:w="993"/>
        <w:gridCol w:w="1028"/>
      </w:tblGrid>
      <w:tr>
        <w:tblPrEx>
          <w:tblLayout w:type="fixed"/>
          <w:tblCellMar>
            <w:top w:w="0" w:type="dxa"/>
            <w:left w:w="0" w:type="dxa"/>
            <w:bottom w:w="0" w:type="dxa"/>
            <w:right w:w="0" w:type="dxa"/>
          </w:tblCellMar>
        </w:tblPrEx>
        <w:trPr>
          <w:trHeight w:val="797" w:hRule="atLeast"/>
        </w:trPr>
        <w:tc>
          <w:tcPr>
            <w:tcW w:w="13207" w:type="dxa"/>
            <w:gridSpan w:val="1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640" w:lineRule="exact"/>
              <w:ind w:left="0" w:leftChars="0" w:right="0" w:rightChars="0" w:firstLine="0" w:firstLineChars="0"/>
              <w:jc w:val="center"/>
              <w:textAlignment w:val="center"/>
              <w:outlineLvl w:val="9"/>
              <w:rPr>
                <w:rFonts w:hint="default" w:ascii="Times New Roman" w:hAnsi="Times New Roman" w:eastAsia="微软雅黑" w:cs="Times New Roman"/>
                <w:b/>
                <w:color w:val="000000"/>
                <w:sz w:val="40"/>
                <w:szCs w:val="40"/>
              </w:rPr>
            </w:pPr>
            <w:r>
              <w:rPr>
                <w:rFonts w:hint="default" w:ascii="Times New Roman" w:hAnsi="Times New Roman" w:eastAsia="方正小标宋_GBK" w:cs="Times New Roman"/>
                <w:b w:val="0"/>
                <w:bCs/>
                <w:color w:val="000000"/>
                <w:sz w:val="44"/>
                <w:szCs w:val="44"/>
                <w:lang w:bidi="ar"/>
              </w:rPr>
              <w:t>2023年度二级项目绩效自评表</w:t>
            </w:r>
          </w:p>
        </w:tc>
      </w:tr>
      <w:tr>
        <w:tblPrEx>
          <w:tblLayout w:type="fixed"/>
          <w:tblCellMar>
            <w:top w:w="0" w:type="dxa"/>
            <w:left w:w="0" w:type="dxa"/>
            <w:bottom w:w="0" w:type="dxa"/>
            <w:right w:w="0" w:type="dxa"/>
          </w:tblCellMar>
        </w:tblPrEx>
        <w:trPr>
          <w:trHeight w:val="514" w:hRule="atLeast"/>
        </w:trPr>
        <w:tc>
          <w:tcPr>
            <w:tcW w:w="13207" w:type="dxa"/>
            <w:gridSpan w:val="1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1" w:firstLineChars="100"/>
              <w:jc w:val="right"/>
              <w:textAlignment w:val="center"/>
              <w:outlineLvl w:val="9"/>
              <w:rPr>
                <w:rFonts w:hint="default" w:ascii="Times New Roman" w:hAnsi="Times New Roman" w:eastAsia="方正仿宋_GBK" w:cs="Times New Roman"/>
                <w:b/>
                <w:color w:val="DA3232"/>
                <w:sz w:val="18"/>
                <w:szCs w:val="18"/>
              </w:rPr>
            </w:pPr>
            <w:r>
              <w:rPr>
                <w:rFonts w:hint="default" w:ascii="Times New Roman" w:hAnsi="Times New Roman" w:eastAsia="方正仿宋_GBK" w:cs="Times New Roman"/>
                <w:b/>
                <w:color w:val="DA3232"/>
                <w:sz w:val="18"/>
                <w:szCs w:val="18"/>
                <w:lang w:bidi="ar"/>
              </w:rPr>
              <w:t>状态：绩效审核已审</w:t>
            </w:r>
          </w:p>
        </w:tc>
      </w:tr>
      <w:tr>
        <w:tblPrEx>
          <w:tblLayout w:type="fixed"/>
          <w:tblCellMar>
            <w:top w:w="0" w:type="dxa"/>
            <w:left w:w="0" w:type="dxa"/>
            <w:bottom w:w="0" w:type="dxa"/>
            <w:right w:w="0" w:type="dxa"/>
          </w:tblCellMar>
        </w:tblPrEx>
        <w:trPr>
          <w:trHeight w:val="631" w:hRule="atLeast"/>
        </w:trPr>
        <w:tc>
          <w:tcPr>
            <w:tcW w:w="2887"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项目名称：</w:t>
            </w:r>
          </w:p>
        </w:tc>
        <w:tc>
          <w:tcPr>
            <w:tcW w:w="2903"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原公社邮递员乡办邮政人员医疗保险补助</w:t>
            </w:r>
          </w:p>
        </w:tc>
        <w:tc>
          <w:tcPr>
            <w:tcW w:w="1152"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项目编码：</w:t>
            </w:r>
          </w:p>
        </w:tc>
        <w:tc>
          <w:tcPr>
            <w:tcW w:w="1747"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50023122T000000120043</w:t>
            </w:r>
          </w:p>
        </w:tc>
        <w:tc>
          <w:tcPr>
            <w:tcW w:w="107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自评总分：</w:t>
            </w:r>
          </w:p>
        </w:tc>
        <w:tc>
          <w:tcPr>
            <w:tcW w:w="1425"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100.00</w:t>
            </w:r>
          </w:p>
        </w:tc>
        <w:tc>
          <w:tcPr>
            <w:tcW w:w="99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outlineLvl w:val="9"/>
              <w:rPr>
                <w:rFonts w:hint="default" w:ascii="Times New Roman" w:hAnsi="Times New Roman" w:eastAsia="方正仿宋_GBK" w:cs="Times New Roman"/>
                <w:b/>
                <w:color w:val="000000"/>
                <w:sz w:val="18"/>
                <w:szCs w:val="18"/>
              </w:rPr>
            </w:pP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r>
      <w:tr>
        <w:tblPrEx>
          <w:tblLayout w:type="fixed"/>
          <w:tblCellMar>
            <w:top w:w="0" w:type="dxa"/>
            <w:left w:w="0" w:type="dxa"/>
            <w:bottom w:w="0" w:type="dxa"/>
            <w:right w:w="0" w:type="dxa"/>
          </w:tblCellMar>
        </w:tblPrEx>
        <w:trPr>
          <w:trHeight w:val="631" w:hRule="atLeast"/>
        </w:trPr>
        <w:tc>
          <w:tcPr>
            <w:tcW w:w="2887"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项目主管部门：</w:t>
            </w:r>
          </w:p>
        </w:tc>
        <w:tc>
          <w:tcPr>
            <w:tcW w:w="2903"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204-垫江县交通运输委员会</w:t>
            </w:r>
          </w:p>
        </w:tc>
        <w:tc>
          <w:tcPr>
            <w:tcW w:w="1152"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财政归口处室：</w:t>
            </w:r>
          </w:p>
        </w:tc>
        <w:tc>
          <w:tcPr>
            <w:tcW w:w="1747"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005-经建科</w:t>
            </w:r>
          </w:p>
        </w:tc>
        <w:tc>
          <w:tcPr>
            <w:tcW w:w="107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部门联系人：</w:t>
            </w:r>
          </w:p>
        </w:tc>
        <w:tc>
          <w:tcPr>
            <w:tcW w:w="1425"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高 燕</w:t>
            </w:r>
          </w:p>
        </w:tc>
        <w:tc>
          <w:tcPr>
            <w:tcW w:w="99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联系电话：</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13996867908</w:t>
            </w:r>
          </w:p>
        </w:tc>
      </w:tr>
      <w:tr>
        <w:tblPrEx>
          <w:tblLayout w:type="fixed"/>
          <w:tblCellMar>
            <w:top w:w="0" w:type="dxa"/>
            <w:left w:w="0" w:type="dxa"/>
            <w:bottom w:w="0" w:type="dxa"/>
            <w:right w:w="0" w:type="dxa"/>
          </w:tblCellMar>
        </w:tblPrEx>
        <w:trPr>
          <w:trHeight w:val="608" w:hRule="atLeast"/>
        </w:trPr>
        <w:tc>
          <w:tcPr>
            <w:tcW w:w="13207" w:type="dxa"/>
            <w:gridSpan w:val="1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808080"/>
                <w:sz w:val="18"/>
                <w:szCs w:val="18"/>
              </w:rPr>
            </w:pPr>
            <w:r>
              <w:rPr>
                <w:rFonts w:hint="default" w:ascii="Times New Roman" w:hAnsi="Times New Roman" w:eastAsia="方正仿宋_GBK" w:cs="Times New Roman"/>
                <w:b/>
                <w:color w:val="808080"/>
                <w:sz w:val="18"/>
                <w:szCs w:val="18"/>
                <w:lang w:bidi="ar"/>
              </w:rPr>
              <w:t>资金情况</w:t>
            </w:r>
          </w:p>
        </w:tc>
      </w:tr>
      <w:tr>
        <w:tblPrEx>
          <w:tblLayout w:type="fixed"/>
          <w:tblCellMar>
            <w:top w:w="0" w:type="dxa"/>
            <w:left w:w="0" w:type="dxa"/>
            <w:bottom w:w="0" w:type="dxa"/>
            <w:right w:w="0" w:type="dxa"/>
          </w:tblCellMar>
        </w:tblPrEx>
        <w:trPr>
          <w:trHeight w:val="631" w:hRule="atLeast"/>
        </w:trPr>
        <w:tc>
          <w:tcPr>
            <w:tcW w:w="4338"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outlineLvl w:val="9"/>
              <w:rPr>
                <w:rFonts w:hint="default" w:ascii="Times New Roman" w:hAnsi="Times New Roman" w:eastAsia="方正仿宋_GBK" w:cs="Times New Roman"/>
                <w:color w:val="000000"/>
                <w:sz w:val="18"/>
                <w:szCs w:val="18"/>
              </w:rPr>
            </w:pPr>
          </w:p>
        </w:tc>
        <w:tc>
          <w:tcPr>
            <w:tcW w:w="2604" w:type="dxa"/>
            <w:gridSpan w:val="3"/>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年初预算数</w:t>
            </w:r>
          </w:p>
        </w:tc>
        <w:tc>
          <w:tcPr>
            <w:tcW w:w="1747"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全年（调整）预算数</w:t>
            </w:r>
          </w:p>
        </w:tc>
        <w:tc>
          <w:tcPr>
            <w:tcW w:w="1822"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全年执行数</w:t>
            </w:r>
          </w:p>
        </w:tc>
        <w:tc>
          <w:tcPr>
            <w:tcW w:w="67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执行率</w:t>
            </w:r>
          </w:p>
        </w:tc>
        <w:tc>
          <w:tcPr>
            <w:tcW w:w="99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执行率权重</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执行率得分</w:t>
            </w:r>
          </w:p>
        </w:tc>
      </w:tr>
      <w:tr>
        <w:tblPrEx>
          <w:tblLayout w:type="fixed"/>
          <w:tblCellMar>
            <w:top w:w="0" w:type="dxa"/>
            <w:left w:w="0" w:type="dxa"/>
            <w:bottom w:w="0" w:type="dxa"/>
            <w:right w:w="0" w:type="dxa"/>
          </w:tblCellMar>
        </w:tblPrEx>
        <w:trPr>
          <w:trHeight w:val="733" w:hRule="atLeast"/>
        </w:trPr>
        <w:tc>
          <w:tcPr>
            <w:tcW w:w="2887" w:type="dxa"/>
            <w:tcBorders>
              <w:top w:val="single" w:color="000000" w:sz="4" w:space="0"/>
              <w:left w:val="single" w:color="000000" w:sz="4" w:space="0"/>
              <w:bottom w:val="single" w:color="000000" w:sz="4" w:space="0"/>
              <w:right w:val="nil"/>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年度总金额</w:t>
            </w:r>
          </w:p>
        </w:tc>
        <w:tc>
          <w:tcPr>
            <w:tcW w:w="1451" w:type="dxa"/>
            <w:tcBorders>
              <w:top w:val="single" w:color="000000" w:sz="4" w:space="0"/>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c>
          <w:tcPr>
            <w:tcW w:w="1453" w:type="dxa"/>
            <w:gridSpan w:val="2"/>
            <w:tcBorders>
              <w:top w:val="single" w:color="000000" w:sz="4" w:space="0"/>
              <w:left w:val="single" w:color="000000" w:sz="4" w:space="0"/>
              <w:bottom w:val="single" w:color="000000" w:sz="4" w:space="0"/>
              <w:right w:val="nil"/>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c>
          <w:tcPr>
            <w:tcW w:w="1151" w:type="dxa"/>
            <w:tcBorders>
              <w:top w:val="single" w:color="000000" w:sz="4" w:space="0"/>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 xml:space="preserve">83,640.00 </w:t>
            </w:r>
          </w:p>
        </w:tc>
        <w:tc>
          <w:tcPr>
            <w:tcW w:w="833" w:type="dxa"/>
            <w:tcBorders>
              <w:top w:val="single" w:color="000000" w:sz="4" w:space="0"/>
              <w:left w:val="single" w:color="000000" w:sz="4" w:space="0"/>
              <w:bottom w:val="single" w:color="000000" w:sz="4" w:space="0"/>
              <w:right w:val="nil"/>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c>
          <w:tcPr>
            <w:tcW w:w="914" w:type="dxa"/>
            <w:tcBorders>
              <w:top w:val="single" w:color="000000" w:sz="4" w:space="0"/>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 xml:space="preserve">83,640.00 </w:t>
            </w:r>
          </w:p>
        </w:tc>
        <w:tc>
          <w:tcPr>
            <w:tcW w:w="1072" w:type="dxa"/>
            <w:tcBorders>
              <w:top w:val="single" w:color="000000" w:sz="4" w:space="0"/>
              <w:left w:val="single" w:color="000000" w:sz="4" w:space="0"/>
              <w:bottom w:val="single" w:color="000000" w:sz="4" w:space="0"/>
              <w:right w:val="nil"/>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c>
          <w:tcPr>
            <w:tcW w:w="750" w:type="dxa"/>
            <w:tcBorders>
              <w:top w:val="single" w:color="000000" w:sz="4" w:space="0"/>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 xml:space="preserve">83,640.00 </w:t>
            </w:r>
          </w:p>
        </w:tc>
        <w:tc>
          <w:tcPr>
            <w:tcW w:w="67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c>
          <w:tcPr>
            <w:tcW w:w="99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outlineLvl w:val="9"/>
              <w:rPr>
                <w:rFonts w:hint="default" w:ascii="Times New Roman" w:hAnsi="Times New Roman" w:eastAsia="方正仿宋_GBK" w:cs="Times New Roman"/>
                <w:color w:val="000000"/>
                <w:sz w:val="18"/>
                <w:szCs w:val="18"/>
              </w:rPr>
            </w:pPr>
          </w:p>
        </w:tc>
      </w:tr>
      <w:tr>
        <w:tblPrEx>
          <w:tblLayout w:type="fixed"/>
          <w:tblCellMar>
            <w:top w:w="0" w:type="dxa"/>
            <w:left w:w="0" w:type="dxa"/>
            <w:bottom w:w="0" w:type="dxa"/>
            <w:right w:w="0" w:type="dxa"/>
          </w:tblCellMar>
        </w:tblPrEx>
        <w:trPr>
          <w:trHeight w:val="667" w:hRule="atLeast"/>
        </w:trPr>
        <w:tc>
          <w:tcPr>
            <w:tcW w:w="2887" w:type="dxa"/>
            <w:tcBorders>
              <w:top w:val="single" w:color="000000" w:sz="4" w:space="0"/>
              <w:left w:val="single" w:color="000000" w:sz="4" w:space="0"/>
              <w:bottom w:val="single" w:color="000000" w:sz="4" w:space="0"/>
              <w:right w:val="nil"/>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其中：财政拨款</w:t>
            </w:r>
          </w:p>
        </w:tc>
        <w:tc>
          <w:tcPr>
            <w:tcW w:w="1451" w:type="dxa"/>
            <w:tcBorders>
              <w:top w:val="single" w:color="000000" w:sz="4" w:space="0"/>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c>
          <w:tcPr>
            <w:tcW w:w="1453" w:type="dxa"/>
            <w:gridSpan w:val="2"/>
            <w:tcBorders>
              <w:top w:val="single" w:color="000000" w:sz="4" w:space="0"/>
              <w:left w:val="single" w:color="000000" w:sz="4" w:space="0"/>
              <w:bottom w:val="single" w:color="000000" w:sz="4" w:space="0"/>
              <w:right w:val="nil"/>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c>
          <w:tcPr>
            <w:tcW w:w="1151" w:type="dxa"/>
            <w:tcBorders>
              <w:top w:val="single" w:color="000000" w:sz="4" w:space="0"/>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 xml:space="preserve">83,640.00 </w:t>
            </w:r>
          </w:p>
        </w:tc>
        <w:tc>
          <w:tcPr>
            <w:tcW w:w="833" w:type="dxa"/>
            <w:tcBorders>
              <w:top w:val="single" w:color="000000" w:sz="4" w:space="0"/>
              <w:left w:val="single" w:color="000000" w:sz="4" w:space="0"/>
              <w:bottom w:val="single" w:color="000000" w:sz="4" w:space="0"/>
              <w:right w:val="nil"/>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c>
          <w:tcPr>
            <w:tcW w:w="914" w:type="dxa"/>
            <w:tcBorders>
              <w:top w:val="single" w:color="000000" w:sz="4" w:space="0"/>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 xml:space="preserve">83,640.00 </w:t>
            </w:r>
          </w:p>
        </w:tc>
        <w:tc>
          <w:tcPr>
            <w:tcW w:w="1072" w:type="dxa"/>
            <w:tcBorders>
              <w:top w:val="single" w:color="000000" w:sz="4" w:space="0"/>
              <w:left w:val="single" w:color="000000" w:sz="4" w:space="0"/>
              <w:bottom w:val="single" w:color="000000" w:sz="4" w:space="0"/>
              <w:right w:val="nil"/>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c>
          <w:tcPr>
            <w:tcW w:w="750" w:type="dxa"/>
            <w:tcBorders>
              <w:top w:val="single" w:color="000000" w:sz="4" w:space="0"/>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 xml:space="preserve">83,640.00 </w:t>
            </w:r>
          </w:p>
        </w:tc>
        <w:tc>
          <w:tcPr>
            <w:tcW w:w="67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100</w:t>
            </w:r>
          </w:p>
        </w:tc>
        <w:tc>
          <w:tcPr>
            <w:tcW w:w="99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10.00</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 xml:space="preserve">10.00 </w:t>
            </w:r>
          </w:p>
        </w:tc>
      </w:tr>
      <w:tr>
        <w:tblPrEx>
          <w:tblLayout w:type="fixed"/>
          <w:tblCellMar>
            <w:top w:w="0" w:type="dxa"/>
            <w:left w:w="0" w:type="dxa"/>
            <w:bottom w:w="0" w:type="dxa"/>
            <w:right w:w="0" w:type="dxa"/>
          </w:tblCellMar>
        </w:tblPrEx>
        <w:trPr>
          <w:trHeight w:val="763" w:hRule="atLeast"/>
        </w:trPr>
        <w:tc>
          <w:tcPr>
            <w:tcW w:w="2887" w:type="dxa"/>
            <w:tcBorders>
              <w:top w:val="single" w:color="000000" w:sz="4" w:space="0"/>
              <w:left w:val="single" w:color="000000" w:sz="4" w:space="0"/>
              <w:bottom w:val="single" w:color="000000" w:sz="4" w:space="0"/>
              <w:right w:val="nil"/>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一般公共预算</w:t>
            </w:r>
          </w:p>
        </w:tc>
        <w:tc>
          <w:tcPr>
            <w:tcW w:w="1451" w:type="dxa"/>
            <w:tcBorders>
              <w:top w:val="single" w:color="000000" w:sz="4" w:space="0"/>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c>
          <w:tcPr>
            <w:tcW w:w="1453" w:type="dxa"/>
            <w:gridSpan w:val="2"/>
            <w:tcBorders>
              <w:top w:val="single" w:color="000000" w:sz="4" w:space="0"/>
              <w:left w:val="single" w:color="000000" w:sz="4" w:space="0"/>
              <w:bottom w:val="single" w:color="000000" w:sz="4" w:space="0"/>
              <w:right w:val="nil"/>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c>
          <w:tcPr>
            <w:tcW w:w="1151" w:type="dxa"/>
            <w:tcBorders>
              <w:top w:val="single" w:color="000000" w:sz="4" w:space="0"/>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 xml:space="preserve">83,640.00 </w:t>
            </w:r>
          </w:p>
        </w:tc>
        <w:tc>
          <w:tcPr>
            <w:tcW w:w="833" w:type="dxa"/>
            <w:tcBorders>
              <w:top w:val="single" w:color="000000" w:sz="4" w:space="0"/>
              <w:left w:val="single" w:color="000000" w:sz="4" w:space="0"/>
              <w:bottom w:val="single" w:color="000000" w:sz="4" w:space="0"/>
              <w:right w:val="nil"/>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c>
          <w:tcPr>
            <w:tcW w:w="914" w:type="dxa"/>
            <w:tcBorders>
              <w:top w:val="single" w:color="000000" w:sz="4" w:space="0"/>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 xml:space="preserve">83,640.00 </w:t>
            </w:r>
          </w:p>
        </w:tc>
        <w:tc>
          <w:tcPr>
            <w:tcW w:w="1072" w:type="dxa"/>
            <w:tcBorders>
              <w:top w:val="single" w:color="000000" w:sz="4" w:space="0"/>
              <w:left w:val="single" w:color="000000" w:sz="4" w:space="0"/>
              <w:bottom w:val="single" w:color="000000" w:sz="4" w:space="0"/>
              <w:right w:val="nil"/>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c>
          <w:tcPr>
            <w:tcW w:w="750" w:type="dxa"/>
            <w:tcBorders>
              <w:top w:val="single" w:color="000000" w:sz="4" w:space="0"/>
              <w:left w:val="nil"/>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 xml:space="preserve">83,640.00 </w:t>
            </w:r>
          </w:p>
        </w:tc>
        <w:tc>
          <w:tcPr>
            <w:tcW w:w="67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100</w:t>
            </w:r>
          </w:p>
        </w:tc>
        <w:tc>
          <w:tcPr>
            <w:tcW w:w="99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right"/>
              <w:outlineLvl w:val="9"/>
              <w:rPr>
                <w:rFonts w:hint="default" w:ascii="Times New Roman" w:hAnsi="Times New Roman" w:eastAsia="方正仿宋_GBK" w:cs="Times New Roman"/>
                <w:color w:val="000000"/>
                <w:sz w:val="18"/>
                <w:szCs w:val="18"/>
              </w:rPr>
            </w:pPr>
          </w:p>
        </w:tc>
      </w:tr>
      <w:tr>
        <w:tblPrEx>
          <w:tblLayout w:type="fixed"/>
          <w:tblCellMar>
            <w:top w:w="0" w:type="dxa"/>
            <w:left w:w="0" w:type="dxa"/>
            <w:bottom w:w="0" w:type="dxa"/>
            <w:right w:w="0" w:type="dxa"/>
          </w:tblCellMar>
        </w:tblPrEx>
        <w:trPr>
          <w:trHeight w:val="608" w:hRule="atLeast"/>
        </w:trPr>
        <w:tc>
          <w:tcPr>
            <w:tcW w:w="13207" w:type="dxa"/>
            <w:gridSpan w:val="1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808080"/>
                <w:sz w:val="18"/>
                <w:szCs w:val="18"/>
              </w:rPr>
            </w:pPr>
            <w:r>
              <w:rPr>
                <w:rFonts w:hint="default" w:ascii="Times New Roman" w:hAnsi="Times New Roman" w:eastAsia="方正仿宋_GBK" w:cs="Times New Roman"/>
                <w:b/>
                <w:color w:val="808080"/>
                <w:sz w:val="18"/>
                <w:szCs w:val="18"/>
                <w:lang w:bidi="ar"/>
              </w:rPr>
              <w:t xml:space="preserve"> 绩效目标</w:t>
            </w:r>
          </w:p>
        </w:tc>
      </w:tr>
      <w:tr>
        <w:tblPrEx>
          <w:tblLayout w:type="fixed"/>
          <w:tblCellMar>
            <w:top w:w="0" w:type="dxa"/>
            <w:left w:w="0" w:type="dxa"/>
            <w:bottom w:w="0" w:type="dxa"/>
            <w:right w:w="0" w:type="dxa"/>
          </w:tblCellMar>
        </w:tblPrEx>
        <w:trPr>
          <w:trHeight w:val="631" w:hRule="atLeast"/>
        </w:trPr>
        <w:tc>
          <w:tcPr>
            <w:tcW w:w="6942" w:type="dxa"/>
            <w:gridSpan w:val="5"/>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年初绩效目标</w:t>
            </w:r>
          </w:p>
        </w:tc>
        <w:tc>
          <w:tcPr>
            <w:tcW w:w="3569" w:type="dxa"/>
            <w:gridSpan w:val="4"/>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全年（调整）绩效目标</w:t>
            </w:r>
          </w:p>
        </w:tc>
        <w:tc>
          <w:tcPr>
            <w:tcW w:w="2696" w:type="dxa"/>
            <w:gridSpan w:val="3"/>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全年目标实际完成情况</w:t>
            </w:r>
          </w:p>
        </w:tc>
      </w:tr>
      <w:tr>
        <w:tblPrEx>
          <w:tblLayout w:type="fixed"/>
          <w:tblCellMar>
            <w:top w:w="0" w:type="dxa"/>
            <w:left w:w="0" w:type="dxa"/>
            <w:bottom w:w="0" w:type="dxa"/>
            <w:right w:w="0" w:type="dxa"/>
          </w:tblCellMar>
        </w:tblPrEx>
        <w:trPr>
          <w:trHeight w:val="1535" w:hRule="atLeast"/>
        </w:trPr>
        <w:tc>
          <w:tcPr>
            <w:tcW w:w="6942" w:type="dxa"/>
            <w:gridSpan w:val="5"/>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textAlignment w:val="top"/>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解决原公社邮递员乡办邮政人员养老和医疗补助，减少此类人员上访问题，维护社会稳定</w:t>
            </w:r>
          </w:p>
        </w:tc>
        <w:tc>
          <w:tcPr>
            <w:tcW w:w="3569" w:type="dxa"/>
            <w:gridSpan w:val="4"/>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c>
          <w:tcPr>
            <w:tcW w:w="2696" w:type="dxa"/>
            <w:gridSpan w:val="3"/>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textAlignment w:val="top"/>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解决原公社邮递员乡办邮政人员63人养老和医疗补助，本年此类人员无人上访，社会稳定，人们生活满意度很高。</w:t>
            </w:r>
          </w:p>
        </w:tc>
      </w:tr>
      <w:tr>
        <w:tblPrEx>
          <w:tblLayout w:type="fixed"/>
          <w:tblCellMar>
            <w:top w:w="0" w:type="dxa"/>
            <w:left w:w="0" w:type="dxa"/>
            <w:bottom w:w="0" w:type="dxa"/>
            <w:right w:w="0" w:type="dxa"/>
          </w:tblCellMar>
        </w:tblPrEx>
        <w:trPr>
          <w:trHeight w:val="608" w:hRule="atLeast"/>
        </w:trPr>
        <w:tc>
          <w:tcPr>
            <w:tcW w:w="13207" w:type="dxa"/>
            <w:gridSpan w:val="1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808080"/>
                <w:sz w:val="18"/>
                <w:szCs w:val="18"/>
              </w:rPr>
            </w:pPr>
            <w:r>
              <w:rPr>
                <w:rFonts w:hint="default" w:ascii="Times New Roman" w:hAnsi="Times New Roman" w:eastAsia="方正仿宋_GBK" w:cs="Times New Roman"/>
                <w:b/>
                <w:color w:val="808080"/>
                <w:sz w:val="18"/>
                <w:szCs w:val="18"/>
                <w:lang w:bidi="ar"/>
              </w:rPr>
              <w:t>绩效指标</w:t>
            </w:r>
          </w:p>
        </w:tc>
      </w:tr>
      <w:tr>
        <w:tblPrEx>
          <w:tblLayout w:type="fixed"/>
          <w:tblCellMar>
            <w:top w:w="0" w:type="dxa"/>
            <w:left w:w="0" w:type="dxa"/>
            <w:bottom w:w="0" w:type="dxa"/>
            <w:right w:w="0" w:type="dxa"/>
          </w:tblCellMar>
        </w:tblPrEx>
        <w:trPr>
          <w:trHeight w:val="926" w:hRule="atLeast"/>
        </w:trPr>
        <w:tc>
          <w:tcPr>
            <w:tcW w:w="2887"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指标名称</w:t>
            </w:r>
          </w:p>
        </w:tc>
        <w:tc>
          <w:tcPr>
            <w:tcW w:w="1451"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计量单位</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指标性质</w:t>
            </w:r>
          </w:p>
        </w:tc>
        <w:tc>
          <w:tcPr>
            <w:tcW w:w="1152"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指标值</w:t>
            </w:r>
          </w:p>
        </w:tc>
        <w:tc>
          <w:tcPr>
            <w:tcW w:w="83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全年完成值</w:t>
            </w:r>
          </w:p>
        </w:tc>
        <w:tc>
          <w:tcPr>
            <w:tcW w:w="914"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偏离度（%）</w:t>
            </w:r>
          </w:p>
        </w:tc>
        <w:tc>
          <w:tcPr>
            <w:tcW w:w="107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得分系数（%）</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指标权重</w:t>
            </w:r>
          </w:p>
        </w:tc>
        <w:tc>
          <w:tcPr>
            <w:tcW w:w="67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指标得分</w:t>
            </w:r>
          </w:p>
        </w:tc>
        <w:tc>
          <w:tcPr>
            <w:tcW w:w="99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是否核心指标</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jc w:val="center"/>
              <w:textAlignment w:val="center"/>
              <w:outlineLvl w:val="9"/>
              <w:rPr>
                <w:rFonts w:hint="default" w:ascii="Times New Roman" w:hAnsi="Times New Roman" w:eastAsia="方正仿宋_GBK" w:cs="Times New Roman"/>
                <w:b/>
                <w:color w:val="000000"/>
                <w:sz w:val="18"/>
                <w:szCs w:val="18"/>
              </w:rPr>
            </w:pPr>
            <w:r>
              <w:rPr>
                <w:rFonts w:hint="default" w:ascii="Times New Roman" w:hAnsi="Times New Roman" w:eastAsia="方正仿宋_GBK" w:cs="Times New Roman"/>
                <w:b/>
                <w:color w:val="000000"/>
                <w:sz w:val="18"/>
                <w:szCs w:val="18"/>
                <w:lang w:bidi="ar"/>
              </w:rPr>
              <w:t>说明</w:t>
            </w:r>
          </w:p>
        </w:tc>
      </w:tr>
      <w:tr>
        <w:tblPrEx>
          <w:tblLayout w:type="fixed"/>
          <w:tblCellMar>
            <w:top w:w="0" w:type="dxa"/>
            <w:left w:w="0" w:type="dxa"/>
            <w:bottom w:w="0" w:type="dxa"/>
            <w:right w:w="0" w:type="dxa"/>
          </w:tblCellMar>
        </w:tblPrEx>
        <w:trPr>
          <w:trHeight w:val="631" w:hRule="atLeast"/>
        </w:trPr>
        <w:tc>
          <w:tcPr>
            <w:tcW w:w="2887"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原公社邮递员乡办邮政人员医疗保险人数</w:t>
            </w:r>
          </w:p>
        </w:tc>
        <w:tc>
          <w:tcPr>
            <w:tcW w:w="1451"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人</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w:t>
            </w:r>
          </w:p>
        </w:tc>
        <w:tc>
          <w:tcPr>
            <w:tcW w:w="1152"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63</w:t>
            </w:r>
          </w:p>
        </w:tc>
        <w:tc>
          <w:tcPr>
            <w:tcW w:w="83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63</w:t>
            </w:r>
          </w:p>
        </w:tc>
        <w:tc>
          <w:tcPr>
            <w:tcW w:w="914"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0</w:t>
            </w:r>
          </w:p>
        </w:tc>
        <w:tc>
          <w:tcPr>
            <w:tcW w:w="107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100</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15</w:t>
            </w:r>
          </w:p>
        </w:tc>
        <w:tc>
          <w:tcPr>
            <w:tcW w:w="67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15</w:t>
            </w:r>
          </w:p>
        </w:tc>
        <w:tc>
          <w:tcPr>
            <w:tcW w:w="99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否</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r>
      <w:tr>
        <w:tblPrEx>
          <w:tblLayout w:type="fixed"/>
          <w:tblCellMar>
            <w:top w:w="0" w:type="dxa"/>
            <w:left w:w="0" w:type="dxa"/>
            <w:bottom w:w="0" w:type="dxa"/>
            <w:right w:w="0" w:type="dxa"/>
          </w:tblCellMar>
        </w:tblPrEx>
        <w:trPr>
          <w:trHeight w:val="926" w:hRule="atLeast"/>
        </w:trPr>
        <w:tc>
          <w:tcPr>
            <w:tcW w:w="2887"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按照文件按时按人拨款</w:t>
            </w:r>
          </w:p>
        </w:tc>
        <w:tc>
          <w:tcPr>
            <w:tcW w:w="1451"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定性</w:t>
            </w:r>
          </w:p>
        </w:tc>
        <w:tc>
          <w:tcPr>
            <w:tcW w:w="1152"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100</w:t>
            </w:r>
          </w:p>
        </w:tc>
        <w:tc>
          <w:tcPr>
            <w:tcW w:w="83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w:t>
            </w:r>
          </w:p>
        </w:tc>
        <w:tc>
          <w:tcPr>
            <w:tcW w:w="914"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0</w:t>
            </w:r>
          </w:p>
        </w:tc>
        <w:tc>
          <w:tcPr>
            <w:tcW w:w="107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100</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15</w:t>
            </w:r>
          </w:p>
        </w:tc>
        <w:tc>
          <w:tcPr>
            <w:tcW w:w="67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15</w:t>
            </w:r>
          </w:p>
        </w:tc>
        <w:tc>
          <w:tcPr>
            <w:tcW w:w="99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否</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全年100%完成</w:t>
            </w:r>
          </w:p>
        </w:tc>
      </w:tr>
      <w:tr>
        <w:tblPrEx>
          <w:tblLayout w:type="fixed"/>
          <w:tblCellMar>
            <w:top w:w="0" w:type="dxa"/>
            <w:left w:w="0" w:type="dxa"/>
            <w:bottom w:w="0" w:type="dxa"/>
            <w:right w:w="0" w:type="dxa"/>
          </w:tblCellMar>
        </w:tblPrEx>
        <w:trPr>
          <w:trHeight w:val="514" w:hRule="atLeast"/>
        </w:trPr>
        <w:tc>
          <w:tcPr>
            <w:tcW w:w="2887"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2023年12月前完成</w:t>
            </w:r>
          </w:p>
        </w:tc>
        <w:tc>
          <w:tcPr>
            <w:tcW w:w="1451"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月</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w:t>
            </w:r>
          </w:p>
        </w:tc>
        <w:tc>
          <w:tcPr>
            <w:tcW w:w="1152"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12</w:t>
            </w:r>
          </w:p>
        </w:tc>
        <w:tc>
          <w:tcPr>
            <w:tcW w:w="83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12</w:t>
            </w:r>
          </w:p>
        </w:tc>
        <w:tc>
          <w:tcPr>
            <w:tcW w:w="914"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0</w:t>
            </w:r>
          </w:p>
        </w:tc>
        <w:tc>
          <w:tcPr>
            <w:tcW w:w="107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100</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w:t>
            </w:r>
          </w:p>
        </w:tc>
        <w:tc>
          <w:tcPr>
            <w:tcW w:w="67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w:t>
            </w:r>
          </w:p>
        </w:tc>
        <w:tc>
          <w:tcPr>
            <w:tcW w:w="99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否</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r>
      <w:tr>
        <w:tblPrEx>
          <w:tblLayout w:type="fixed"/>
          <w:tblCellMar>
            <w:top w:w="0" w:type="dxa"/>
            <w:left w:w="0" w:type="dxa"/>
            <w:bottom w:w="0" w:type="dxa"/>
            <w:right w:w="0" w:type="dxa"/>
          </w:tblCellMar>
        </w:tblPrEx>
        <w:trPr>
          <w:trHeight w:val="631" w:hRule="atLeast"/>
        </w:trPr>
        <w:tc>
          <w:tcPr>
            <w:tcW w:w="2887"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让此类人员更好的服务社会，促进经</w:t>
            </w:r>
          </w:p>
        </w:tc>
        <w:tc>
          <w:tcPr>
            <w:tcW w:w="1451"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w:t>
            </w:r>
          </w:p>
        </w:tc>
        <w:tc>
          <w:tcPr>
            <w:tcW w:w="1152"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100</w:t>
            </w:r>
          </w:p>
        </w:tc>
        <w:tc>
          <w:tcPr>
            <w:tcW w:w="83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100</w:t>
            </w:r>
          </w:p>
        </w:tc>
        <w:tc>
          <w:tcPr>
            <w:tcW w:w="914"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0</w:t>
            </w:r>
          </w:p>
        </w:tc>
        <w:tc>
          <w:tcPr>
            <w:tcW w:w="107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100</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5</w:t>
            </w:r>
          </w:p>
        </w:tc>
        <w:tc>
          <w:tcPr>
            <w:tcW w:w="67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5</w:t>
            </w:r>
          </w:p>
        </w:tc>
        <w:tc>
          <w:tcPr>
            <w:tcW w:w="99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否</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r>
      <w:tr>
        <w:tblPrEx>
          <w:tblLayout w:type="fixed"/>
          <w:tblCellMar>
            <w:top w:w="0" w:type="dxa"/>
            <w:left w:w="0" w:type="dxa"/>
            <w:bottom w:w="0" w:type="dxa"/>
            <w:right w:w="0" w:type="dxa"/>
          </w:tblCellMar>
        </w:tblPrEx>
        <w:trPr>
          <w:trHeight w:val="514" w:hRule="atLeast"/>
        </w:trPr>
        <w:tc>
          <w:tcPr>
            <w:tcW w:w="2887"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减少此类人员上访率</w:t>
            </w:r>
          </w:p>
        </w:tc>
        <w:tc>
          <w:tcPr>
            <w:tcW w:w="1451"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w:t>
            </w:r>
          </w:p>
        </w:tc>
        <w:tc>
          <w:tcPr>
            <w:tcW w:w="1152"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0</w:t>
            </w:r>
          </w:p>
        </w:tc>
        <w:tc>
          <w:tcPr>
            <w:tcW w:w="83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0</w:t>
            </w:r>
          </w:p>
        </w:tc>
        <w:tc>
          <w:tcPr>
            <w:tcW w:w="914"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0</w:t>
            </w:r>
          </w:p>
        </w:tc>
        <w:tc>
          <w:tcPr>
            <w:tcW w:w="107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100</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w:t>
            </w:r>
          </w:p>
        </w:tc>
        <w:tc>
          <w:tcPr>
            <w:tcW w:w="67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w:t>
            </w:r>
          </w:p>
        </w:tc>
        <w:tc>
          <w:tcPr>
            <w:tcW w:w="99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否</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r>
      <w:tr>
        <w:tblPrEx>
          <w:tblLayout w:type="fixed"/>
          <w:tblCellMar>
            <w:top w:w="0" w:type="dxa"/>
            <w:left w:w="0" w:type="dxa"/>
            <w:bottom w:w="0" w:type="dxa"/>
            <w:right w:w="0" w:type="dxa"/>
          </w:tblCellMar>
        </w:tblPrEx>
        <w:trPr>
          <w:trHeight w:val="631" w:hRule="atLeast"/>
        </w:trPr>
        <w:tc>
          <w:tcPr>
            <w:tcW w:w="2887"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原公社邮递员医疗保险得到保障</w:t>
            </w:r>
          </w:p>
        </w:tc>
        <w:tc>
          <w:tcPr>
            <w:tcW w:w="1451"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w:t>
            </w:r>
          </w:p>
        </w:tc>
        <w:tc>
          <w:tcPr>
            <w:tcW w:w="1152"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100</w:t>
            </w:r>
          </w:p>
        </w:tc>
        <w:tc>
          <w:tcPr>
            <w:tcW w:w="83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100</w:t>
            </w:r>
          </w:p>
        </w:tc>
        <w:tc>
          <w:tcPr>
            <w:tcW w:w="914"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0</w:t>
            </w:r>
          </w:p>
        </w:tc>
        <w:tc>
          <w:tcPr>
            <w:tcW w:w="107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100</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5</w:t>
            </w:r>
          </w:p>
        </w:tc>
        <w:tc>
          <w:tcPr>
            <w:tcW w:w="67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5</w:t>
            </w:r>
          </w:p>
        </w:tc>
        <w:tc>
          <w:tcPr>
            <w:tcW w:w="99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否</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r>
      <w:tr>
        <w:tblPrEx>
          <w:tblLayout w:type="fixed"/>
          <w:tblCellMar>
            <w:top w:w="0" w:type="dxa"/>
            <w:left w:w="0" w:type="dxa"/>
            <w:bottom w:w="0" w:type="dxa"/>
            <w:right w:w="0" w:type="dxa"/>
          </w:tblCellMar>
        </w:tblPrEx>
        <w:trPr>
          <w:trHeight w:val="514" w:hRule="atLeast"/>
        </w:trPr>
        <w:tc>
          <w:tcPr>
            <w:tcW w:w="2887"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原乡邮员满意度提高</w:t>
            </w:r>
          </w:p>
        </w:tc>
        <w:tc>
          <w:tcPr>
            <w:tcW w:w="1451"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w:t>
            </w:r>
          </w:p>
        </w:tc>
        <w:tc>
          <w:tcPr>
            <w:tcW w:w="1152"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95</w:t>
            </w:r>
          </w:p>
        </w:tc>
        <w:tc>
          <w:tcPr>
            <w:tcW w:w="83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95</w:t>
            </w:r>
          </w:p>
        </w:tc>
        <w:tc>
          <w:tcPr>
            <w:tcW w:w="914"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0</w:t>
            </w:r>
          </w:p>
        </w:tc>
        <w:tc>
          <w:tcPr>
            <w:tcW w:w="107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100</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w:t>
            </w:r>
          </w:p>
        </w:tc>
        <w:tc>
          <w:tcPr>
            <w:tcW w:w="67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w:t>
            </w:r>
          </w:p>
        </w:tc>
        <w:tc>
          <w:tcPr>
            <w:tcW w:w="99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否</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18"/>
                <w:szCs w:val="18"/>
              </w:rPr>
            </w:pPr>
          </w:p>
        </w:tc>
      </w:tr>
      <w:tr>
        <w:tblPrEx>
          <w:tblLayout w:type="fixed"/>
          <w:tblCellMar>
            <w:top w:w="0" w:type="dxa"/>
            <w:left w:w="0" w:type="dxa"/>
            <w:bottom w:w="0" w:type="dxa"/>
            <w:right w:w="0" w:type="dxa"/>
          </w:tblCellMar>
        </w:tblPrEx>
        <w:trPr>
          <w:trHeight w:val="650" w:hRule="atLeast"/>
        </w:trPr>
        <w:tc>
          <w:tcPr>
            <w:tcW w:w="2887"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补助总金额</w:t>
            </w:r>
          </w:p>
        </w:tc>
        <w:tc>
          <w:tcPr>
            <w:tcW w:w="1451"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万元</w:t>
            </w:r>
          </w:p>
        </w:tc>
        <w:tc>
          <w:tcPr>
            <w:tcW w:w="145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w:t>
            </w:r>
          </w:p>
        </w:tc>
        <w:tc>
          <w:tcPr>
            <w:tcW w:w="1152" w:type="dxa"/>
            <w:gridSpan w:val="2"/>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8.364</w:t>
            </w:r>
          </w:p>
        </w:tc>
        <w:tc>
          <w:tcPr>
            <w:tcW w:w="83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8.364</w:t>
            </w:r>
          </w:p>
        </w:tc>
        <w:tc>
          <w:tcPr>
            <w:tcW w:w="914"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0</w:t>
            </w:r>
          </w:p>
        </w:tc>
        <w:tc>
          <w:tcPr>
            <w:tcW w:w="1072"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100</w:t>
            </w:r>
          </w:p>
        </w:tc>
        <w:tc>
          <w:tcPr>
            <w:tcW w:w="750"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20</w:t>
            </w:r>
          </w:p>
        </w:tc>
        <w:tc>
          <w:tcPr>
            <w:tcW w:w="67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20</w:t>
            </w:r>
          </w:p>
        </w:tc>
        <w:tc>
          <w:tcPr>
            <w:tcW w:w="993"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firstLine="180" w:firstLineChars="100"/>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18"/>
                <w:szCs w:val="18"/>
                <w:lang w:bidi="ar"/>
              </w:rPr>
              <w:t>否</w:t>
            </w:r>
          </w:p>
        </w:tc>
        <w:tc>
          <w:tcPr>
            <w:tcW w:w="1028"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pPr>
              <w:keepNext w:val="0"/>
              <w:keepLines w:val="0"/>
              <w:pageBreakBefore w:val="0"/>
              <w:widowControl/>
              <w:kinsoku/>
              <w:wordWrap/>
              <w:overflowPunct/>
              <w:topLinePunct w:val="0"/>
              <w:autoSpaceDE/>
              <w:autoSpaceDN/>
              <w:bidi w:val="0"/>
              <w:adjustRightInd/>
              <w:snapToGrid/>
              <w:spacing w:line="360" w:lineRule="exact"/>
              <w:ind w:left="0" w:leftChars="0" w:right="0" w:rightChars="0"/>
              <w:outlineLvl w:val="9"/>
              <w:rPr>
                <w:rFonts w:hint="default" w:ascii="Times New Roman" w:hAnsi="Times New Roman" w:eastAsia="方正仿宋_GBK" w:cs="Times New Roman"/>
                <w:color w:val="000000"/>
                <w:sz w:val="22"/>
                <w:szCs w:val="22"/>
              </w:rPr>
            </w:pPr>
          </w:p>
        </w:tc>
      </w:tr>
    </w:tbl>
    <w:p>
      <w:pPr>
        <w:pStyle w:val="10"/>
        <w:numPr>
          <w:ilvl w:val="0"/>
          <w:numId w:val="1"/>
        </w:numPr>
        <w:autoSpaceDE w:val="0"/>
        <w:ind w:firstLine="643"/>
        <w:rPr>
          <w:rFonts w:hint="default" w:ascii="Times New Roman" w:hAnsi="Times New Roman" w:eastAsia="方正仿宋_GBK" w:cs="Times New Roman"/>
          <w:sz w:val="32"/>
          <w:szCs w:val="32"/>
          <w:shd w:val="clear" w:color="auto" w:fill="FFFFFF"/>
          <w:lang w:bidi="ar"/>
        </w:rPr>
        <w:sectPr>
          <w:pgSz w:w="16783" w:h="11850" w:orient="landscape"/>
          <w:pgMar w:top="1440" w:right="1800" w:bottom="1440" w:left="1800" w:header="851" w:footer="992" w:gutter="0"/>
          <w:pgNumType w:fmt="numberInDash"/>
          <w:cols w:space="720"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lang w:eastAsia="zh-CN"/>
        </w:rPr>
        <w:t>（</w:t>
      </w:r>
      <w:r>
        <w:rPr>
          <w:rFonts w:hint="default" w:ascii="Times New Roman" w:hAnsi="Times New Roman" w:eastAsia="方正楷体_GBK" w:cs="Times New Roman"/>
          <w:sz w:val="32"/>
          <w:szCs w:val="32"/>
          <w:lang w:val="en-US" w:eastAsia="zh-CN"/>
        </w:rPr>
        <w:t>二</w:t>
      </w:r>
      <w:r>
        <w:rPr>
          <w:rFonts w:hint="default" w:ascii="Times New Roman" w:hAnsi="Times New Roman" w:eastAsia="方正楷体_GBK" w:cs="Times New Roman"/>
          <w:sz w:val="32"/>
          <w:szCs w:val="32"/>
          <w:lang w:eastAsia="zh-CN"/>
        </w:rPr>
        <w:t>）</w:t>
      </w:r>
      <w:r>
        <w:rPr>
          <w:rFonts w:hint="default" w:ascii="Times New Roman" w:hAnsi="Times New Roman" w:eastAsia="方正楷体_GBK" w:cs="Times New Roman"/>
          <w:sz w:val="32"/>
          <w:szCs w:val="32"/>
        </w:rPr>
        <w:t>单位绩效评价情况</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我单位未组织开展绩效评价</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（三）财政绩效评价情况</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县财政局未委托第三方对我单位开展绩效评价。</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六、专业名词解释</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（一）财政拨款收入：</w:t>
      </w:r>
      <w:r>
        <w:rPr>
          <w:rFonts w:hint="default" w:ascii="Times New Roman" w:hAnsi="Times New Roman" w:eastAsia="方正仿宋_GBK" w:cs="Times New Roman"/>
          <w:sz w:val="32"/>
          <w:szCs w:val="32"/>
        </w:rPr>
        <w:t>指本年度从本级财政部门取得的财政拨款，包括一般公共预算财政拨款和政府性基金预算财政拨款。</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（二）事业收入：</w:t>
      </w:r>
      <w:r>
        <w:rPr>
          <w:rFonts w:hint="default" w:ascii="Times New Roman" w:hAnsi="Times New Roman" w:eastAsia="方正仿宋_GBK" w:cs="Times New Roman"/>
          <w:sz w:val="32"/>
          <w:szCs w:val="32"/>
        </w:rPr>
        <w:t>指事业单位开展专业业务活动及其辅助活动取得的现金流入；事业单位收到的财政专户实际核拨的教育收费等资金在此反映。</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（三）经营收入：</w:t>
      </w:r>
      <w:r>
        <w:rPr>
          <w:rFonts w:hint="default" w:ascii="Times New Roman" w:hAnsi="Times New Roman" w:eastAsia="方正仿宋_GBK" w:cs="Times New Roman"/>
          <w:sz w:val="32"/>
          <w:szCs w:val="32"/>
        </w:rPr>
        <w:t>指事业单位在专业业务活动及其辅助活动之外开展非独立核算经营活动取得的现金流入。</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（四）其他收入：</w:t>
      </w:r>
      <w:r>
        <w:rPr>
          <w:rFonts w:hint="default" w:ascii="Times New Roman" w:hAnsi="Times New Roman" w:eastAsia="方正仿宋_GBK" w:cs="Times New Roman"/>
          <w:sz w:val="32"/>
          <w:szCs w:val="32"/>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（五）使用非财政拨款结余：</w:t>
      </w:r>
      <w:r>
        <w:rPr>
          <w:rFonts w:hint="default" w:ascii="Times New Roman" w:hAnsi="Times New Roman" w:eastAsia="方正仿宋_GBK" w:cs="Times New Roman"/>
          <w:sz w:val="32"/>
          <w:szCs w:val="32"/>
        </w:rPr>
        <w:t>指单位在当年的“财政拨款收入”、“事业收入”、“经营收入”、“其他收入”等不足以安排当年支出的情况下，使用以前年度积累的非财政拨款结余弥补本年度收支缺口的资金。</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（六）年初结转和结余：</w:t>
      </w:r>
      <w:r>
        <w:rPr>
          <w:rFonts w:hint="default" w:ascii="Times New Roman" w:hAnsi="Times New Roman" w:eastAsia="方正仿宋_GBK" w:cs="Times New Roman"/>
          <w:sz w:val="32"/>
          <w:szCs w:val="32"/>
        </w:rPr>
        <w:t>指单位上年结转本年使用的基本支出结转、项目支出结转和结余、经营结余。</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（七）结余分配：</w:t>
      </w:r>
      <w:r>
        <w:rPr>
          <w:rFonts w:hint="default" w:ascii="Times New Roman" w:hAnsi="Times New Roman" w:eastAsia="方正仿宋_GBK" w:cs="Times New Roman"/>
          <w:sz w:val="32"/>
          <w:szCs w:val="32"/>
        </w:rPr>
        <w:t>指单位按照国家有关规定，缴纳所得税、提取专用基金、转入非财政拨款结余等当年结余的分配情况。</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（八）年末结转和结余：</w:t>
      </w:r>
      <w:r>
        <w:rPr>
          <w:rFonts w:hint="default" w:ascii="Times New Roman" w:hAnsi="Times New Roman" w:eastAsia="方正仿宋_GBK" w:cs="Times New Roman"/>
          <w:sz w:val="32"/>
          <w:szCs w:val="32"/>
        </w:rPr>
        <w:t>指单位结转下年的基本支出结转、项目支出结转和结余、经营结余。</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（九）基本支出：</w:t>
      </w:r>
      <w:r>
        <w:rPr>
          <w:rFonts w:hint="default" w:ascii="Times New Roman" w:hAnsi="Times New Roman" w:eastAsia="方正仿宋_GBK" w:cs="Times New Roman"/>
          <w:sz w:val="32"/>
          <w:szCs w:val="32"/>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（十）项目支出：</w:t>
      </w:r>
      <w:r>
        <w:rPr>
          <w:rFonts w:hint="default" w:ascii="Times New Roman" w:hAnsi="Times New Roman" w:eastAsia="方正仿宋_GBK" w:cs="Times New Roman"/>
          <w:sz w:val="32"/>
          <w:szCs w:val="32"/>
        </w:rPr>
        <w:t>指在基本支出之外为完成特定行政任务和事业发展目标所发生的支出。</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（十一）经营支出：</w:t>
      </w:r>
      <w:r>
        <w:rPr>
          <w:rFonts w:hint="default" w:ascii="Times New Roman" w:hAnsi="Times New Roman" w:eastAsia="方正仿宋_GBK" w:cs="Times New Roman"/>
          <w:sz w:val="32"/>
          <w:szCs w:val="32"/>
        </w:rPr>
        <w:t>指事业单位在专业业务活动及其辅助活动之外开展非独立核算经营活动发生的支出。</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（十二）“三公”经费：</w:t>
      </w:r>
      <w:r>
        <w:rPr>
          <w:rFonts w:hint="default" w:ascii="Times New Roman" w:hAnsi="Times New Roman" w:eastAsia="方正仿宋_GBK" w:cs="Times New Roman"/>
          <w:sz w:val="32"/>
          <w:szCs w:val="32"/>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（十三）机关运行经费：</w:t>
      </w:r>
      <w:r>
        <w:rPr>
          <w:rFonts w:hint="default" w:ascii="Times New Roman" w:hAnsi="Times New Roman" w:eastAsia="方正仿宋_GBK" w:cs="Times New Roman"/>
          <w:sz w:val="32"/>
          <w:szCs w:val="32"/>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（十四）工资福利支出（支出经济分类科目类级）：</w:t>
      </w:r>
      <w:r>
        <w:rPr>
          <w:rFonts w:hint="default" w:ascii="Times New Roman" w:hAnsi="Times New Roman" w:eastAsia="方正仿宋_GBK" w:cs="Times New Roman"/>
          <w:sz w:val="32"/>
          <w:szCs w:val="32"/>
        </w:rPr>
        <w:t>反映单位开支的在职职工和编制外长期聘用人员的各类劳动报酬，以及为上述人员缴纳的各项社会保险费等。</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（十五）商品和服务支出（支出经济分类科目类级）：</w:t>
      </w:r>
      <w:r>
        <w:rPr>
          <w:rFonts w:hint="default" w:ascii="Times New Roman" w:hAnsi="Times New Roman" w:eastAsia="方正仿宋_GBK" w:cs="Times New Roman"/>
          <w:sz w:val="32"/>
          <w:szCs w:val="32"/>
        </w:rPr>
        <w:t>反映单位购买商品和服务的支出（不包括用于购置固定资产的支出、战略性和应急储备支出）。</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 （十六）对个人和家庭的补助（支出经济分类科目类级）：</w:t>
      </w:r>
      <w:r>
        <w:rPr>
          <w:rFonts w:hint="default" w:ascii="Times New Roman" w:hAnsi="Times New Roman" w:eastAsia="方正仿宋_GBK" w:cs="Times New Roman"/>
          <w:sz w:val="32"/>
          <w:szCs w:val="32"/>
        </w:rPr>
        <w:t>反映用于对个人和家庭的补助支出。</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（十七）其他资本性支出（支出经济分类科目类级）：</w:t>
      </w:r>
      <w:r>
        <w:rPr>
          <w:rFonts w:hint="default" w:ascii="Times New Roman" w:hAnsi="Times New Roman" w:eastAsia="方正仿宋_GBK" w:cs="Times New Roman"/>
          <w:sz w:val="32"/>
          <w:szCs w:val="32"/>
        </w:rPr>
        <w:t>反映非各级发展与改革部门集中安排的用于购置固定资产、战略性和应急性储备、土地和无形资产，以及构建基础设施、大型修缮和财政支持企业更新改造所发生的支出。</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七、决算公开联系方式及信息反馈渠道</w:t>
      </w: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640" w:firstLineChars="200"/>
        <w:jc w:val="both"/>
        <w:textAlignment w:val="auto"/>
        <w:outlineLvl w:val="9"/>
        <w:rPr>
          <w:rFonts w:hint="default" w:ascii="Times New Roman" w:hAnsi="Times New Roman" w:eastAsia="方正仿宋_GBK" w:cs="Times New Roman"/>
          <w:sz w:val="32"/>
          <w:szCs w:val="32"/>
          <w:lang w:eastAsia="zh-CN"/>
        </w:rPr>
        <w:sectPr>
          <w:pgSz w:w="11850" w:h="16783"/>
          <w:pgMar w:top="1800" w:right="1440" w:bottom="1800" w:left="1440" w:header="851" w:footer="992" w:gutter="0"/>
          <w:pgNumType w:fmt="numberInDash"/>
          <w:cols w:space="720" w:num="1"/>
          <w:docGrid w:type="lines" w:linePitch="312" w:charSpace="0"/>
        </w:sectPr>
      </w:pPr>
      <w:r>
        <w:rPr>
          <w:rFonts w:hint="default" w:ascii="Times New Roman" w:hAnsi="Times New Roman" w:eastAsia="方正仿宋_GBK" w:cs="Times New Roman"/>
          <w:sz w:val="32"/>
          <w:szCs w:val="32"/>
        </w:rPr>
        <w:t>本单位决算公开信息反馈和联系方式：</w:t>
      </w:r>
      <w:r>
        <w:rPr>
          <w:rFonts w:hint="eastAsia" w:ascii="Times New Roman" w:hAnsi="Times New Roman" w:eastAsia="方正仿宋_GBK" w:cs="Times New Roman"/>
          <w:sz w:val="32"/>
          <w:szCs w:val="32"/>
          <w:lang w:val="en-US" w:eastAsia="zh-CN"/>
        </w:rPr>
        <w:t>高老师</w:t>
      </w:r>
      <w:r>
        <w:rPr>
          <w:rFonts w:hint="default" w:ascii="Times New Roman" w:hAnsi="Times New Roman" w:eastAsia="方正仿宋_GBK" w:cs="Times New Roman"/>
          <w:sz w:val="32"/>
          <w:szCs w:val="32"/>
        </w:rPr>
        <w:t>023</w:t>
      </w:r>
      <w:r>
        <w:rPr>
          <w:rFonts w:hint="default"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rPr>
        <w:t>74598282</w:t>
      </w:r>
      <w:r>
        <w:rPr>
          <w:rFonts w:hint="default" w:ascii="Times New Roman" w:hAnsi="Times New Roman" w:eastAsia="方正仿宋_GBK" w:cs="Times New Roman"/>
          <w:sz w:val="32"/>
          <w:szCs w:val="32"/>
          <w:lang w:eastAsia="zh-CN"/>
        </w:rPr>
        <w:t>。</w:t>
      </w:r>
      <w:bookmarkStart w:id="0" w:name="_GoBack"/>
      <w:bookmarkEnd w:id="0"/>
    </w:p>
    <w:tbl>
      <w:tblPr>
        <w:tblStyle w:val="8"/>
        <w:tblW w:w="20241" w:type="dxa"/>
        <w:tblInd w:w="0" w:type="dxa"/>
        <w:tblLayout w:type="fixed"/>
        <w:tblCellMar>
          <w:top w:w="0" w:type="dxa"/>
          <w:left w:w="0" w:type="dxa"/>
          <w:bottom w:w="0" w:type="dxa"/>
          <w:right w:w="0" w:type="dxa"/>
        </w:tblCellMar>
      </w:tblPr>
      <w:tblGrid>
        <w:gridCol w:w="5976"/>
        <w:gridCol w:w="3957"/>
        <w:gridCol w:w="6842"/>
        <w:gridCol w:w="3466"/>
      </w:tblGrid>
      <w:tr>
        <w:tblPrEx>
          <w:tblLayout w:type="fixed"/>
          <w:tblCellMar>
            <w:top w:w="0" w:type="dxa"/>
            <w:left w:w="0" w:type="dxa"/>
            <w:bottom w:w="0" w:type="dxa"/>
            <w:right w:w="0" w:type="dxa"/>
          </w:tblCellMar>
        </w:tblPrEx>
        <w:trPr>
          <w:trHeight w:val="565" w:hRule="atLeast"/>
        </w:trPr>
        <w:tc>
          <w:tcPr>
            <w:tcW w:w="20241" w:type="dxa"/>
            <w:gridSpan w:val="4"/>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wordWrap/>
              <w:overflowPunct/>
              <w:topLinePunct w:val="0"/>
              <w:autoSpaceDE/>
              <w:autoSpaceDN/>
              <w:bidi w:val="0"/>
              <w:adjustRightInd/>
              <w:snapToGrid/>
              <w:spacing w:line="640" w:lineRule="exact"/>
              <w:ind w:left="0" w:leftChars="0" w:right="0" w:rightChars="0" w:firstLine="0" w:firstLineChars="0"/>
              <w:jc w:val="center"/>
              <w:textAlignment w:val="bottom"/>
              <w:outlineLvl w:val="9"/>
              <w:rPr>
                <w:rFonts w:hint="default" w:ascii="Times New Roman" w:hAnsi="Times New Roman" w:cs="Times New Roman"/>
                <w:b/>
                <w:color w:val="000000"/>
                <w:sz w:val="40"/>
                <w:szCs w:val="40"/>
              </w:rPr>
            </w:pPr>
            <w:r>
              <w:rPr>
                <w:rFonts w:hint="default" w:ascii="Times New Roman" w:hAnsi="Times New Roman" w:eastAsia="方正小标宋_GBK" w:cs="Times New Roman"/>
                <w:b w:val="0"/>
                <w:bCs/>
                <w:color w:val="000000"/>
                <w:sz w:val="44"/>
                <w:szCs w:val="44"/>
                <w:lang w:bidi="ar"/>
              </w:rPr>
              <w:t>收入支出决算总表</w:t>
            </w:r>
          </w:p>
        </w:tc>
      </w:tr>
      <w:tr>
        <w:tblPrEx>
          <w:tblLayout w:type="fixed"/>
          <w:tblCellMar>
            <w:top w:w="0" w:type="dxa"/>
            <w:left w:w="0" w:type="dxa"/>
            <w:bottom w:w="0" w:type="dxa"/>
            <w:right w:w="0" w:type="dxa"/>
          </w:tblCellMar>
        </w:tblPrEx>
        <w:trPr>
          <w:trHeight w:val="289" w:hRule="atLeast"/>
        </w:trPr>
        <w:tc>
          <w:tcPr>
            <w:tcW w:w="5976"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3957"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0"/>
                <w:szCs w:val="20"/>
              </w:rPr>
            </w:pPr>
          </w:p>
        </w:tc>
        <w:tc>
          <w:tcPr>
            <w:tcW w:w="6842"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3466"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lang w:bidi="ar"/>
              </w:rPr>
              <w:t>公开01表</w:t>
            </w:r>
          </w:p>
        </w:tc>
      </w:tr>
      <w:tr>
        <w:tblPrEx>
          <w:tblLayout w:type="fixed"/>
          <w:tblCellMar>
            <w:top w:w="0" w:type="dxa"/>
            <w:left w:w="0" w:type="dxa"/>
            <w:bottom w:w="0" w:type="dxa"/>
            <w:right w:w="0" w:type="dxa"/>
          </w:tblCellMar>
        </w:tblPrEx>
        <w:trPr>
          <w:trHeight w:val="289" w:hRule="atLeast"/>
        </w:trPr>
        <w:tc>
          <w:tcPr>
            <w:tcW w:w="5976"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bottom"/>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rPr>
              <w:t>公开单位：垫江县邮政业发展服务中心</w:t>
            </w:r>
          </w:p>
        </w:tc>
        <w:tc>
          <w:tcPr>
            <w:tcW w:w="3957"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6842"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466"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lang w:bidi="ar"/>
              </w:rPr>
              <w:t>单位：</w:t>
            </w:r>
            <w:r>
              <w:rPr>
                <w:rFonts w:hint="default" w:ascii="Times New Roman" w:hAnsi="Times New Roman" w:eastAsia="方正仿宋_GBK" w:cs="Times New Roman"/>
              </w:rPr>
              <w:t>万元</w:t>
            </w:r>
          </w:p>
        </w:tc>
      </w:tr>
      <w:tr>
        <w:tblPrEx>
          <w:tblLayout w:type="fixed"/>
          <w:tblCellMar>
            <w:top w:w="0" w:type="dxa"/>
            <w:left w:w="0" w:type="dxa"/>
            <w:bottom w:w="0" w:type="dxa"/>
            <w:right w:w="0" w:type="dxa"/>
          </w:tblCellMar>
        </w:tblPrEx>
        <w:trPr>
          <w:trHeight w:val="298" w:hRule="atLeast"/>
        </w:trPr>
        <w:tc>
          <w:tcPr>
            <w:tcW w:w="9933"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收入</w:t>
            </w:r>
          </w:p>
        </w:tc>
        <w:tc>
          <w:tcPr>
            <w:tcW w:w="10308" w:type="dxa"/>
            <w:gridSpan w:val="2"/>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支出</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项目</w:t>
            </w:r>
          </w:p>
        </w:tc>
        <w:tc>
          <w:tcPr>
            <w:tcW w:w="3957"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决算数</w:t>
            </w: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rPr>
              <w:t>功能分类科目</w:t>
            </w:r>
          </w:p>
        </w:tc>
        <w:tc>
          <w:tcPr>
            <w:tcW w:w="346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决算数</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一、一般公共预算财政拨款收入</w:t>
            </w: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180.59 </w:t>
            </w: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一、一般公共服务支出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二、政府性基金预算财政拨款收入</w:t>
            </w: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二、外交支出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三、国有资本经营预算财政拨款收入</w:t>
            </w: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三、国防支出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四、上级补助收入</w:t>
            </w: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四、公共安全支出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五、事业收入</w:t>
            </w: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五、教育支出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0.38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六、经营收入</w:t>
            </w: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六、科学技术支出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七、附属单位上缴收入</w:t>
            </w: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七、文化旅游体育与传媒支出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八、其他收入</w:t>
            </w:r>
          </w:p>
        </w:tc>
        <w:tc>
          <w:tcPr>
            <w:tcW w:w="3957" w:type="dxa"/>
            <w:tcBorders>
              <w:top w:val="nil"/>
              <w:left w:val="nil"/>
              <w:bottom w:val="nil"/>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八、社会保障和就业支出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12.60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9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0"/>
                <w:szCs w:val="20"/>
              </w:rPr>
            </w:pP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九、卫生健康支出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5.02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9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0"/>
                <w:szCs w:val="20"/>
              </w:rPr>
            </w:pP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十、节能环保支出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9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0"/>
                <w:szCs w:val="20"/>
              </w:rPr>
            </w:pP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十一、城乡社区支出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9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0"/>
                <w:szCs w:val="20"/>
              </w:rPr>
            </w:pP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十二、农林水支出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9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十三、交通运输支出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164.31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十四、资源勘探工业信息等支出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十五、商业服务业等支出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十六、金融支出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十七、援助其他地区支出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十八、自然资源海洋气象等支出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十九、住房保障支出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12.29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二十、粮油物资储备支出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二十一、国有资本经营预算支出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二十二、灾害防治及应急管理支出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二十三、其他支出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二十四、债务还本支出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二十五、债务付息支出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二十六、抗疫特别国债安排的支出</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本年收入合计</w:t>
            </w: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180.59 </w:t>
            </w: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本年支出合计</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194.59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使用非财政拨款结余和专用结余</w:t>
            </w: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结余分配</w:t>
            </w:r>
          </w:p>
        </w:tc>
        <w:tc>
          <w:tcPr>
            <w:tcW w:w="34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298"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年初结转和结余</w:t>
            </w:r>
          </w:p>
        </w:tc>
        <w:tc>
          <w:tcPr>
            <w:tcW w:w="395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14.00 </w:t>
            </w:r>
          </w:p>
        </w:tc>
        <w:tc>
          <w:tcPr>
            <w:tcW w:w="6842"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年末结转和结余</w:t>
            </w:r>
          </w:p>
        </w:tc>
        <w:tc>
          <w:tcPr>
            <w:tcW w:w="3466" w:type="dxa"/>
            <w:tcBorders>
              <w:top w:val="nil"/>
              <w:left w:val="nil"/>
              <w:bottom w:val="single" w:color="auto"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7" w:hRule="atLeast"/>
        </w:trPr>
        <w:tc>
          <w:tcPr>
            <w:tcW w:w="5976"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总计</w:t>
            </w:r>
          </w:p>
        </w:tc>
        <w:tc>
          <w:tcPr>
            <w:tcW w:w="395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194.59 </w:t>
            </w:r>
          </w:p>
        </w:tc>
        <w:tc>
          <w:tcPr>
            <w:tcW w:w="6842" w:type="dxa"/>
            <w:tcBorders>
              <w:top w:val="nil"/>
              <w:left w:val="nil"/>
              <w:bottom w:val="single" w:color="000000" w:sz="4" w:space="0"/>
              <w:right w:val="single" w:color="auto"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总计</w:t>
            </w:r>
          </w:p>
        </w:tc>
        <w:tc>
          <w:tcPr>
            <w:tcW w:w="3466"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194.59 </w:t>
            </w:r>
          </w:p>
        </w:tc>
      </w:tr>
    </w:tbl>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cs="Times New Roman"/>
          <w:sz w:val="21"/>
          <w:szCs w:val="21"/>
          <w:lang w:bidi="ar"/>
        </w:rPr>
      </w:pPr>
      <w:r>
        <w:rPr>
          <w:rFonts w:hint="default" w:ascii="Times New Roman" w:hAnsi="Times New Roman" w:eastAsia="方正仿宋_GBK" w:cs="Times New Roman"/>
          <w:sz w:val="21"/>
          <w:szCs w:val="21"/>
          <w:lang w:bidi="ar"/>
        </w:rPr>
        <w:t>备注：1.本表反映单位本年度的总收支和年末结转结余情况。</w:t>
      </w:r>
      <w:r>
        <w:rPr>
          <w:rFonts w:hint="default" w:ascii="Times New Roman" w:hAnsi="Times New Roman" w:eastAsia="方正仿宋_GBK" w:cs="Times New Roman"/>
          <w:sz w:val="21"/>
          <w:szCs w:val="21"/>
          <w:lang w:bidi="ar"/>
        </w:rPr>
        <w:br w:type="textWrapping"/>
      </w:r>
      <w:r>
        <w:rPr>
          <w:rFonts w:hint="default" w:ascii="Times New Roman" w:hAnsi="Times New Roman" w:eastAsia="方正仿宋_GBK" w:cs="Times New Roman"/>
          <w:sz w:val="21"/>
          <w:szCs w:val="21"/>
          <w:lang w:bidi="ar"/>
        </w:rPr>
        <w:t xml:space="preserve">      2.本套报表金额单位转换时可能存在尾数误差。</w:t>
      </w:r>
      <w:r>
        <w:rPr>
          <w:rFonts w:hint="default" w:ascii="Times New Roman" w:hAnsi="Times New Roman" w:cs="Times New Roman"/>
          <w:sz w:val="21"/>
          <w:szCs w:val="21"/>
          <w:lang w:bidi="ar"/>
        </w:rPr>
        <w:br w:type="textWrapping"/>
      </w:r>
      <w:r>
        <w:rPr>
          <w:rFonts w:hint="default" w:ascii="Times New Roman" w:hAnsi="Times New Roman" w:cs="Times New Roman"/>
          <w:sz w:val="21"/>
          <w:szCs w:val="21"/>
        </w:rPr>
        <w:br w:type="textWrapping"/>
      </w:r>
    </w:p>
    <w:p>
      <w:pPr>
        <w:rPr>
          <w:rFonts w:hint="default" w:ascii="Times New Roman" w:hAnsi="Times New Roman" w:cs="Times New Roman"/>
          <w:sz w:val="21"/>
          <w:szCs w:val="21"/>
          <w:lang w:bidi="ar"/>
        </w:rPr>
      </w:pPr>
      <w:r>
        <w:rPr>
          <w:rFonts w:hint="default" w:ascii="Times New Roman" w:hAnsi="Times New Roman" w:cs="Times New Roman"/>
          <w:sz w:val="21"/>
          <w:szCs w:val="21"/>
          <w:lang w:bidi="ar"/>
        </w:rPr>
        <w:br w:type="page"/>
      </w:r>
    </w:p>
    <w:p>
      <w:pPr>
        <w:rPr>
          <w:rFonts w:hint="default" w:ascii="Times New Roman" w:hAnsi="Times New Roman" w:cs="Times New Roman"/>
          <w:sz w:val="21"/>
          <w:szCs w:val="21"/>
          <w:lang w:bidi="ar"/>
        </w:rPr>
      </w:pPr>
    </w:p>
    <w:tbl>
      <w:tblPr>
        <w:tblStyle w:val="8"/>
        <w:tblW w:w="20241" w:type="dxa"/>
        <w:tblInd w:w="0" w:type="dxa"/>
        <w:tblLayout w:type="fixed"/>
        <w:tblCellMar>
          <w:top w:w="0" w:type="dxa"/>
          <w:left w:w="0" w:type="dxa"/>
          <w:bottom w:w="0" w:type="dxa"/>
          <w:right w:w="0" w:type="dxa"/>
        </w:tblCellMar>
      </w:tblPr>
      <w:tblGrid>
        <w:gridCol w:w="1768"/>
        <w:gridCol w:w="3022"/>
        <w:gridCol w:w="2197"/>
        <w:gridCol w:w="2185"/>
        <w:gridCol w:w="1788"/>
        <w:gridCol w:w="1788"/>
        <w:gridCol w:w="1"/>
        <w:gridCol w:w="1788"/>
        <w:gridCol w:w="1788"/>
        <w:gridCol w:w="1788"/>
        <w:gridCol w:w="2128"/>
      </w:tblGrid>
      <w:tr>
        <w:tblPrEx>
          <w:tblLayout w:type="fixed"/>
          <w:tblCellMar>
            <w:top w:w="0" w:type="dxa"/>
            <w:left w:w="0" w:type="dxa"/>
            <w:bottom w:w="0" w:type="dxa"/>
            <w:right w:w="0" w:type="dxa"/>
          </w:tblCellMar>
        </w:tblPrEx>
        <w:trPr>
          <w:trHeight w:val="641" w:hRule="atLeast"/>
        </w:trPr>
        <w:tc>
          <w:tcPr>
            <w:tcW w:w="20241" w:type="dxa"/>
            <w:gridSpan w:val="11"/>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wordWrap/>
              <w:overflowPunct/>
              <w:topLinePunct w:val="0"/>
              <w:autoSpaceDE/>
              <w:autoSpaceDN/>
              <w:bidi w:val="0"/>
              <w:adjustRightInd/>
              <w:snapToGrid/>
              <w:spacing w:line="640" w:lineRule="exact"/>
              <w:ind w:left="0" w:leftChars="0" w:right="0" w:rightChars="0" w:firstLine="0" w:firstLineChars="0"/>
              <w:jc w:val="center"/>
              <w:textAlignment w:val="bottom"/>
              <w:outlineLvl w:val="9"/>
              <w:rPr>
                <w:rFonts w:hint="default" w:ascii="Times New Roman" w:hAnsi="Times New Roman" w:cs="Times New Roman"/>
                <w:b/>
                <w:color w:val="000000"/>
                <w:sz w:val="40"/>
                <w:szCs w:val="40"/>
              </w:rPr>
            </w:pPr>
            <w:r>
              <w:rPr>
                <w:rFonts w:hint="default" w:ascii="Times New Roman" w:hAnsi="Times New Roman" w:eastAsia="方正小标宋_GBK" w:cs="Times New Roman"/>
                <w:b w:val="0"/>
                <w:bCs/>
                <w:color w:val="000000"/>
                <w:sz w:val="44"/>
                <w:szCs w:val="44"/>
                <w:lang w:bidi="ar"/>
              </w:rPr>
              <w:t>收入决算表</w:t>
            </w:r>
          </w:p>
        </w:tc>
      </w:tr>
      <w:tr>
        <w:tblPrEx>
          <w:tblLayout w:type="fixed"/>
          <w:tblCellMar>
            <w:top w:w="0" w:type="dxa"/>
            <w:left w:w="0" w:type="dxa"/>
            <w:bottom w:w="0" w:type="dxa"/>
            <w:right w:w="0" w:type="dxa"/>
          </w:tblCellMar>
        </w:tblPrEx>
        <w:trPr>
          <w:trHeight w:val="328" w:hRule="atLeast"/>
        </w:trPr>
        <w:tc>
          <w:tcPr>
            <w:tcW w:w="4790" w:type="dxa"/>
            <w:gridSpan w:val="2"/>
            <w:vMerge w:val="restart"/>
            <w:tcBorders>
              <w:top w:val="nil"/>
              <w:left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rPr>
              <w:t>公开单位：垫江县邮政业发展服务中心</w:t>
            </w:r>
          </w:p>
        </w:tc>
        <w:tc>
          <w:tcPr>
            <w:tcW w:w="2197"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outlineLvl w:val="9"/>
              <w:rPr>
                <w:rFonts w:hint="default" w:ascii="Times New Roman" w:hAnsi="Times New Roman" w:eastAsia="方正仿宋_GBK" w:cs="Times New Roman"/>
                <w:color w:val="000000"/>
                <w:sz w:val="20"/>
                <w:szCs w:val="20"/>
              </w:rPr>
            </w:pPr>
          </w:p>
        </w:tc>
        <w:tc>
          <w:tcPr>
            <w:tcW w:w="2185"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outlineLvl w:val="9"/>
              <w:rPr>
                <w:rFonts w:hint="default" w:ascii="Times New Roman" w:hAnsi="Times New Roman" w:eastAsia="方正仿宋_GBK" w:cs="Times New Roman"/>
                <w:color w:val="000000"/>
                <w:sz w:val="20"/>
                <w:szCs w:val="20"/>
              </w:rPr>
            </w:pPr>
          </w:p>
        </w:tc>
        <w:tc>
          <w:tcPr>
            <w:tcW w:w="1788"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outlineLvl w:val="9"/>
              <w:rPr>
                <w:rFonts w:hint="default" w:ascii="Times New Roman" w:hAnsi="Times New Roman" w:eastAsia="方正仿宋_GBK" w:cs="Times New Roman"/>
                <w:color w:val="000000"/>
                <w:sz w:val="20"/>
                <w:szCs w:val="20"/>
              </w:rPr>
            </w:pPr>
          </w:p>
        </w:tc>
        <w:tc>
          <w:tcPr>
            <w:tcW w:w="1789" w:type="dxa"/>
            <w:gridSpan w:val="2"/>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outlineLvl w:val="9"/>
              <w:rPr>
                <w:rFonts w:hint="default" w:ascii="Times New Roman" w:hAnsi="Times New Roman" w:eastAsia="方正仿宋_GBK" w:cs="Times New Roman"/>
                <w:color w:val="000000"/>
                <w:sz w:val="20"/>
                <w:szCs w:val="20"/>
              </w:rPr>
            </w:pPr>
          </w:p>
        </w:tc>
        <w:tc>
          <w:tcPr>
            <w:tcW w:w="1788"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outlineLvl w:val="9"/>
              <w:rPr>
                <w:rFonts w:hint="default" w:ascii="Times New Roman" w:hAnsi="Times New Roman" w:eastAsia="方正仿宋_GBK" w:cs="Times New Roman"/>
                <w:color w:val="000000"/>
                <w:sz w:val="20"/>
                <w:szCs w:val="20"/>
              </w:rPr>
            </w:pPr>
          </w:p>
        </w:tc>
        <w:tc>
          <w:tcPr>
            <w:tcW w:w="1788"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outlineLvl w:val="9"/>
              <w:rPr>
                <w:rFonts w:hint="default" w:ascii="Times New Roman" w:hAnsi="Times New Roman" w:eastAsia="方正仿宋_GBK" w:cs="Times New Roman"/>
                <w:color w:val="000000"/>
                <w:sz w:val="20"/>
                <w:szCs w:val="20"/>
              </w:rPr>
            </w:pPr>
          </w:p>
        </w:tc>
        <w:tc>
          <w:tcPr>
            <w:tcW w:w="1788"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outlineLvl w:val="9"/>
              <w:rPr>
                <w:rFonts w:hint="default" w:ascii="Times New Roman" w:hAnsi="Times New Roman" w:eastAsia="方正仿宋_GBK" w:cs="Times New Roman"/>
                <w:color w:val="000000"/>
                <w:sz w:val="20"/>
                <w:szCs w:val="20"/>
              </w:rPr>
            </w:pPr>
          </w:p>
        </w:tc>
        <w:tc>
          <w:tcPr>
            <w:tcW w:w="2128"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jc w:val="right"/>
              <w:textAlignment w:val="bottom"/>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lang w:bidi="ar"/>
              </w:rPr>
              <w:t>公开02表</w:t>
            </w:r>
          </w:p>
        </w:tc>
      </w:tr>
      <w:tr>
        <w:tblPrEx>
          <w:tblLayout w:type="fixed"/>
          <w:tblCellMar>
            <w:top w:w="0" w:type="dxa"/>
            <w:left w:w="0" w:type="dxa"/>
            <w:bottom w:w="0" w:type="dxa"/>
            <w:right w:w="0" w:type="dxa"/>
          </w:tblCellMar>
        </w:tblPrEx>
        <w:trPr>
          <w:trHeight w:val="328" w:hRule="atLeast"/>
        </w:trPr>
        <w:tc>
          <w:tcPr>
            <w:tcW w:w="4790" w:type="dxa"/>
            <w:gridSpan w:val="2"/>
            <w:vMerge w:val="continue"/>
            <w:tcBorders>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outlineLvl w:val="9"/>
              <w:rPr>
                <w:rFonts w:hint="default" w:ascii="Times New Roman" w:hAnsi="Times New Roman" w:eastAsia="方正仿宋_GBK" w:cs="Times New Roman"/>
                <w:color w:val="000000"/>
                <w:sz w:val="22"/>
                <w:szCs w:val="22"/>
              </w:rPr>
            </w:pPr>
          </w:p>
        </w:tc>
        <w:tc>
          <w:tcPr>
            <w:tcW w:w="2197"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outlineLvl w:val="9"/>
              <w:rPr>
                <w:rFonts w:hint="default" w:ascii="Times New Roman" w:hAnsi="Times New Roman" w:eastAsia="方正仿宋_GBK" w:cs="Times New Roman"/>
                <w:color w:val="000000"/>
                <w:sz w:val="22"/>
                <w:szCs w:val="22"/>
              </w:rPr>
            </w:pPr>
          </w:p>
        </w:tc>
        <w:tc>
          <w:tcPr>
            <w:tcW w:w="2185"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outlineLvl w:val="9"/>
              <w:rPr>
                <w:rFonts w:hint="default" w:ascii="Times New Roman" w:hAnsi="Times New Roman" w:eastAsia="方正仿宋_GBK" w:cs="Times New Roman"/>
                <w:color w:val="000000"/>
                <w:sz w:val="22"/>
                <w:szCs w:val="22"/>
              </w:rPr>
            </w:pPr>
          </w:p>
        </w:tc>
        <w:tc>
          <w:tcPr>
            <w:tcW w:w="1788"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outlineLvl w:val="9"/>
              <w:rPr>
                <w:rFonts w:hint="default" w:ascii="Times New Roman" w:hAnsi="Times New Roman" w:eastAsia="方正仿宋_GBK" w:cs="Times New Roman"/>
                <w:color w:val="000000"/>
                <w:sz w:val="22"/>
                <w:szCs w:val="22"/>
              </w:rPr>
            </w:pPr>
          </w:p>
        </w:tc>
        <w:tc>
          <w:tcPr>
            <w:tcW w:w="1789" w:type="dxa"/>
            <w:gridSpan w:val="2"/>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outlineLvl w:val="9"/>
              <w:rPr>
                <w:rFonts w:hint="default" w:ascii="Times New Roman" w:hAnsi="Times New Roman" w:eastAsia="方正仿宋_GBK" w:cs="Times New Roman"/>
                <w:color w:val="000000"/>
                <w:sz w:val="22"/>
                <w:szCs w:val="22"/>
              </w:rPr>
            </w:pPr>
          </w:p>
        </w:tc>
        <w:tc>
          <w:tcPr>
            <w:tcW w:w="1788"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outlineLvl w:val="9"/>
              <w:rPr>
                <w:rFonts w:hint="default" w:ascii="Times New Roman" w:hAnsi="Times New Roman" w:eastAsia="方正仿宋_GBK" w:cs="Times New Roman"/>
                <w:color w:val="000000"/>
                <w:sz w:val="22"/>
                <w:szCs w:val="22"/>
              </w:rPr>
            </w:pPr>
          </w:p>
        </w:tc>
        <w:tc>
          <w:tcPr>
            <w:tcW w:w="1788"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outlineLvl w:val="9"/>
              <w:rPr>
                <w:rFonts w:hint="default" w:ascii="Times New Roman" w:hAnsi="Times New Roman" w:eastAsia="方正仿宋_GBK" w:cs="Times New Roman"/>
                <w:color w:val="000000"/>
                <w:sz w:val="22"/>
                <w:szCs w:val="22"/>
              </w:rPr>
            </w:pPr>
          </w:p>
        </w:tc>
        <w:tc>
          <w:tcPr>
            <w:tcW w:w="1788"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outlineLvl w:val="9"/>
              <w:rPr>
                <w:rFonts w:hint="default" w:ascii="Times New Roman" w:hAnsi="Times New Roman" w:eastAsia="方正仿宋_GBK" w:cs="Times New Roman"/>
                <w:color w:val="000000"/>
                <w:sz w:val="22"/>
                <w:szCs w:val="22"/>
              </w:rPr>
            </w:pPr>
          </w:p>
        </w:tc>
        <w:tc>
          <w:tcPr>
            <w:tcW w:w="2128"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jc w:val="right"/>
              <w:textAlignment w:val="bottom"/>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lang w:bidi="ar"/>
              </w:rPr>
              <w:t>单位：</w:t>
            </w:r>
            <w:r>
              <w:rPr>
                <w:rFonts w:hint="default" w:ascii="Times New Roman" w:hAnsi="Times New Roman" w:eastAsia="方正仿宋_GBK" w:cs="Times New Roman"/>
              </w:rPr>
              <w:t>万元</w:t>
            </w:r>
          </w:p>
        </w:tc>
      </w:tr>
      <w:tr>
        <w:tblPrEx>
          <w:tblLayout w:type="fixed"/>
          <w:tblCellMar>
            <w:top w:w="0" w:type="dxa"/>
            <w:left w:w="0" w:type="dxa"/>
            <w:bottom w:w="0" w:type="dxa"/>
            <w:right w:w="0" w:type="dxa"/>
          </w:tblCellMar>
        </w:tblPrEx>
        <w:trPr>
          <w:trHeight w:val="431" w:hRule="atLeast"/>
        </w:trPr>
        <w:tc>
          <w:tcPr>
            <w:tcW w:w="4790" w:type="dxa"/>
            <w:gridSpan w:val="2"/>
            <w:tcBorders>
              <w:top w:val="single" w:color="000000" w:sz="4" w:space="0"/>
              <w:left w:val="single" w:color="000000" w:sz="4" w:space="0"/>
              <w:bottom w:val="single" w:color="000000" w:sz="4" w:space="0"/>
              <w:right w:val="nil"/>
            </w:tcBorders>
            <w:shd w:val="clear" w:color="auto" w:fill="D0CECE"/>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jc w:val="center"/>
              <w:textAlignment w:val="bottom"/>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项目</w:t>
            </w:r>
          </w:p>
        </w:tc>
        <w:tc>
          <w:tcPr>
            <w:tcW w:w="2197"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本年收入合计</w:t>
            </w:r>
          </w:p>
        </w:tc>
        <w:tc>
          <w:tcPr>
            <w:tcW w:w="2185"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财政拨款收入</w:t>
            </w:r>
          </w:p>
        </w:tc>
        <w:tc>
          <w:tcPr>
            <w:tcW w:w="1788"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上级补助收入</w:t>
            </w:r>
          </w:p>
        </w:tc>
        <w:tc>
          <w:tcPr>
            <w:tcW w:w="3577" w:type="dxa"/>
            <w:gridSpan w:val="3"/>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right="0" w:rightChars="0"/>
              <w:jc w:val="center"/>
              <w:textAlignment w:val="bottom"/>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事业收入</w:t>
            </w:r>
          </w:p>
        </w:tc>
        <w:tc>
          <w:tcPr>
            <w:tcW w:w="1788"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经营收入</w:t>
            </w:r>
          </w:p>
        </w:tc>
        <w:tc>
          <w:tcPr>
            <w:tcW w:w="1788"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附属单位上缴收入</w:t>
            </w:r>
          </w:p>
        </w:tc>
        <w:tc>
          <w:tcPr>
            <w:tcW w:w="2128"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其他收入</w:t>
            </w:r>
          </w:p>
        </w:tc>
      </w:tr>
      <w:tr>
        <w:tblPrEx>
          <w:tblLayout w:type="fixed"/>
          <w:tblCellMar>
            <w:top w:w="0" w:type="dxa"/>
            <w:left w:w="0" w:type="dxa"/>
            <w:bottom w:w="0" w:type="dxa"/>
            <w:right w:w="0" w:type="dxa"/>
          </w:tblCellMar>
        </w:tblPrEx>
        <w:trPr>
          <w:trHeight w:val="334" w:hRule="atLeast"/>
        </w:trPr>
        <w:tc>
          <w:tcPr>
            <w:tcW w:w="1768"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功能分类科目编码</w:t>
            </w:r>
          </w:p>
        </w:tc>
        <w:tc>
          <w:tcPr>
            <w:tcW w:w="3022" w:type="dxa"/>
            <w:vMerge w:val="restart"/>
            <w:tcBorders>
              <w:top w:val="nil"/>
              <w:left w:val="nil"/>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项目（按“项”级功能分类科目）</w:t>
            </w:r>
          </w:p>
        </w:tc>
        <w:tc>
          <w:tcPr>
            <w:tcW w:w="219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218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178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1788"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小计</w:t>
            </w:r>
          </w:p>
        </w:tc>
        <w:tc>
          <w:tcPr>
            <w:tcW w:w="1789" w:type="dxa"/>
            <w:gridSpan w:val="2"/>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其中：教育收费</w:t>
            </w:r>
          </w:p>
        </w:tc>
        <w:tc>
          <w:tcPr>
            <w:tcW w:w="178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178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212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r>
      <w:tr>
        <w:tblPrEx>
          <w:tblLayout w:type="fixed"/>
          <w:tblCellMar>
            <w:top w:w="0" w:type="dxa"/>
            <w:left w:w="0" w:type="dxa"/>
            <w:bottom w:w="0" w:type="dxa"/>
            <w:right w:w="0" w:type="dxa"/>
          </w:tblCellMar>
        </w:tblPrEx>
        <w:trPr>
          <w:trHeight w:val="334" w:hRule="atLeast"/>
        </w:trPr>
        <w:tc>
          <w:tcPr>
            <w:tcW w:w="176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3022"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219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218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178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178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1789" w:type="dxa"/>
            <w:gridSpan w:val="2"/>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178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178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212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r>
      <w:tr>
        <w:tblPrEx>
          <w:tblLayout w:type="fixed"/>
          <w:tblCellMar>
            <w:top w:w="0" w:type="dxa"/>
            <w:left w:w="0" w:type="dxa"/>
            <w:bottom w:w="0" w:type="dxa"/>
            <w:right w:w="0" w:type="dxa"/>
          </w:tblCellMar>
        </w:tblPrEx>
        <w:trPr>
          <w:trHeight w:val="334" w:hRule="atLeast"/>
        </w:trPr>
        <w:tc>
          <w:tcPr>
            <w:tcW w:w="176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3022"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219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218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178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178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1789" w:type="dxa"/>
            <w:gridSpan w:val="2"/>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178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178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212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r>
      <w:tr>
        <w:tblPrEx>
          <w:tblLayout w:type="fixed"/>
          <w:tblCellMar>
            <w:top w:w="0" w:type="dxa"/>
            <w:left w:w="0" w:type="dxa"/>
            <w:bottom w:w="0" w:type="dxa"/>
            <w:right w:w="0" w:type="dxa"/>
          </w:tblCellMar>
        </w:tblPrEx>
        <w:trPr>
          <w:trHeight w:val="334" w:hRule="atLeast"/>
        </w:trPr>
        <w:tc>
          <w:tcPr>
            <w:tcW w:w="176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3022"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219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218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178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178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1789" w:type="dxa"/>
            <w:gridSpan w:val="2"/>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178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178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c>
          <w:tcPr>
            <w:tcW w:w="212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outlineLvl w:val="9"/>
              <w:rPr>
                <w:rFonts w:hint="default" w:ascii="Times New Roman" w:hAnsi="Times New Roman" w:eastAsia="方正仿宋_GBK" w:cs="Times New Roman"/>
                <w:b/>
                <w:color w:val="000000"/>
                <w:sz w:val="22"/>
                <w:szCs w:val="22"/>
              </w:rPr>
            </w:pPr>
          </w:p>
        </w:tc>
      </w:tr>
      <w:tr>
        <w:tblPrEx>
          <w:tblLayout w:type="fixed"/>
          <w:tblCellMar>
            <w:top w:w="0" w:type="dxa"/>
            <w:left w:w="0" w:type="dxa"/>
            <w:bottom w:w="0" w:type="dxa"/>
            <w:right w:w="0" w:type="dxa"/>
          </w:tblCellMar>
        </w:tblPrEx>
        <w:trPr>
          <w:trHeight w:val="338" w:hRule="atLeast"/>
        </w:trPr>
        <w:tc>
          <w:tcPr>
            <w:tcW w:w="4790"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合计</w:t>
            </w:r>
          </w:p>
        </w:tc>
        <w:tc>
          <w:tcPr>
            <w:tcW w:w="2197"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180.59 </w:t>
            </w:r>
          </w:p>
        </w:tc>
        <w:tc>
          <w:tcPr>
            <w:tcW w:w="218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180.59 </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 </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 </w:t>
            </w:r>
          </w:p>
        </w:tc>
        <w:tc>
          <w:tcPr>
            <w:tcW w:w="1789"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 </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 </w:t>
            </w:r>
          </w:p>
        </w:tc>
        <w:tc>
          <w:tcPr>
            <w:tcW w:w="178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 </w:t>
            </w:r>
          </w:p>
        </w:tc>
        <w:tc>
          <w:tcPr>
            <w:tcW w:w="21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 </w:t>
            </w:r>
          </w:p>
        </w:tc>
      </w:tr>
      <w:tr>
        <w:tblPrEx>
          <w:tblLayout w:type="fixed"/>
          <w:tblCellMar>
            <w:top w:w="0" w:type="dxa"/>
            <w:left w:w="0" w:type="dxa"/>
            <w:bottom w:w="0" w:type="dxa"/>
            <w:right w:w="0" w:type="dxa"/>
          </w:tblCellMar>
        </w:tblPrEx>
        <w:trPr>
          <w:trHeight w:val="348" w:hRule="atLeast"/>
        </w:trPr>
        <w:tc>
          <w:tcPr>
            <w:tcW w:w="1768"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205</w:t>
            </w:r>
          </w:p>
        </w:tc>
        <w:tc>
          <w:tcPr>
            <w:tcW w:w="30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教育支出</w:t>
            </w:r>
          </w:p>
        </w:tc>
        <w:tc>
          <w:tcPr>
            <w:tcW w:w="21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0.38 </w:t>
            </w:r>
          </w:p>
        </w:tc>
        <w:tc>
          <w:tcPr>
            <w:tcW w:w="2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0.38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1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48" w:hRule="atLeast"/>
        </w:trPr>
        <w:tc>
          <w:tcPr>
            <w:tcW w:w="1768"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20508</w:t>
            </w:r>
          </w:p>
        </w:tc>
        <w:tc>
          <w:tcPr>
            <w:tcW w:w="30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进修及培训</w:t>
            </w:r>
          </w:p>
        </w:tc>
        <w:tc>
          <w:tcPr>
            <w:tcW w:w="21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0.38 </w:t>
            </w:r>
          </w:p>
        </w:tc>
        <w:tc>
          <w:tcPr>
            <w:tcW w:w="2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0.38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1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48" w:hRule="atLeast"/>
        </w:trPr>
        <w:tc>
          <w:tcPr>
            <w:tcW w:w="1768"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2050803</w:t>
            </w:r>
          </w:p>
        </w:tc>
        <w:tc>
          <w:tcPr>
            <w:tcW w:w="30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培训支出</w:t>
            </w:r>
          </w:p>
        </w:tc>
        <w:tc>
          <w:tcPr>
            <w:tcW w:w="21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0.38 </w:t>
            </w:r>
          </w:p>
        </w:tc>
        <w:tc>
          <w:tcPr>
            <w:tcW w:w="2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0.38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1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48" w:hRule="atLeast"/>
        </w:trPr>
        <w:tc>
          <w:tcPr>
            <w:tcW w:w="1768"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208</w:t>
            </w:r>
          </w:p>
        </w:tc>
        <w:tc>
          <w:tcPr>
            <w:tcW w:w="30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社会保障和就业支出</w:t>
            </w:r>
          </w:p>
        </w:tc>
        <w:tc>
          <w:tcPr>
            <w:tcW w:w="21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12.60 </w:t>
            </w:r>
          </w:p>
        </w:tc>
        <w:tc>
          <w:tcPr>
            <w:tcW w:w="2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12.60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1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48" w:hRule="atLeast"/>
        </w:trPr>
        <w:tc>
          <w:tcPr>
            <w:tcW w:w="1768"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20805</w:t>
            </w:r>
          </w:p>
        </w:tc>
        <w:tc>
          <w:tcPr>
            <w:tcW w:w="30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行政事业单位养老支出</w:t>
            </w:r>
          </w:p>
        </w:tc>
        <w:tc>
          <w:tcPr>
            <w:tcW w:w="21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12.60 </w:t>
            </w:r>
          </w:p>
        </w:tc>
        <w:tc>
          <w:tcPr>
            <w:tcW w:w="2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12.60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1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48" w:hRule="atLeast"/>
        </w:trPr>
        <w:tc>
          <w:tcPr>
            <w:tcW w:w="1768"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2080505</w:t>
            </w:r>
          </w:p>
        </w:tc>
        <w:tc>
          <w:tcPr>
            <w:tcW w:w="30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机关事业单位基本养老保险缴费支出</w:t>
            </w:r>
          </w:p>
        </w:tc>
        <w:tc>
          <w:tcPr>
            <w:tcW w:w="21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8.45 </w:t>
            </w:r>
          </w:p>
        </w:tc>
        <w:tc>
          <w:tcPr>
            <w:tcW w:w="2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8.45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1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48" w:hRule="atLeast"/>
        </w:trPr>
        <w:tc>
          <w:tcPr>
            <w:tcW w:w="1768"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2080506</w:t>
            </w:r>
          </w:p>
        </w:tc>
        <w:tc>
          <w:tcPr>
            <w:tcW w:w="30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机关事业单位职业年金缴费支出</w:t>
            </w:r>
          </w:p>
        </w:tc>
        <w:tc>
          <w:tcPr>
            <w:tcW w:w="21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4.15 </w:t>
            </w:r>
          </w:p>
        </w:tc>
        <w:tc>
          <w:tcPr>
            <w:tcW w:w="2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4.15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1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48" w:hRule="atLeast"/>
        </w:trPr>
        <w:tc>
          <w:tcPr>
            <w:tcW w:w="1768"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210</w:t>
            </w:r>
          </w:p>
        </w:tc>
        <w:tc>
          <w:tcPr>
            <w:tcW w:w="30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卫生健康支出</w:t>
            </w:r>
          </w:p>
        </w:tc>
        <w:tc>
          <w:tcPr>
            <w:tcW w:w="21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5.02 </w:t>
            </w:r>
          </w:p>
        </w:tc>
        <w:tc>
          <w:tcPr>
            <w:tcW w:w="2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5.02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1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48" w:hRule="atLeast"/>
        </w:trPr>
        <w:tc>
          <w:tcPr>
            <w:tcW w:w="1768"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21011</w:t>
            </w:r>
          </w:p>
        </w:tc>
        <w:tc>
          <w:tcPr>
            <w:tcW w:w="30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行政事业单位医疗</w:t>
            </w:r>
          </w:p>
        </w:tc>
        <w:tc>
          <w:tcPr>
            <w:tcW w:w="21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5.02 </w:t>
            </w:r>
          </w:p>
        </w:tc>
        <w:tc>
          <w:tcPr>
            <w:tcW w:w="2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5.02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1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48" w:hRule="atLeast"/>
        </w:trPr>
        <w:tc>
          <w:tcPr>
            <w:tcW w:w="1768"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2101102</w:t>
            </w:r>
          </w:p>
        </w:tc>
        <w:tc>
          <w:tcPr>
            <w:tcW w:w="30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事业单位医疗</w:t>
            </w:r>
          </w:p>
        </w:tc>
        <w:tc>
          <w:tcPr>
            <w:tcW w:w="21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5.02 </w:t>
            </w:r>
          </w:p>
        </w:tc>
        <w:tc>
          <w:tcPr>
            <w:tcW w:w="2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5.02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1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48" w:hRule="atLeast"/>
        </w:trPr>
        <w:tc>
          <w:tcPr>
            <w:tcW w:w="1768"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214</w:t>
            </w:r>
          </w:p>
        </w:tc>
        <w:tc>
          <w:tcPr>
            <w:tcW w:w="30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交通运输支出</w:t>
            </w:r>
          </w:p>
        </w:tc>
        <w:tc>
          <w:tcPr>
            <w:tcW w:w="21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150.31 </w:t>
            </w:r>
          </w:p>
        </w:tc>
        <w:tc>
          <w:tcPr>
            <w:tcW w:w="2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150.31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1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48" w:hRule="atLeast"/>
        </w:trPr>
        <w:tc>
          <w:tcPr>
            <w:tcW w:w="1768"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21405</w:t>
            </w:r>
          </w:p>
        </w:tc>
        <w:tc>
          <w:tcPr>
            <w:tcW w:w="30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邮政业支出</w:t>
            </w:r>
          </w:p>
        </w:tc>
        <w:tc>
          <w:tcPr>
            <w:tcW w:w="21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150.31 </w:t>
            </w:r>
          </w:p>
        </w:tc>
        <w:tc>
          <w:tcPr>
            <w:tcW w:w="2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150.31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1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48" w:hRule="atLeast"/>
        </w:trPr>
        <w:tc>
          <w:tcPr>
            <w:tcW w:w="1768"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2140599</w:t>
            </w:r>
          </w:p>
        </w:tc>
        <w:tc>
          <w:tcPr>
            <w:tcW w:w="30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其他邮政业支出</w:t>
            </w:r>
          </w:p>
        </w:tc>
        <w:tc>
          <w:tcPr>
            <w:tcW w:w="21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150.31 </w:t>
            </w:r>
          </w:p>
        </w:tc>
        <w:tc>
          <w:tcPr>
            <w:tcW w:w="2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150.31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1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48" w:hRule="atLeast"/>
        </w:trPr>
        <w:tc>
          <w:tcPr>
            <w:tcW w:w="1768"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221</w:t>
            </w:r>
          </w:p>
        </w:tc>
        <w:tc>
          <w:tcPr>
            <w:tcW w:w="30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住房保障支出</w:t>
            </w:r>
          </w:p>
        </w:tc>
        <w:tc>
          <w:tcPr>
            <w:tcW w:w="21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12.29 </w:t>
            </w:r>
          </w:p>
        </w:tc>
        <w:tc>
          <w:tcPr>
            <w:tcW w:w="2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12.29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1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48" w:hRule="atLeast"/>
        </w:trPr>
        <w:tc>
          <w:tcPr>
            <w:tcW w:w="1768"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22102</w:t>
            </w:r>
          </w:p>
        </w:tc>
        <w:tc>
          <w:tcPr>
            <w:tcW w:w="30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住房改革支出</w:t>
            </w:r>
          </w:p>
        </w:tc>
        <w:tc>
          <w:tcPr>
            <w:tcW w:w="21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12.29 </w:t>
            </w:r>
          </w:p>
        </w:tc>
        <w:tc>
          <w:tcPr>
            <w:tcW w:w="2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12.29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1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48" w:hRule="atLeast"/>
        </w:trPr>
        <w:tc>
          <w:tcPr>
            <w:tcW w:w="1768"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2210201</w:t>
            </w:r>
          </w:p>
        </w:tc>
        <w:tc>
          <w:tcPr>
            <w:tcW w:w="30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right="0" w:right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住房公积金</w:t>
            </w:r>
          </w:p>
        </w:tc>
        <w:tc>
          <w:tcPr>
            <w:tcW w:w="21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12.29 </w:t>
            </w:r>
          </w:p>
        </w:tc>
        <w:tc>
          <w:tcPr>
            <w:tcW w:w="2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12.29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9"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178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1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right="0" w:right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bl>
    <w:p>
      <w:pPr>
        <w:keepNext w:val="0"/>
        <w:keepLines w:val="0"/>
        <w:pageBreakBefore w:val="0"/>
        <w:widowControl/>
        <w:kinsoku/>
        <w:overflowPunct/>
        <w:topLinePunct w:val="0"/>
        <w:autoSpaceDE/>
        <w:autoSpaceDN/>
        <w:bidi w:val="0"/>
        <w:adjustRightInd/>
        <w:snapToGrid/>
        <w:spacing w:line="400" w:lineRule="exact"/>
        <w:ind w:left="630" w:right="0" w:rightChars="0" w:hanging="630" w:hangingChars="300"/>
        <w:outlineLvl w:val="9"/>
        <w:rPr>
          <w:rFonts w:hint="default" w:ascii="Times New Roman" w:hAnsi="Times New Roman" w:cs="Times New Roman"/>
          <w:sz w:val="21"/>
          <w:szCs w:val="21"/>
          <w:lang w:bidi="ar"/>
        </w:rPr>
      </w:pPr>
      <w:r>
        <w:rPr>
          <w:rFonts w:hint="default" w:ascii="Times New Roman" w:hAnsi="Times New Roman" w:eastAsia="方正仿宋_GBK" w:cs="Times New Roman"/>
          <w:sz w:val="21"/>
          <w:szCs w:val="21"/>
          <w:lang w:bidi="ar"/>
        </w:rPr>
        <w:t>备注：1.本表反映单位本年度取得的各项收入情况。</w:t>
      </w:r>
      <w:r>
        <w:rPr>
          <w:rFonts w:hint="default" w:ascii="Times New Roman" w:hAnsi="Times New Roman" w:eastAsia="方正仿宋_GBK" w:cs="Times New Roman"/>
          <w:sz w:val="21"/>
          <w:szCs w:val="21"/>
          <w:lang w:bidi="ar"/>
        </w:rPr>
        <w:br w:type="textWrapping"/>
      </w:r>
      <w:r>
        <w:rPr>
          <w:rFonts w:hint="default" w:ascii="Times New Roman" w:hAnsi="Times New Roman" w:eastAsia="方正仿宋_GBK" w:cs="Times New Roman"/>
          <w:sz w:val="21"/>
          <w:szCs w:val="21"/>
          <w:lang w:bidi="ar"/>
        </w:rPr>
        <w:t>2.本套报表金额单位转换时可能存在尾数误差。</w:t>
      </w:r>
      <w:r>
        <w:rPr>
          <w:rFonts w:hint="default" w:ascii="Times New Roman" w:hAnsi="Times New Roman" w:eastAsia="方正仿宋_GBK" w:cs="Times New Roman"/>
          <w:sz w:val="21"/>
          <w:szCs w:val="21"/>
          <w:lang w:bidi="ar"/>
        </w:rPr>
        <w:br w:type="textWrapping"/>
      </w:r>
      <w:r>
        <w:rPr>
          <w:rFonts w:hint="default" w:ascii="Times New Roman" w:hAnsi="Times New Roman" w:eastAsia="方正仿宋_GBK" w:cs="Times New Roman"/>
          <w:sz w:val="21"/>
          <w:szCs w:val="21"/>
          <w:lang w:bidi="ar"/>
        </w:rPr>
        <w:br w:type="textWrapping"/>
      </w:r>
    </w:p>
    <w:p>
      <w:pPr>
        <w:rPr>
          <w:rFonts w:hint="default" w:ascii="Times New Roman" w:hAnsi="Times New Roman" w:cs="Times New Roman"/>
          <w:sz w:val="21"/>
          <w:szCs w:val="21"/>
          <w:lang w:bidi="ar"/>
        </w:rPr>
      </w:pPr>
      <w:r>
        <w:rPr>
          <w:rFonts w:hint="default" w:ascii="Times New Roman" w:hAnsi="Times New Roman" w:cs="Times New Roman"/>
          <w:sz w:val="21"/>
          <w:szCs w:val="21"/>
          <w:lang w:bidi="ar"/>
        </w:rPr>
        <w:br w:type="page"/>
      </w:r>
    </w:p>
    <w:p>
      <w:pPr>
        <w:ind w:left="630" w:hanging="630" w:hangingChars="300"/>
        <w:rPr>
          <w:rFonts w:hint="default" w:ascii="Times New Roman" w:hAnsi="Times New Roman" w:cs="Times New Roman"/>
          <w:sz w:val="21"/>
          <w:szCs w:val="21"/>
          <w:lang w:bidi="ar"/>
        </w:rPr>
      </w:pPr>
    </w:p>
    <w:tbl>
      <w:tblPr>
        <w:tblStyle w:val="8"/>
        <w:tblW w:w="20241" w:type="dxa"/>
        <w:tblInd w:w="0" w:type="dxa"/>
        <w:tblLayout w:type="fixed"/>
        <w:tblCellMar>
          <w:top w:w="0" w:type="dxa"/>
          <w:left w:w="0" w:type="dxa"/>
          <w:bottom w:w="0" w:type="dxa"/>
          <w:right w:w="0" w:type="dxa"/>
        </w:tblCellMar>
      </w:tblPr>
      <w:tblGrid>
        <w:gridCol w:w="1900"/>
        <w:gridCol w:w="3220"/>
        <w:gridCol w:w="2518"/>
        <w:gridCol w:w="2519"/>
        <w:gridCol w:w="2519"/>
        <w:gridCol w:w="2518"/>
        <w:gridCol w:w="2519"/>
        <w:gridCol w:w="2528"/>
      </w:tblGrid>
      <w:tr>
        <w:tblPrEx>
          <w:tblLayout w:type="fixed"/>
          <w:tblCellMar>
            <w:top w:w="0" w:type="dxa"/>
            <w:left w:w="0" w:type="dxa"/>
            <w:bottom w:w="0" w:type="dxa"/>
            <w:right w:w="0" w:type="dxa"/>
          </w:tblCellMar>
        </w:tblPrEx>
        <w:trPr>
          <w:trHeight w:val="654" w:hRule="atLeast"/>
        </w:trPr>
        <w:tc>
          <w:tcPr>
            <w:tcW w:w="20241" w:type="dxa"/>
            <w:gridSpan w:val="8"/>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wordWrap/>
              <w:overflowPunct/>
              <w:topLinePunct w:val="0"/>
              <w:autoSpaceDE/>
              <w:autoSpaceDN/>
              <w:bidi w:val="0"/>
              <w:adjustRightInd/>
              <w:snapToGrid/>
              <w:spacing w:line="640" w:lineRule="exact"/>
              <w:ind w:left="0" w:leftChars="0" w:right="0" w:rightChars="0" w:firstLine="0" w:firstLineChars="0"/>
              <w:jc w:val="center"/>
              <w:textAlignment w:val="bottom"/>
              <w:outlineLvl w:val="9"/>
              <w:rPr>
                <w:rFonts w:hint="default" w:ascii="Times New Roman" w:hAnsi="Times New Roman" w:cs="Times New Roman"/>
                <w:b/>
                <w:color w:val="000000"/>
                <w:sz w:val="40"/>
                <w:szCs w:val="40"/>
              </w:rPr>
            </w:pPr>
            <w:r>
              <w:rPr>
                <w:rFonts w:hint="default" w:ascii="Times New Roman" w:hAnsi="Times New Roman" w:eastAsia="方正小标宋_GBK" w:cs="Times New Roman"/>
                <w:b w:val="0"/>
                <w:bCs/>
                <w:color w:val="000000"/>
                <w:sz w:val="44"/>
                <w:szCs w:val="44"/>
                <w:lang w:bidi="ar"/>
              </w:rPr>
              <w:t>支出决算表</w:t>
            </w:r>
          </w:p>
        </w:tc>
      </w:tr>
      <w:tr>
        <w:tblPrEx>
          <w:tblLayout w:type="fixed"/>
          <w:tblCellMar>
            <w:top w:w="0" w:type="dxa"/>
            <w:left w:w="0" w:type="dxa"/>
            <w:bottom w:w="0" w:type="dxa"/>
            <w:right w:w="0" w:type="dxa"/>
          </w:tblCellMar>
        </w:tblPrEx>
        <w:trPr>
          <w:trHeight w:val="342" w:hRule="atLeast"/>
        </w:trPr>
        <w:tc>
          <w:tcPr>
            <w:tcW w:w="5120" w:type="dxa"/>
            <w:gridSpan w:val="2"/>
            <w:vMerge w:val="restart"/>
            <w:tcBorders>
              <w:top w:val="nil"/>
              <w:left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rPr>
              <w:t>公开单位</w:t>
            </w:r>
            <w:r>
              <w:rPr>
                <w:rFonts w:hint="default" w:ascii="Times New Roman" w:hAnsi="Times New Roman" w:eastAsia="方正仿宋_GBK" w:cs="Times New Roman"/>
                <w:color w:val="000000"/>
                <w:lang w:bidi="ar"/>
              </w:rPr>
              <w:t xml:space="preserve">： </w:t>
            </w:r>
            <w:r>
              <w:rPr>
                <w:rFonts w:hint="default" w:ascii="Times New Roman" w:hAnsi="Times New Roman" w:eastAsia="方正仿宋_GBK" w:cs="Times New Roman"/>
                <w:color w:val="000000"/>
              </w:rPr>
              <w:t xml:space="preserve">垫江县邮政业发展服务中心 </w:t>
            </w:r>
          </w:p>
        </w:tc>
        <w:tc>
          <w:tcPr>
            <w:tcW w:w="2518"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519"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519"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518"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519"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528"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lang w:bidi="ar"/>
              </w:rPr>
              <w:t>公开03表</w:t>
            </w:r>
          </w:p>
        </w:tc>
      </w:tr>
      <w:tr>
        <w:tblPrEx>
          <w:tblLayout w:type="fixed"/>
          <w:tblCellMar>
            <w:top w:w="0" w:type="dxa"/>
            <w:left w:w="0" w:type="dxa"/>
            <w:bottom w:w="0" w:type="dxa"/>
            <w:right w:w="0" w:type="dxa"/>
          </w:tblCellMar>
        </w:tblPrEx>
        <w:trPr>
          <w:trHeight w:val="342" w:hRule="atLeast"/>
        </w:trPr>
        <w:tc>
          <w:tcPr>
            <w:tcW w:w="5120" w:type="dxa"/>
            <w:gridSpan w:val="2"/>
            <w:vMerge w:val="continue"/>
            <w:tcBorders>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518"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519"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519"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518"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519"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528"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lang w:bidi="ar"/>
              </w:rPr>
              <w:t>单位：</w:t>
            </w:r>
            <w:r>
              <w:rPr>
                <w:rFonts w:hint="default" w:ascii="Times New Roman" w:hAnsi="Times New Roman" w:eastAsia="方正仿宋_GBK" w:cs="Times New Roman"/>
              </w:rPr>
              <w:t>万元</w:t>
            </w:r>
          </w:p>
        </w:tc>
      </w:tr>
      <w:tr>
        <w:tblPrEx>
          <w:tblLayout w:type="fixed"/>
          <w:tblCellMar>
            <w:top w:w="0" w:type="dxa"/>
            <w:left w:w="0" w:type="dxa"/>
            <w:bottom w:w="0" w:type="dxa"/>
            <w:right w:w="0" w:type="dxa"/>
          </w:tblCellMar>
        </w:tblPrEx>
        <w:trPr>
          <w:trHeight w:val="362" w:hRule="atLeast"/>
        </w:trPr>
        <w:tc>
          <w:tcPr>
            <w:tcW w:w="5120"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bottom"/>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项目</w:t>
            </w:r>
          </w:p>
        </w:tc>
        <w:tc>
          <w:tcPr>
            <w:tcW w:w="2518"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本年支出合计</w:t>
            </w:r>
          </w:p>
        </w:tc>
        <w:tc>
          <w:tcPr>
            <w:tcW w:w="251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基本支出</w:t>
            </w:r>
          </w:p>
        </w:tc>
        <w:tc>
          <w:tcPr>
            <w:tcW w:w="251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项目支出</w:t>
            </w:r>
          </w:p>
        </w:tc>
        <w:tc>
          <w:tcPr>
            <w:tcW w:w="2518"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上缴上级支出</w:t>
            </w:r>
          </w:p>
        </w:tc>
        <w:tc>
          <w:tcPr>
            <w:tcW w:w="251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经营支出</w:t>
            </w:r>
          </w:p>
        </w:tc>
        <w:tc>
          <w:tcPr>
            <w:tcW w:w="2528"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对附属单位补助支出</w:t>
            </w:r>
          </w:p>
        </w:tc>
      </w:tr>
      <w:tr>
        <w:tblPrEx>
          <w:tblLayout w:type="fixed"/>
          <w:tblCellMar>
            <w:top w:w="0" w:type="dxa"/>
            <w:left w:w="0" w:type="dxa"/>
            <w:bottom w:w="0" w:type="dxa"/>
            <w:right w:w="0" w:type="dxa"/>
          </w:tblCellMar>
        </w:tblPrEx>
        <w:trPr>
          <w:trHeight w:val="338" w:hRule="atLeast"/>
        </w:trPr>
        <w:tc>
          <w:tcPr>
            <w:tcW w:w="190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功能分类科目编码</w:t>
            </w:r>
          </w:p>
        </w:tc>
        <w:tc>
          <w:tcPr>
            <w:tcW w:w="3220" w:type="dxa"/>
            <w:vMerge w:val="restart"/>
            <w:tcBorders>
              <w:top w:val="nil"/>
              <w:left w:val="nil"/>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项目（按“项”级功能分类科目）</w:t>
            </w:r>
          </w:p>
        </w:tc>
        <w:tc>
          <w:tcPr>
            <w:tcW w:w="251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1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1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1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1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2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r>
      <w:tr>
        <w:tblPrEx>
          <w:tblLayout w:type="fixed"/>
          <w:tblCellMar>
            <w:top w:w="0" w:type="dxa"/>
            <w:left w:w="0" w:type="dxa"/>
            <w:bottom w:w="0" w:type="dxa"/>
            <w:right w:w="0" w:type="dxa"/>
          </w:tblCellMar>
        </w:tblPrEx>
        <w:trPr>
          <w:trHeight w:val="338" w:hRule="atLeast"/>
        </w:trPr>
        <w:tc>
          <w:tcPr>
            <w:tcW w:w="190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3220"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1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1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1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1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1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2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r>
      <w:tr>
        <w:tblPrEx>
          <w:tblLayout w:type="fixed"/>
          <w:tblCellMar>
            <w:top w:w="0" w:type="dxa"/>
            <w:left w:w="0" w:type="dxa"/>
            <w:bottom w:w="0" w:type="dxa"/>
            <w:right w:w="0" w:type="dxa"/>
          </w:tblCellMar>
        </w:tblPrEx>
        <w:trPr>
          <w:trHeight w:val="338" w:hRule="atLeast"/>
        </w:trPr>
        <w:tc>
          <w:tcPr>
            <w:tcW w:w="190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3220"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1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1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1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1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1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2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r>
      <w:tr>
        <w:tblPrEx>
          <w:tblLayout w:type="fixed"/>
          <w:tblCellMar>
            <w:top w:w="0" w:type="dxa"/>
            <w:left w:w="0" w:type="dxa"/>
            <w:bottom w:w="0" w:type="dxa"/>
            <w:right w:w="0" w:type="dxa"/>
          </w:tblCellMar>
        </w:tblPrEx>
        <w:trPr>
          <w:trHeight w:val="338" w:hRule="atLeast"/>
        </w:trPr>
        <w:tc>
          <w:tcPr>
            <w:tcW w:w="190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3220"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1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1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1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1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1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2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r>
      <w:tr>
        <w:tblPrEx>
          <w:tblLayout w:type="fixed"/>
          <w:tblCellMar>
            <w:top w:w="0" w:type="dxa"/>
            <w:left w:w="0" w:type="dxa"/>
            <w:bottom w:w="0" w:type="dxa"/>
            <w:right w:w="0" w:type="dxa"/>
          </w:tblCellMar>
        </w:tblPrEx>
        <w:trPr>
          <w:trHeight w:val="362" w:hRule="atLeast"/>
        </w:trPr>
        <w:tc>
          <w:tcPr>
            <w:tcW w:w="5120"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合计</w:t>
            </w:r>
          </w:p>
        </w:tc>
        <w:tc>
          <w:tcPr>
            <w:tcW w:w="251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194.59 </w:t>
            </w:r>
          </w:p>
        </w:tc>
        <w:tc>
          <w:tcPr>
            <w:tcW w:w="251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164.83 </w:t>
            </w:r>
          </w:p>
        </w:tc>
        <w:tc>
          <w:tcPr>
            <w:tcW w:w="251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29.76 </w:t>
            </w:r>
          </w:p>
        </w:tc>
        <w:tc>
          <w:tcPr>
            <w:tcW w:w="251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 </w:t>
            </w:r>
          </w:p>
        </w:tc>
        <w:tc>
          <w:tcPr>
            <w:tcW w:w="251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 </w:t>
            </w:r>
          </w:p>
        </w:tc>
        <w:tc>
          <w:tcPr>
            <w:tcW w:w="25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 </w:t>
            </w:r>
          </w:p>
        </w:tc>
      </w:tr>
      <w:tr>
        <w:tblPrEx>
          <w:tblLayout w:type="fixed"/>
          <w:tblCellMar>
            <w:top w:w="0" w:type="dxa"/>
            <w:left w:w="0" w:type="dxa"/>
            <w:bottom w:w="0" w:type="dxa"/>
            <w:right w:w="0" w:type="dxa"/>
          </w:tblCellMar>
        </w:tblPrEx>
        <w:trPr>
          <w:trHeight w:val="382" w:hRule="atLeast"/>
        </w:trPr>
        <w:tc>
          <w:tcPr>
            <w:tcW w:w="19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205</w:t>
            </w:r>
          </w:p>
        </w:tc>
        <w:tc>
          <w:tcPr>
            <w:tcW w:w="322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教育支出</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0.38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0.38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82" w:hRule="atLeast"/>
        </w:trPr>
        <w:tc>
          <w:tcPr>
            <w:tcW w:w="19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20508</w:t>
            </w:r>
          </w:p>
        </w:tc>
        <w:tc>
          <w:tcPr>
            <w:tcW w:w="322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进修及培训</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0.38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0.38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82" w:hRule="atLeast"/>
        </w:trPr>
        <w:tc>
          <w:tcPr>
            <w:tcW w:w="19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2050803</w:t>
            </w:r>
          </w:p>
        </w:tc>
        <w:tc>
          <w:tcPr>
            <w:tcW w:w="322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培训支出</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0.38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0.38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82" w:hRule="atLeast"/>
        </w:trPr>
        <w:tc>
          <w:tcPr>
            <w:tcW w:w="19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208</w:t>
            </w:r>
          </w:p>
        </w:tc>
        <w:tc>
          <w:tcPr>
            <w:tcW w:w="322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社会保障和就业支出</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12.60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12.60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82" w:hRule="atLeast"/>
        </w:trPr>
        <w:tc>
          <w:tcPr>
            <w:tcW w:w="19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20805</w:t>
            </w:r>
          </w:p>
        </w:tc>
        <w:tc>
          <w:tcPr>
            <w:tcW w:w="322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行政事业单位养老支出</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12.60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12.60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82" w:hRule="atLeast"/>
        </w:trPr>
        <w:tc>
          <w:tcPr>
            <w:tcW w:w="19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2080505</w:t>
            </w:r>
          </w:p>
        </w:tc>
        <w:tc>
          <w:tcPr>
            <w:tcW w:w="322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机关事业单位基本养老保险缴费支出</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8.45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8.45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82" w:hRule="atLeast"/>
        </w:trPr>
        <w:tc>
          <w:tcPr>
            <w:tcW w:w="19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2080506</w:t>
            </w:r>
          </w:p>
        </w:tc>
        <w:tc>
          <w:tcPr>
            <w:tcW w:w="322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机关事业单位职业年金缴费支出</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4.15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4.15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82" w:hRule="atLeast"/>
        </w:trPr>
        <w:tc>
          <w:tcPr>
            <w:tcW w:w="19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210</w:t>
            </w:r>
          </w:p>
        </w:tc>
        <w:tc>
          <w:tcPr>
            <w:tcW w:w="322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卫生健康支出</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5.02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5.02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82" w:hRule="atLeast"/>
        </w:trPr>
        <w:tc>
          <w:tcPr>
            <w:tcW w:w="19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21011</w:t>
            </w:r>
          </w:p>
        </w:tc>
        <w:tc>
          <w:tcPr>
            <w:tcW w:w="322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行政事业单位医疗</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5.02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5.02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82" w:hRule="atLeast"/>
        </w:trPr>
        <w:tc>
          <w:tcPr>
            <w:tcW w:w="19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2101102</w:t>
            </w:r>
          </w:p>
        </w:tc>
        <w:tc>
          <w:tcPr>
            <w:tcW w:w="322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事业单位医疗</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5.02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5.02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82" w:hRule="atLeast"/>
        </w:trPr>
        <w:tc>
          <w:tcPr>
            <w:tcW w:w="19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214</w:t>
            </w:r>
          </w:p>
        </w:tc>
        <w:tc>
          <w:tcPr>
            <w:tcW w:w="322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交通运输支出</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164.31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134.54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29.76 </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82" w:hRule="atLeast"/>
        </w:trPr>
        <w:tc>
          <w:tcPr>
            <w:tcW w:w="19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21401</w:t>
            </w:r>
          </w:p>
        </w:tc>
        <w:tc>
          <w:tcPr>
            <w:tcW w:w="322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公路水路运输</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0.03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0.03 </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82" w:hRule="atLeast"/>
        </w:trPr>
        <w:tc>
          <w:tcPr>
            <w:tcW w:w="19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2140199</w:t>
            </w:r>
          </w:p>
        </w:tc>
        <w:tc>
          <w:tcPr>
            <w:tcW w:w="322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其他公路水路运输支出</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0.03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0.03 </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82" w:hRule="atLeast"/>
        </w:trPr>
        <w:tc>
          <w:tcPr>
            <w:tcW w:w="19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21405</w:t>
            </w:r>
          </w:p>
        </w:tc>
        <w:tc>
          <w:tcPr>
            <w:tcW w:w="322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邮政业支出</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164.28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134.54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29.73 </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82" w:hRule="atLeast"/>
        </w:trPr>
        <w:tc>
          <w:tcPr>
            <w:tcW w:w="19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2140599</w:t>
            </w:r>
          </w:p>
        </w:tc>
        <w:tc>
          <w:tcPr>
            <w:tcW w:w="322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其他邮政业支出</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164.28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134.54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29.73 </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82" w:hRule="atLeast"/>
        </w:trPr>
        <w:tc>
          <w:tcPr>
            <w:tcW w:w="19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221</w:t>
            </w:r>
          </w:p>
        </w:tc>
        <w:tc>
          <w:tcPr>
            <w:tcW w:w="322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住房保障支出</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12.29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12.29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82" w:hRule="atLeast"/>
        </w:trPr>
        <w:tc>
          <w:tcPr>
            <w:tcW w:w="19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22102</w:t>
            </w:r>
          </w:p>
        </w:tc>
        <w:tc>
          <w:tcPr>
            <w:tcW w:w="322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住房改革支出</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12.29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b/>
                <w:color w:val="000000"/>
                <w:sz w:val="21"/>
                <w:szCs w:val="21"/>
                <w:lang w:bidi="ar"/>
              </w:rPr>
              <w:t xml:space="preserve">12.29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82" w:hRule="atLeast"/>
        </w:trPr>
        <w:tc>
          <w:tcPr>
            <w:tcW w:w="190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2210201</w:t>
            </w:r>
          </w:p>
        </w:tc>
        <w:tc>
          <w:tcPr>
            <w:tcW w:w="322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住房公积金</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12.29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12.29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c>
          <w:tcPr>
            <w:tcW w:w="252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18"/>
                <w:szCs w:val="18"/>
              </w:rPr>
            </w:pPr>
            <w:r>
              <w:rPr>
                <w:rFonts w:hint="default" w:ascii="Times New Roman" w:hAnsi="Times New Roman" w:eastAsia="方正仿宋_GBK" w:cs="Times New Roman"/>
                <w:color w:val="000000"/>
                <w:sz w:val="21"/>
                <w:szCs w:val="21"/>
                <w:lang w:bidi="ar"/>
              </w:rPr>
              <w:t xml:space="preserve"> </w:t>
            </w:r>
          </w:p>
        </w:tc>
      </w:tr>
    </w:tbl>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cs="Times New Roman"/>
          <w:sz w:val="21"/>
          <w:szCs w:val="21"/>
        </w:rPr>
      </w:pPr>
      <w:r>
        <w:rPr>
          <w:rFonts w:hint="default" w:ascii="Times New Roman" w:hAnsi="Times New Roman" w:eastAsia="方正仿宋_GBK" w:cs="Times New Roman"/>
          <w:sz w:val="21"/>
          <w:szCs w:val="21"/>
          <w:lang w:bidi="ar"/>
        </w:rPr>
        <w:t>备注：1.本表反映单位本年度各项支出情况。</w:t>
      </w:r>
      <w:r>
        <w:rPr>
          <w:rFonts w:hint="default" w:ascii="Times New Roman" w:hAnsi="Times New Roman" w:eastAsia="方正仿宋_GBK" w:cs="Times New Roman"/>
          <w:sz w:val="21"/>
          <w:szCs w:val="21"/>
          <w:lang w:bidi="ar"/>
        </w:rPr>
        <w:br w:type="textWrapping"/>
      </w:r>
      <w:r>
        <w:rPr>
          <w:rFonts w:hint="default" w:ascii="Times New Roman" w:hAnsi="Times New Roman" w:eastAsia="方正仿宋_GBK" w:cs="Times New Roman"/>
          <w:sz w:val="21"/>
          <w:szCs w:val="21"/>
          <w:lang w:bidi="ar"/>
        </w:rPr>
        <w:t xml:space="preserve">      2.本套报表金额单位转换时可能存在尾数误差。</w:t>
      </w:r>
      <w:r>
        <w:rPr>
          <w:rFonts w:hint="default" w:ascii="Times New Roman" w:hAnsi="Times New Roman" w:eastAsia="方正仿宋_GBK" w:cs="Times New Roman"/>
          <w:sz w:val="21"/>
          <w:szCs w:val="21"/>
          <w:lang w:bidi="ar"/>
        </w:rPr>
        <w:br w:type="textWrapping"/>
      </w:r>
      <w:r>
        <w:rPr>
          <w:rFonts w:hint="default" w:ascii="Times New Roman" w:hAnsi="Times New Roman" w:eastAsia="方正仿宋_GBK" w:cs="Times New Roman"/>
          <w:sz w:val="21"/>
          <w:szCs w:val="21"/>
        </w:rPr>
        <w:br w:type="textWrapping"/>
      </w:r>
    </w:p>
    <w:p>
      <w:pPr>
        <w:rPr>
          <w:rFonts w:hint="default" w:ascii="Times New Roman" w:hAnsi="Times New Roman" w:cs="Times New Roman"/>
          <w:sz w:val="21"/>
          <w:szCs w:val="21"/>
          <w:lang w:bidi="ar"/>
        </w:rPr>
      </w:pPr>
      <w:r>
        <w:rPr>
          <w:rFonts w:hint="default" w:ascii="Times New Roman" w:hAnsi="Times New Roman" w:cs="Times New Roman"/>
          <w:sz w:val="21"/>
          <w:szCs w:val="21"/>
          <w:lang w:bidi="ar"/>
        </w:rPr>
        <w:br w:type="page"/>
      </w:r>
    </w:p>
    <w:tbl>
      <w:tblPr>
        <w:tblStyle w:val="8"/>
        <w:tblpPr w:leftFromText="180" w:rightFromText="180" w:vertAnchor="text" w:horzAnchor="page" w:tblpX="1459" w:tblpY="286"/>
        <w:tblOverlap w:val="never"/>
        <w:tblW w:w="20241" w:type="dxa"/>
        <w:tblInd w:w="0" w:type="dxa"/>
        <w:tblLayout w:type="fixed"/>
        <w:tblCellMar>
          <w:top w:w="0" w:type="dxa"/>
          <w:left w:w="0" w:type="dxa"/>
          <w:bottom w:w="0" w:type="dxa"/>
          <w:right w:w="0" w:type="dxa"/>
        </w:tblCellMar>
      </w:tblPr>
      <w:tblGrid>
        <w:gridCol w:w="3682"/>
        <w:gridCol w:w="2421"/>
        <w:gridCol w:w="3397"/>
        <w:gridCol w:w="2672"/>
        <w:gridCol w:w="2672"/>
        <w:gridCol w:w="2672"/>
        <w:gridCol w:w="1"/>
        <w:gridCol w:w="2724"/>
      </w:tblGrid>
      <w:tr>
        <w:tblPrEx>
          <w:tblLayout w:type="fixed"/>
          <w:tblCellMar>
            <w:top w:w="0" w:type="dxa"/>
            <w:left w:w="0" w:type="dxa"/>
            <w:bottom w:w="0" w:type="dxa"/>
            <w:right w:w="0" w:type="dxa"/>
          </w:tblCellMar>
        </w:tblPrEx>
        <w:trPr>
          <w:trHeight w:val="90" w:hRule="atLeast"/>
        </w:trPr>
        <w:tc>
          <w:tcPr>
            <w:tcW w:w="20241" w:type="dxa"/>
            <w:gridSpan w:val="8"/>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wordWrap/>
              <w:overflowPunct/>
              <w:topLinePunct w:val="0"/>
              <w:autoSpaceDE/>
              <w:autoSpaceDN/>
              <w:bidi w:val="0"/>
              <w:adjustRightInd/>
              <w:snapToGrid/>
              <w:spacing w:line="640" w:lineRule="exact"/>
              <w:ind w:left="0" w:leftChars="0" w:right="0" w:rightChars="0" w:firstLine="0" w:firstLineChars="0"/>
              <w:jc w:val="center"/>
              <w:textAlignment w:val="bottom"/>
              <w:outlineLvl w:val="9"/>
              <w:rPr>
                <w:rFonts w:hint="default" w:ascii="Times New Roman" w:hAnsi="Times New Roman" w:cs="Times New Roman"/>
                <w:b/>
                <w:color w:val="000000"/>
                <w:sz w:val="40"/>
                <w:szCs w:val="40"/>
              </w:rPr>
            </w:pPr>
            <w:r>
              <w:rPr>
                <w:rFonts w:hint="default" w:ascii="Times New Roman" w:hAnsi="Times New Roman" w:eastAsia="方正小标宋_GBK" w:cs="Times New Roman"/>
                <w:b w:val="0"/>
                <w:bCs/>
                <w:color w:val="000000"/>
                <w:sz w:val="44"/>
                <w:szCs w:val="44"/>
                <w:lang w:bidi="ar"/>
              </w:rPr>
              <w:t>财政拨款收入支出决算总表</w:t>
            </w:r>
          </w:p>
        </w:tc>
      </w:tr>
      <w:tr>
        <w:tblPrEx>
          <w:tblLayout w:type="fixed"/>
          <w:tblCellMar>
            <w:top w:w="0" w:type="dxa"/>
            <w:left w:w="0" w:type="dxa"/>
            <w:bottom w:w="0" w:type="dxa"/>
            <w:right w:w="0" w:type="dxa"/>
          </w:tblCellMar>
        </w:tblPrEx>
        <w:trPr>
          <w:trHeight w:val="90" w:hRule="atLeast"/>
        </w:trPr>
        <w:tc>
          <w:tcPr>
            <w:tcW w:w="6103" w:type="dxa"/>
            <w:gridSpan w:val="2"/>
            <w:vMerge w:val="restart"/>
            <w:tcBorders>
              <w:top w:val="nil"/>
              <w:left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rPr>
              <w:t>公开单位</w:t>
            </w:r>
            <w:r>
              <w:rPr>
                <w:rFonts w:hint="default" w:ascii="Times New Roman" w:hAnsi="Times New Roman" w:eastAsia="方正仿宋_GBK" w:cs="Times New Roman"/>
                <w:color w:val="000000"/>
                <w:lang w:bidi="ar"/>
              </w:rPr>
              <w:t xml:space="preserve">： </w:t>
            </w:r>
            <w:r>
              <w:rPr>
                <w:rFonts w:hint="default" w:ascii="Times New Roman" w:hAnsi="Times New Roman" w:eastAsia="方正仿宋_GBK" w:cs="Times New Roman"/>
                <w:color w:val="000000"/>
              </w:rPr>
              <w:t>垫江县邮政业发展服务中心</w:t>
            </w:r>
          </w:p>
        </w:tc>
        <w:tc>
          <w:tcPr>
            <w:tcW w:w="3397"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672"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672"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672"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725" w:type="dxa"/>
            <w:gridSpan w:val="2"/>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lang w:bidi="ar"/>
              </w:rPr>
              <w:t>公开04表</w:t>
            </w:r>
          </w:p>
        </w:tc>
      </w:tr>
      <w:tr>
        <w:tblPrEx>
          <w:tblLayout w:type="fixed"/>
          <w:tblCellMar>
            <w:top w:w="0" w:type="dxa"/>
            <w:left w:w="0" w:type="dxa"/>
            <w:bottom w:w="0" w:type="dxa"/>
            <w:right w:w="0" w:type="dxa"/>
          </w:tblCellMar>
        </w:tblPrEx>
        <w:trPr>
          <w:trHeight w:val="90" w:hRule="atLeast"/>
        </w:trPr>
        <w:tc>
          <w:tcPr>
            <w:tcW w:w="6103" w:type="dxa"/>
            <w:gridSpan w:val="2"/>
            <w:vMerge w:val="continue"/>
            <w:tcBorders>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397"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672"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672"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672"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725" w:type="dxa"/>
            <w:gridSpan w:val="2"/>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lang w:bidi="ar"/>
              </w:rPr>
              <w:t>单位：</w:t>
            </w:r>
            <w:r>
              <w:rPr>
                <w:rFonts w:hint="default" w:ascii="Times New Roman" w:hAnsi="Times New Roman" w:eastAsia="方正仿宋_GBK" w:cs="Times New Roman"/>
              </w:rPr>
              <w:t>万元</w:t>
            </w:r>
          </w:p>
        </w:tc>
      </w:tr>
      <w:tr>
        <w:tblPrEx>
          <w:tblLayout w:type="fixed"/>
          <w:tblCellMar>
            <w:top w:w="0" w:type="dxa"/>
            <w:left w:w="0" w:type="dxa"/>
            <w:bottom w:w="0" w:type="dxa"/>
            <w:right w:w="0" w:type="dxa"/>
          </w:tblCellMar>
        </w:tblPrEx>
        <w:trPr>
          <w:trHeight w:val="90" w:hRule="atLeast"/>
        </w:trPr>
        <w:tc>
          <w:tcPr>
            <w:tcW w:w="6103"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收     入</w:t>
            </w:r>
          </w:p>
        </w:tc>
        <w:tc>
          <w:tcPr>
            <w:tcW w:w="14138" w:type="dxa"/>
            <w:gridSpan w:val="6"/>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支     出</w:t>
            </w:r>
          </w:p>
        </w:tc>
      </w:tr>
      <w:tr>
        <w:tblPrEx>
          <w:tblLayout w:type="fixed"/>
          <w:tblCellMar>
            <w:top w:w="0" w:type="dxa"/>
            <w:left w:w="0" w:type="dxa"/>
            <w:bottom w:w="0" w:type="dxa"/>
            <w:right w:w="0" w:type="dxa"/>
          </w:tblCellMar>
        </w:tblPrEx>
        <w:trPr>
          <w:trHeight w:val="90" w:hRule="atLeast"/>
        </w:trPr>
        <w:tc>
          <w:tcPr>
            <w:tcW w:w="3682"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项目</w:t>
            </w:r>
          </w:p>
        </w:tc>
        <w:tc>
          <w:tcPr>
            <w:tcW w:w="2421"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决算数</w:t>
            </w:r>
          </w:p>
        </w:tc>
        <w:tc>
          <w:tcPr>
            <w:tcW w:w="339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功能分类科目</w:t>
            </w:r>
          </w:p>
        </w:tc>
        <w:tc>
          <w:tcPr>
            <w:tcW w:w="10741" w:type="dxa"/>
            <w:gridSpan w:val="5"/>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决算数</w:t>
            </w:r>
          </w:p>
        </w:tc>
      </w:tr>
      <w:tr>
        <w:tblPrEx>
          <w:tblLayout w:type="fixed"/>
          <w:tblCellMar>
            <w:top w:w="0" w:type="dxa"/>
            <w:left w:w="0" w:type="dxa"/>
            <w:bottom w:w="0" w:type="dxa"/>
            <w:right w:w="0" w:type="dxa"/>
          </w:tblCellMar>
        </w:tblPrEx>
        <w:trPr>
          <w:trHeight w:val="90" w:hRule="atLeast"/>
        </w:trPr>
        <w:tc>
          <w:tcPr>
            <w:tcW w:w="368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42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339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67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小计</w:t>
            </w:r>
          </w:p>
        </w:tc>
        <w:tc>
          <w:tcPr>
            <w:tcW w:w="267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一般公共预算财政拨款</w:t>
            </w:r>
          </w:p>
        </w:tc>
        <w:tc>
          <w:tcPr>
            <w:tcW w:w="2673"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政府性基金预算财政拨款</w:t>
            </w:r>
          </w:p>
        </w:tc>
        <w:tc>
          <w:tcPr>
            <w:tcW w:w="2724"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国有资本经营预算财政拨款</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一、一般公共预算财政拨款</w:t>
            </w: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180.59 </w:t>
            </w: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一、一般公共服务支出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二、政府性基金预算财政拨款</w:t>
            </w: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二、外交支出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三、国有资本经营预算财政拨款</w:t>
            </w: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三、国防支出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四、公共安全支出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五、教育支出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0.38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0.38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六、科学技术支出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七、文化旅游体育与传媒支出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八、社会保障和就业支出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12.60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12.60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九、卫生健康支出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5.02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5.02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十、节能环保支出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十一、城乡社区支出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十二、农林水支出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十三、交通运输支出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164.31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164.31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十四、资源勘探工业信息等支出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十五、商业服务业等支出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十六、金融支出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十七、援助其他地区支出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十八、自然资源海洋气象等支出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十九、住房保障支出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12.29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12.29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二十、粮油物资储备支出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二十一、国有资本经营预算支出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二十二、灾害防治及应急管理支出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二十三、其他支出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0"/>
                <w:szCs w:val="20"/>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二十四、债务还本支出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0"/>
                <w:szCs w:val="20"/>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二十五、债务付息支出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0"/>
                <w:szCs w:val="20"/>
              </w:rPr>
            </w:pP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二十六、抗疫特别国债安排的支出</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本年收入合计</w:t>
            </w: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180.59 </w:t>
            </w: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本年支出合计</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194.59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194.59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年初财政拨款结转和结余</w:t>
            </w: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14.00 </w:t>
            </w: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年末财政拨款结转和结余</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一般公共预算财政拨款</w:t>
            </w: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14.00 </w:t>
            </w:r>
          </w:p>
        </w:tc>
        <w:tc>
          <w:tcPr>
            <w:tcW w:w="3397"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政府性基金预算财政拨款</w:t>
            </w: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0"/>
                <w:szCs w:val="20"/>
              </w:rPr>
            </w:pP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0"/>
                <w:szCs w:val="20"/>
              </w:rPr>
            </w:pP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0"/>
                <w:szCs w:val="20"/>
              </w:rPr>
            </w:pP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国有资本经营预算财政拨款</w:t>
            </w: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0"/>
                <w:szCs w:val="20"/>
              </w:rPr>
            </w:pP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0"/>
                <w:szCs w:val="20"/>
              </w:rPr>
            </w:pP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0"/>
                <w:szCs w:val="20"/>
              </w:rPr>
            </w:pP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r>
      <w:tr>
        <w:tblPrEx>
          <w:tblLayout w:type="fixed"/>
          <w:tblCellMar>
            <w:top w:w="0" w:type="dxa"/>
            <w:left w:w="0" w:type="dxa"/>
            <w:bottom w:w="0" w:type="dxa"/>
            <w:right w:w="0" w:type="dxa"/>
          </w:tblCellMar>
        </w:tblPrEx>
        <w:trPr>
          <w:trHeight w:val="90" w:hRule="atLeast"/>
        </w:trPr>
        <w:tc>
          <w:tcPr>
            <w:tcW w:w="368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总计</w:t>
            </w:r>
          </w:p>
        </w:tc>
        <w:tc>
          <w:tcPr>
            <w:tcW w:w="24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194.59 </w:t>
            </w:r>
          </w:p>
        </w:tc>
        <w:tc>
          <w:tcPr>
            <w:tcW w:w="3397"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3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总计</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194.59 </w:t>
            </w:r>
          </w:p>
        </w:tc>
        <w:tc>
          <w:tcPr>
            <w:tcW w:w="267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194.59 </w:t>
            </w:r>
          </w:p>
        </w:tc>
        <w:tc>
          <w:tcPr>
            <w:tcW w:w="2673"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272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3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bl>
    <w:p>
      <w:pPr>
        <w:rPr>
          <w:rFonts w:hint="default" w:ascii="Times New Roman" w:hAnsi="Times New Roman" w:cs="Times New Roman"/>
          <w:sz w:val="21"/>
          <w:szCs w:val="21"/>
        </w:rPr>
      </w:pPr>
      <w:r>
        <w:rPr>
          <w:rFonts w:hint="default" w:ascii="Times New Roman" w:hAnsi="Times New Roman" w:eastAsia="方正仿宋_GBK" w:cs="Times New Roman"/>
          <w:sz w:val="21"/>
          <w:szCs w:val="21"/>
          <w:lang w:bidi="ar"/>
        </w:rPr>
        <w:t>备注：1.本表反映单位本年度一般公共预算财政拨款、政府性基金预算财政拨款及国有资本经营预算财政拨款的总收支和年末结转结余情况。</w:t>
      </w:r>
      <w:r>
        <w:rPr>
          <w:rFonts w:hint="default" w:ascii="Times New Roman" w:hAnsi="Times New Roman" w:eastAsia="方正仿宋_GBK" w:cs="Times New Roman"/>
          <w:sz w:val="21"/>
          <w:szCs w:val="21"/>
          <w:lang w:bidi="ar"/>
        </w:rPr>
        <w:br w:type="textWrapping"/>
      </w:r>
      <w:r>
        <w:rPr>
          <w:rFonts w:hint="default" w:ascii="Times New Roman" w:hAnsi="Times New Roman" w:eastAsia="方正仿宋_GBK" w:cs="Times New Roman"/>
          <w:sz w:val="21"/>
          <w:szCs w:val="21"/>
          <w:lang w:bidi="ar"/>
        </w:rPr>
        <w:t xml:space="preserve">      2.本套报表金额单位转换时可能存在尾数误差。</w:t>
      </w:r>
      <w:r>
        <w:rPr>
          <w:rFonts w:hint="default" w:ascii="Times New Roman" w:hAnsi="Times New Roman" w:cs="Times New Roman"/>
          <w:sz w:val="21"/>
          <w:szCs w:val="21"/>
          <w:lang w:bidi="ar"/>
        </w:rPr>
        <w:br w:type="textWrapping"/>
      </w:r>
    </w:p>
    <w:tbl>
      <w:tblPr>
        <w:tblStyle w:val="8"/>
        <w:tblW w:w="20241" w:type="dxa"/>
        <w:tblInd w:w="0" w:type="dxa"/>
        <w:tblLayout w:type="fixed"/>
        <w:tblCellMar>
          <w:top w:w="0" w:type="dxa"/>
          <w:left w:w="0" w:type="dxa"/>
          <w:bottom w:w="0" w:type="dxa"/>
          <w:right w:w="0" w:type="dxa"/>
        </w:tblCellMar>
      </w:tblPr>
      <w:tblGrid>
        <w:gridCol w:w="2445"/>
        <w:gridCol w:w="4676"/>
        <w:gridCol w:w="4372"/>
        <w:gridCol w:w="4372"/>
        <w:gridCol w:w="1"/>
        <w:gridCol w:w="4375"/>
      </w:tblGrid>
      <w:tr>
        <w:tblPrEx>
          <w:tblLayout w:type="fixed"/>
          <w:tblCellMar>
            <w:top w:w="0" w:type="dxa"/>
            <w:left w:w="0" w:type="dxa"/>
            <w:bottom w:w="0" w:type="dxa"/>
            <w:right w:w="0" w:type="dxa"/>
          </w:tblCellMar>
        </w:tblPrEx>
        <w:trPr>
          <w:trHeight w:val="510" w:hRule="atLeast"/>
        </w:trPr>
        <w:tc>
          <w:tcPr>
            <w:tcW w:w="20241" w:type="dxa"/>
            <w:gridSpan w:val="6"/>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wordWrap/>
              <w:overflowPunct/>
              <w:topLinePunct w:val="0"/>
              <w:autoSpaceDE/>
              <w:autoSpaceDN/>
              <w:bidi w:val="0"/>
              <w:adjustRightInd/>
              <w:snapToGrid/>
              <w:spacing w:line="640" w:lineRule="exact"/>
              <w:ind w:left="0" w:leftChars="0" w:right="0" w:rightChars="0" w:firstLine="0" w:firstLineChars="0"/>
              <w:jc w:val="center"/>
              <w:textAlignment w:val="bottom"/>
              <w:outlineLvl w:val="9"/>
              <w:rPr>
                <w:rFonts w:hint="default" w:ascii="Times New Roman" w:hAnsi="Times New Roman" w:cs="Times New Roman"/>
                <w:b/>
                <w:color w:val="000000"/>
                <w:sz w:val="40"/>
                <w:szCs w:val="40"/>
              </w:rPr>
            </w:pPr>
            <w:r>
              <w:rPr>
                <w:rFonts w:hint="default" w:ascii="Times New Roman" w:hAnsi="Times New Roman" w:eastAsia="方正小标宋_GBK" w:cs="Times New Roman"/>
                <w:b w:val="0"/>
                <w:bCs/>
                <w:color w:val="000000"/>
                <w:sz w:val="44"/>
                <w:szCs w:val="44"/>
                <w:lang w:bidi="ar"/>
              </w:rPr>
              <w:t>一般公共预算财政拨款支出决算表</w:t>
            </w:r>
          </w:p>
        </w:tc>
      </w:tr>
      <w:tr>
        <w:tblPrEx>
          <w:tblLayout w:type="fixed"/>
          <w:tblCellMar>
            <w:top w:w="0" w:type="dxa"/>
            <w:left w:w="0" w:type="dxa"/>
            <w:bottom w:w="0" w:type="dxa"/>
            <w:right w:w="0" w:type="dxa"/>
          </w:tblCellMar>
        </w:tblPrEx>
        <w:trPr>
          <w:trHeight w:val="255" w:hRule="atLeast"/>
        </w:trPr>
        <w:tc>
          <w:tcPr>
            <w:tcW w:w="7121" w:type="dxa"/>
            <w:gridSpan w:val="2"/>
            <w:vMerge w:val="restart"/>
            <w:tcBorders>
              <w:top w:val="nil"/>
              <w:left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rPr>
              <w:t>公开单位</w:t>
            </w:r>
            <w:r>
              <w:rPr>
                <w:rFonts w:hint="default" w:ascii="Times New Roman" w:hAnsi="Times New Roman" w:eastAsia="方正仿宋_GBK" w:cs="Times New Roman"/>
                <w:color w:val="000000"/>
                <w:lang w:bidi="ar"/>
              </w:rPr>
              <w:t xml:space="preserve">： </w:t>
            </w:r>
            <w:r>
              <w:rPr>
                <w:rFonts w:hint="default" w:ascii="Times New Roman" w:hAnsi="Times New Roman" w:eastAsia="方正仿宋_GBK" w:cs="Times New Roman"/>
                <w:color w:val="000000"/>
              </w:rPr>
              <w:t>垫江县邮政业发展服务中心</w:t>
            </w:r>
          </w:p>
        </w:tc>
        <w:tc>
          <w:tcPr>
            <w:tcW w:w="4372"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4372"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4376" w:type="dxa"/>
            <w:gridSpan w:val="2"/>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lang w:bidi="ar"/>
              </w:rPr>
              <w:t>公开05表</w:t>
            </w:r>
          </w:p>
        </w:tc>
      </w:tr>
      <w:tr>
        <w:tblPrEx>
          <w:tblLayout w:type="fixed"/>
          <w:tblCellMar>
            <w:top w:w="0" w:type="dxa"/>
            <w:left w:w="0" w:type="dxa"/>
            <w:bottom w:w="0" w:type="dxa"/>
            <w:right w:w="0" w:type="dxa"/>
          </w:tblCellMar>
        </w:tblPrEx>
        <w:trPr>
          <w:trHeight w:val="285" w:hRule="atLeast"/>
        </w:trPr>
        <w:tc>
          <w:tcPr>
            <w:tcW w:w="7121" w:type="dxa"/>
            <w:gridSpan w:val="2"/>
            <w:vMerge w:val="continue"/>
            <w:tcBorders>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4372"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4372"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4376" w:type="dxa"/>
            <w:gridSpan w:val="2"/>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lang w:bidi="ar"/>
              </w:rPr>
              <w:t>单位：</w:t>
            </w:r>
            <w:r>
              <w:rPr>
                <w:rFonts w:hint="default" w:ascii="Times New Roman" w:hAnsi="Times New Roman" w:eastAsia="方正仿宋_GBK" w:cs="Times New Roman"/>
              </w:rPr>
              <w:t>万元</w:t>
            </w:r>
          </w:p>
        </w:tc>
      </w:tr>
      <w:tr>
        <w:tblPrEx>
          <w:tblLayout w:type="fixed"/>
          <w:tblCellMar>
            <w:top w:w="0" w:type="dxa"/>
            <w:left w:w="0" w:type="dxa"/>
            <w:bottom w:w="0" w:type="dxa"/>
            <w:right w:w="0" w:type="dxa"/>
          </w:tblCellMar>
        </w:tblPrEx>
        <w:trPr>
          <w:trHeight w:val="308" w:hRule="atLeast"/>
        </w:trPr>
        <w:tc>
          <w:tcPr>
            <w:tcW w:w="7121"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项目</w:t>
            </w:r>
          </w:p>
        </w:tc>
        <w:tc>
          <w:tcPr>
            <w:tcW w:w="13120" w:type="dxa"/>
            <w:gridSpan w:val="4"/>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本年支出</w:t>
            </w:r>
          </w:p>
        </w:tc>
      </w:tr>
      <w:tr>
        <w:tblPrEx>
          <w:tblLayout w:type="fixed"/>
          <w:tblCellMar>
            <w:top w:w="0" w:type="dxa"/>
            <w:left w:w="0" w:type="dxa"/>
            <w:bottom w:w="0" w:type="dxa"/>
            <w:right w:w="0" w:type="dxa"/>
          </w:tblCellMar>
        </w:tblPrEx>
        <w:trPr>
          <w:trHeight w:val="312" w:hRule="atLeast"/>
        </w:trPr>
        <w:tc>
          <w:tcPr>
            <w:tcW w:w="2445"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功能分类科目编码</w:t>
            </w:r>
          </w:p>
        </w:tc>
        <w:tc>
          <w:tcPr>
            <w:tcW w:w="4676"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项目（按“项”级功能分类科目）</w:t>
            </w:r>
          </w:p>
        </w:tc>
        <w:tc>
          <w:tcPr>
            <w:tcW w:w="437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合计</w:t>
            </w:r>
          </w:p>
        </w:tc>
        <w:tc>
          <w:tcPr>
            <w:tcW w:w="4373" w:type="dxa"/>
            <w:gridSpan w:val="2"/>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基本支出</w:t>
            </w:r>
          </w:p>
        </w:tc>
        <w:tc>
          <w:tcPr>
            <w:tcW w:w="437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项目支出</w:t>
            </w:r>
          </w:p>
        </w:tc>
      </w:tr>
      <w:tr>
        <w:tblPrEx>
          <w:tblLayout w:type="fixed"/>
          <w:tblCellMar>
            <w:top w:w="0" w:type="dxa"/>
            <w:left w:w="0" w:type="dxa"/>
            <w:bottom w:w="0" w:type="dxa"/>
            <w:right w:w="0" w:type="dxa"/>
          </w:tblCellMar>
        </w:tblPrEx>
        <w:trPr>
          <w:trHeight w:val="312" w:hRule="atLeast"/>
        </w:trPr>
        <w:tc>
          <w:tcPr>
            <w:tcW w:w="2445"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67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37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373" w:type="dxa"/>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37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r>
      <w:tr>
        <w:tblPrEx>
          <w:tblLayout w:type="fixed"/>
          <w:tblCellMar>
            <w:top w:w="0" w:type="dxa"/>
            <w:left w:w="0" w:type="dxa"/>
            <w:bottom w:w="0" w:type="dxa"/>
            <w:right w:w="0" w:type="dxa"/>
          </w:tblCellMar>
        </w:tblPrEx>
        <w:trPr>
          <w:trHeight w:val="615" w:hRule="atLeast"/>
        </w:trPr>
        <w:tc>
          <w:tcPr>
            <w:tcW w:w="2445"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67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37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373" w:type="dxa"/>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37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r>
      <w:tr>
        <w:tblPrEx>
          <w:tblLayout w:type="fixed"/>
          <w:tblCellMar>
            <w:top w:w="0" w:type="dxa"/>
            <w:left w:w="0" w:type="dxa"/>
            <w:bottom w:w="0" w:type="dxa"/>
            <w:right w:w="0" w:type="dxa"/>
          </w:tblCellMar>
        </w:tblPrEx>
        <w:trPr>
          <w:trHeight w:val="308" w:hRule="atLeast"/>
        </w:trPr>
        <w:tc>
          <w:tcPr>
            <w:tcW w:w="7121"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合计</w:t>
            </w:r>
          </w:p>
        </w:tc>
        <w:tc>
          <w:tcPr>
            <w:tcW w:w="437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194.59 </w:t>
            </w:r>
          </w:p>
        </w:tc>
        <w:tc>
          <w:tcPr>
            <w:tcW w:w="437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164.83 </w:t>
            </w:r>
          </w:p>
        </w:tc>
        <w:tc>
          <w:tcPr>
            <w:tcW w:w="43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29.76 </w:t>
            </w:r>
          </w:p>
        </w:tc>
      </w:tr>
      <w:tr>
        <w:tblPrEx>
          <w:tblLayout w:type="fixed"/>
          <w:tblCellMar>
            <w:top w:w="0" w:type="dxa"/>
            <w:left w:w="0" w:type="dxa"/>
            <w:bottom w:w="0" w:type="dxa"/>
            <w:right w:w="0" w:type="dxa"/>
          </w:tblCellMar>
        </w:tblPrEx>
        <w:trPr>
          <w:trHeight w:val="308" w:hRule="atLeast"/>
        </w:trPr>
        <w:tc>
          <w:tcPr>
            <w:tcW w:w="244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205</w:t>
            </w:r>
          </w:p>
        </w:tc>
        <w:tc>
          <w:tcPr>
            <w:tcW w:w="46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教育支出</w:t>
            </w:r>
          </w:p>
        </w:tc>
        <w:tc>
          <w:tcPr>
            <w:tcW w:w="437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0.38 </w:t>
            </w:r>
          </w:p>
        </w:tc>
        <w:tc>
          <w:tcPr>
            <w:tcW w:w="437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0.38 </w:t>
            </w:r>
          </w:p>
        </w:tc>
        <w:tc>
          <w:tcPr>
            <w:tcW w:w="43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244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20508</w:t>
            </w:r>
          </w:p>
        </w:tc>
        <w:tc>
          <w:tcPr>
            <w:tcW w:w="46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进修及培训</w:t>
            </w:r>
          </w:p>
        </w:tc>
        <w:tc>
          <w:tcPr>
            <w:tcW w:w="437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0.38 </w:t>
            </w:r>
          </w:p>
        </w:tc>
        <w:tc>
          <w:tcPr>
            <w:tcW w:w="437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0.38 </w:t>
            </w:r>
          </w:p>
        </w:tc>
        <w:tc>
          <w:tcPr>
            <w:tcW w:w="43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244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2050803</w:t>
            </w:r>
          </w:p>
        </w:tc>
        <w:tc>
          <w:tcPr>
            <w:tcW w:w="46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培训支出</w:t>
            </w:r>
          </w:p>
        </w:tc>
        <w:tc>
          <w:tcPr>
            <w:tcW w:w="437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0.38 </w:t>
            </w:r>
          </w:p>
        </w:tc>
        <w:tc>
          <w:tcPr>
            <w:tcW w:w="437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0.38 </w:t>
            </w:r>
          </w:p>
        </w:tc>
        <w:tc>
          <w:tcPr>
            <w:tcW w:w="43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244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208</w:t>
            </w:r>
          </w:p>
        </w:tc>
        <w:tc>
          <w:tcPr>
            <w:tcW w:w="46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社会保障和就业支出</w:t>
            </w:r>
          </w:p>
        </w:tc>
        <w:tc>
          <w:tcPr>
            <w:tcW w:w="437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12.60 </w:t>
            </w:r>
          </w:p>
        </w:tc>
        <w:tc>
          <w:tcPr>
            <w:tcW w:w="437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12.60 </w:t>
            </w:r>
          </w:p>
        </w:tc>
        <w:tc>
          <w:tcPr>
            <w:tcW w:w="43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244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20805</w:t>
            </w:r>
          </w:p>
        </w:tc>
        <w:tc>
          <w:tcPr>
            <w:tcW w:w="46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行政事业单位养老支出</w:t>
            </w:r>
          </w:p>
        </w:tc>
        <w:tc>
          <w:tcPr>
            <w:tcW w:w="437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12.60 </w:t>
            </w:r>
          </w:p>
        </w:tc>
        <w:tc>
          <w:tcPr>
            <w:tcW w:w="437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12.60 </w:t>
            </w:r>
          </w:p>
        </w:tc>
        <w:tc>
          <w:tcPr>
            <w:tcW w:w="43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244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2080505</w:t>
            </w:r>
          </w:p>
        </w:tc>
        <w:tc>
          <w:tcPr>
            <w:tcW w:w="46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机关事业单位基本养老保险缴费支出</w:t>
            </w:r>
          </w:p>
        </w:tc>
        <w:tc>
          <w:tcPr>
            <w:tcW w:w="437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8.45 </w:t>
            </w:r>
          </w:p>
        </w:tc>
        <w:tc>
          <w:tcPr>
            <w:tcW w:w="437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8.45 </w:t>
            </w:r>
          </w:p>
        </w:tc>
        <w:tc>
          <w:tcPr>
            <w:tcW w:w="43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244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2080506</w:t>
            </w:r>
          </w:p>
        </w:tc>
        <w:tc>
          <w:tcPr>
            <w:tcW w:w="46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机关事业单位职业年金缴费支出</w:t>
            </w:r>
          </w:p>
        </w:tc>
        <w:tc>
          <w:tcPr>
            <w:tcW w:w="437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4.15 </w:t>
            </w:r>
          </w:p>
        </w:tc>
        <w:tc>
          <w:tcPr>
            <w:tcW w:w="437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4.15 </w:t>
            </w:r>
          </w:p>
        </w:tc>
        <w:tc>
          <w:tcPr>
            <w:tcW w:w="43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244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210</w:t>
            </w:r>
          </w:p>
        </w:tc>
        <w:tc>
          <w:tcPr>
            <w:tcW w:w="46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卫生健康支出</w:t>
            </w:r>
          </w:p>
        </w:tc>
        <w:tc>
          <w:tcPr>
            <w:tcW w:w="437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5.02 </w:t>
            </w:r>
          </w:p>
        </w:tc>
        <w:tc>
          <w:tcPr>
            <w:tcW w:w="437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5.02 </w:t>
            </w:r>
          </w:p>
        </w:tc>
        <w:tc>
          <w:tcPr>
            <w:tcW w:w="43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244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21011</w:t>
            </w:r>
          </w:p>
        </w:tc>
        <w:tc>
          <w:tcPr>
            <w:tcW w:w="46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行政事业单位医疗</w:t>
            </w:r>
          </w:p>
        </w:tc>
        <w:tc>
          <w:tcPr>
            <w:tcW w:w="437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5.02 </w:t>
            </w:r>
          </w:p>
        </w:tc>
        <w:tc>
          <w:tcPr>
            <w:tcW w:w="437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5.02 </w:t>
            </w:r>
          </w:p>
        </w:tc>
        <w:tc>
          <w:tcPr>
            <w:tcW w:w="43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244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2101102</w:t>
            </w:r>
          </w:p>
        </w:tc>
        <w:tc>
          <w:tcPr>
            <w:tcW w:w="46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事业单位医疗</w:t>
            </w:r>
          </w:p>
        </w:tc>
        <w:tc>
          <w:tcPr>
            <w:tcW w:w="437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5.02 </w:t>
            </w:r>
          </w:p>
        </w:tc>
        <w:tc>
          <w:tcPr>
            <w:tcW w:w="437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5.02 </w:t>
            </w:r>
          </w:p>
        </w:tc>
        <w:tc>
          <w:tcPr>
            <w:tcW w:w="43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244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214</w:t>
            </w:r>
          </w:p>
        </w:tc>
        <w:tc>
          <w:tcPr>
            <w:tcW w:w="46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交通运输支出</w:t>
            </w:r>
          </w:p>
        </w:tc>
        <w:tc>
          <w:tcPr>
            <w:tcW w:w="437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164.31 </w:t>
            </w:r>
          </w:p>
        </w:tc>
        <w:tc>
          <w:tcPr>
            <w:tcW w:w="437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134.54 </w:t>
            </w:r>
          </w:p>
        </w:tc>
        <w:tc>
          <w:tcPr>
            <w:tcW w:w="43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29.76 </w:t>
            </w:r>
          </w:p>
        </w:tc>
      </w:tr>
      <w:tr>
        <w:tblPrEx>
          <w:tblLayout w:type="fixed"/>
          <w:tblCellMar>
            <w:top w:w="0" w:type="dxa"/>
            <w:left w:w="0" w:type="dxa"/>
            <w:bottom w:w="0" w:type="dxa"/>
            <w:right w:w="0" w:type="dxa"/>
          </w:tblCellMar>
        </w:tblPrEx>
        <w:trPr>
          <w:trHeight w:val="308" w:hRule="atLeast"/>
        </w:trPr>
        <w:tc>
          <w:tcPr>
            <w:tcW w:w="244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21401</w:t>
            </w:r>
          </w:p>
        </w:tc>
        <w:tc>
          <w:tcPr>
            <w:tcW w:w="46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公路水路运输</w:t>
            </w:r>
          </w:p>
        </w:tc>
        <w:tc>
          <w:tcPr>
            <w:tcW w:w="437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0.03 </w:t>
            </w:r>
          </w:p>
        </w:tc>
        <w:tc>
          <w:tcPr>
            <w:tcW w:w="437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43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0.03 </w:t>
            </w:r>
          </w:p>
        </w:tc>
      </w:tr>
      <w:tr>
        <w:tblPrEx>
          <w:tblLayout w:type="fixed"/>
          <w:tblCellMar>
            <w:top w:w="0" w:type="dxa"/>
            <w:left w:w="0" w:type="dxa"/>
            <w:bottom w:w="0" w:type="dxa"/>
            <w:right w:w="0" w:type="dxa"/>
          </w:tblCellMar>
        </w:tblPrEx>
        <w:trPr>
          <w:trHeight w:val="308" w:hRule="atLeast"/>
        </w:trPr>
        <w:tc>
          <w:tcPr>
            <w:tcW w:w="244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2140199</w:t>
            </w:r>
          </w:p>
        </w:tc>
        <w:tc>
          <w:tcPr>
            <w:tcW w:w="46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其他公路水路运输支出</w:t>
            </w:r>
          </w:p>
        </w:tc>
        <w:tc>
          <w:tcPr>
            <w:tcW w:w="437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0.03 </w:t>
            </w:r>
          </w:p>
        </w:tc>
        <w:tc>
          <w:tcPr>
            <w:tcW w:w="437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43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0.03 </w:t>
            </w:r>
          </w:p>
        </w:tc>
      </w:tr>
      <w:tr>
        <w:tblPrEx>
          <w:tblLayout w:type="fixed"/>
          <w:tblCellMar>
            <w:top w:w="0" w:type="dxa"/>
            <w:left w:w="0" w:type="dxa"/>
            <w:bottom w:w="0" w:type="dxa"/>
            <w:right w:w="0" w:type="dxa"/>
          </w:tblCellMar>
        </w:tblPrEx>
        <w:trPr>
          <w:trHeight w:val="308" w:hRule="atLeast"/>
        </w:trPr>
        <w:tc>
          <w:tcPr>
            <w:tcW w:w="244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21405</w:t>
            </w:r>
          </w:p>
        </w:tc>
        <w:tc>
          <w:tcPr>
            <w:tcW w:w="46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邮政业支出</w:t>
            </w:r>
          </w:p>
        </w:tc>
        <w:tc>
          <w:tcPr>
            <w:tcW w:w="437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164.28 </w:t>
            </w:r>
          </w:p>
        </w:tc>
        <w:tc>
          <w:tcPr>
            <w:tcW w:w="437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134.54 </w:t>
            </w:r>
          </w:p>
        </w:tc>
        <w:tc>
          <w:tcPr>
            <w:tcW w:w="43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29.73 </w:t>
            </w:r>
          </w:p>
        </w:tc>
      </w:tr>
      <w:tr>
        <w:tblPrEx>
          <w:tblLayout w:type="fixed"/>
          <w:tblCellMar>
            <w:top w:w="0" w:type="dxa"/>
            <w:left w:w="0" w:type="dxa"/>
            <w:bottom w:w="0" w:type="dxa"/>
            <w:right w:w="0" w:type="dxa"/>
          </w:tblCellMar>
        </w:tblPrEx>
        <w:trPr>
          <w:trHeight w:val="308" w:hRule="atLeast"/>
        </w:trPr>
        <w:tc>
          <w:tcPr>
            <w:tcW w:w="244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2140599</w:t>
            </w:r>
          </w:p>
        </w:tc>
        <w:tc>
          <w:tcPr>
            <w:tcW w:w="46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其他邮政业支出</w:t>
            </w:r>
          </w:p>
        </w:tc>
        <w:tc>
          <w:tcPr>
            <w:tcW w:w="437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164.28 </w:t>
            </w:r>
          </w:p>
        </w:tc>
        <w:tc>
          <w:tcPr>
            <w:tcW w:w="437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134.54 </w:t>
            </w:r>
          </w:p>
        </w:tc>
        <w:tc>
          <w:tcPr>
            <w:tcW w:w="43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29.73 </w:t>
            </w:r>
          </w:p>
        </w:tc>
      </w:tr>
      <w:tr>
        <w:tblPrEx>
          <w:tblLayout w:type="fixed"/>
          <w:tblCellMar>
            <w:top w:w="0" w:type="dxa"/>
            <w:left w:w="0" w:type="dxa"/>
            <w:bottom w:w="0" w:type="dxa"/>
            <w:right w:w="0" w:type="dxa"/>
          </w:tblCellMar>
        </w:tblPrEx>
        <w:trPr>
          <w:trHeight w:val="308" w:hRule="atLeast"/>
        </w:trPr>
        <w:tc>
          <w:tcPr>
            <w:tcW w:w="244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221</w:t>
            </w:r>
          </w:p>
        </w:tc>
        <w:tc>
          <w:tcPr>
            <w:tcW w:w="46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住房保障支出</w:t>
            </w:r>
          </w:p>
        </w:tc>
        <w:tc>
          <w:tcPr>
            <w:tcW w:w="437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12.29 </w:t>
            </w:r>
          </w:p>
        </w:tc>
        <w:tc>
          <w:tcPr>
            <w:tcW w:w="437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12.29 </w:t>
            </w:r>
          </w:p>
        </w:tc>
        <w:tc>
          <w:tcPr>
            <w:tcW w:w="43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244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22102</w:t>
            </w:r>
          </w:p>
        </w:tc>
        <w:tc>
          <w:tcPr>
            <w:tcW w:w="46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b/>
                <w:color w:val="000000"/>
                <w:sz w:val="21"/>
                <w:szCs w:val="21"/>
                <w:lang w:bidi="ar"/>
              </w:rPr>
              <w:t>住房改革支出</w:t>
            </w:r>
          </w:p>
        </w:tc>
        <w:tc>
          <w:tcPr>
            <w:tcW w:w="437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12.29 </w:t>
            </w:r>
          </w:p>
        </w:tc>
        <w:tc>
          <w:tcPr>
            <w:tcW w:w="437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1"/>
                <w:szCs w:val="21"/>
                <w:lang w:bidi="ar"/>
              </w:rPr>
              <w:t xml:space="preserve">12.29 </w:t>
            </w:r>
          </w:p>
        </w:tc>
        <w:tc>
          <w:tcPr>
            <w:tcW w:w="43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2445"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2210201</w:t>
            </w:r>
          </w:p>
        </w:tc>
        <w:tc>
          <w:tcPr>
            <w:tcW w:w="467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住房公积金</w:t>
            </w:r>
          </w:p>
        </w:tc>
        <w:tc>
          <w:tcPr>
            <w:tcW w:w="437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12.29 </w:t>
            </w:r>
          </w:p>
        </w:tc>
        <w:tc>
          <w:tcPr>
            <w:tcW w:w="4373" w:type="dxa"/>
            <w:gridSpan w:val="2"/>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12.29 </w:t>
            </w:r>
          </w:p>
        </w:tc>
        <w:tc>
          <w:tcPr>
            <w:tcW w:w="43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color w:val="000000"/>
                <w:sz w:val="21"/>
                <w:szCs w:val="21"/>
                <w:lang w:bidi="ar"/>
              </w:rPr>
              <w:t xml:space="preserve"> </w:t>
            </w:r>
          </w:p>
        </w:tc>
      </w:tr>
    </w:tbl>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cs="Times New Roman"/>
          <w:sz w:val="21"/>
          <w:szCs w:val="21"/>
        </w:rPr>
      </w:pPr>
      <w:r>
        <w:rPr>
          <w:rFonts w:hint="default" w:ascii="Times New Roman" w:hAnsi="Times New Roman" w:eastAsia="方正仿宋_GBK" w:cs="Times New Roman"/>
          <w:sz w:val="21"/>
          <w:szCs w:val="21"/>
          <w:lang w:bidi="ar"/>
        </w:rPr>
        <w:t>备注：1.本表反映单位本年度一般公共预算财政拨款支出情况。</w:t>
      </w:r>
      <w:r>
        <w:rPr>
          <w:rFonts w:hint="default" w:ascii="Times New Roman" w:hAnsi="Times New Roman" w:eastAsia="方正仿宋_GBK" w:cs="Times New Roman"/>
          <w:sz w:val="21"/>
          <w:szCs w:val="21"/>
          <w:lang w:bidi="ar"/>
        </w:rPr>
        <w:br w:type="textWrapping"/>
      </w:r>
      <w:r>
        <w:rPr>
          <w:rFonts w:hint="default" w:ascii="Times New Roman" w:hAnsi="Times New Roman" w:eastAsia="方正仿宋_GBK" w:cs="Times New Roman"/>
          <w:sz w:val="21"/>
          <w:szCs w:val="21"/>
          <w:lang w:bidi="ar"/>
        </w:rPr>
        <w:t xml:space="preserve">      2.本套报表金额单位转换时可能存在尾数误差。</w:t>
      </w:r>
      <w:r>
        <w:rPr>
          <w:rFonts w:hint="default" w:ascii="Times New Roman" w:hAnsi="Times New Roman" w:cs="Times New Roman"/>
          <w:sz w:val="21"/>
          <w:szCs w:val="21"/>
          <w:lang w:bidi="ar"/>
        </w:rPr>
        <w:br w:type="textWrapping"/>
      </w:r>
      <w:r>
        <w:rPr>
          <w:rFonts w:hint="default" w:ascii="Times New Roman" w:hAnsi="Times New Roman" w:cs="Times New Roman"/>
          <w:sz w:val="21"/>
          <w:szCs w:val="21"/>
        </w:rPr>
        <w:br w:type="textWrapping"/>
      </w:r>
    </w:p>
    <w:p>
      <w:pPr>
        <w:ind w:firstLine="630" w:firstLineChars="300"/>
        <w:rPr>
          <w:rFonts w:hint="default" w:ascii="Times New Roman" w:hAnsi="Times New Roman" w:cs="Times New Roman"/>
          <w:sz w:val="21"/>
          <w:szCs w:val="21"/>
        </w:rPr>
      </w:pPr>
      <w:r>
        <w:rPr>
          <w:rFonts w:hint="default" w:ascii="Times New Roman" w:hAnsi="Times New Roman" w:cs="Times New Roman"/>
          <w:sz w:val="21"/>
          <w:szCs w:val="21"/>
        </w:rPr>
        <w:br w:type="page"/>
      </w:r>
    </w:p>
    <w:tbl>
      <w:tblPr>
        <w:tblStyle w:val="8"/>
        <w:tblW w:w="20241" w:type="dxa"/>
        <w:tblInd w:w="0" w:type="dxa"/>
        <w:tblLayout w:type="fixed"/>
        <w:tblCellMar>
          <w:top w:w="0" w:type="dxa"/>
          <w:left w:w="0" w:type="dxa"/>
          <w:bottom w:w="0" w:type="dxa"/>
          <w:right w:w="0" w:type="dxa"/>
        </w:tblCellMar>
      </w:tblPr>
      <w:tblGrid>
        <w:gridCol w:w="1171"/>
        <w:gridCol w:w="3175"/>
        <w:gridCol w:w="2570"/>
        <w:gridCol w:w="1020"/>
        <w:gridCol w:w="2116"/>
        <w:gridCol w:w="2496"/>
        <w:gridCol w:w="1371"/>
        <w:gridCol w:w="4056"/>
        <w:gridCol w:w="2266"/>
      </w:tblGrid>
      <w:tr>
        <w:tblPrEx>
          <w:tblLayout w:type="fixed"/>
          <w:tblCellMar>
            <w:top w:w="0" w:type="dxa"/>
            <w:left w:w="0" w:type="dxa"/>
            <w:bottom w:w="0" w:type="dxa"/>
            <w:right w:w="0" w:type="dxa"/>
          </w:tblCellMar>
        </w:tblPrEx>
        <w:trPr>
          <w:trHeight w:val="590" w:hRule="atLeast"/>
        </w:trPr>
        <w:tc>
          <w:tcPr>
            <w:tcW w:w="20241" w:type="dxa"/>
            <w:gridSpan w:val="9"/>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wordWrap/>
              <w:overflowPunct/>
              <w:topLinePunct w:val="0"/>
              <w:autoSpaceDE/>
              <w:autoSpaceDN/>
              <w:bidi w:val="0"/>
              <w:adjustRightInd/>
              <w:snapToGrid/>
              <w:spacing w:line="640" w:lineRule="exact"/>
              <w:ind w:left="0" w:leftChars="0" w:right="0" w:rightChars="0" w:firstLine="0" w:firstLineChars="0"/>
              <w:jc w:val="center"/>
              <w:textAlignment w:val="bottom"/>
              <w:outlineLvl w:val="9"/>
              <w:rPr>
                <w:rFonts w:hint="default" w:ascii="Times New Roman" w:hAnsi="Times New Roman" w:cs="Times New Roman"/>
                <w:b/>
                <w:color w:val="000000"/>
                <w:sz w:val="40"/>
                <w:szCs w:val="40"/>
              </w:rPr>
            </w:pPr>
            <w:r>
              <w:rPr>
                <w:rFonts w:hint="default" w:ascii="Times New Roman" w:hAnsi="Times New Roman" w:eastAsia="方正小标宋_GBK" w:cs="Times New Roman"/>
                <w:b w:val="0"/>
                <w:bCs/>
                <w:color w:val="000000"/>
                <w:sz w:val="44"/>
                <w:szCs w:val="44"/>
                <w:lang w:bidi="ar"/>
              </w:rPr>
              <w:t>一般公共预算财政拨款基本支出决算表</w:t>
            </w:r>
          </w:p>
        </w:tc>
      </w:tr>
      <w:tr>
        <w:tblPrEx>
          <w:tblLayout w:type="fixed"/>
          <w:tblCellMar>
            <w:top w:w="0" w:type="dxa"/>
            <w:left w:w="0" w:type="dxa"/>
            <w:bottom w:w="0" w:type="dxa"/>
            <w:right w:w="0" w:type="dxa"/>
          </w:tblCellMar>
        </w:tblPrEx>
        <w:trPr>
          <w:trHeight w:val="302" w:hRule="atLeast"/>
        </w:trPr>
        <w:tc>
          <w:tcPr>
            <w:tcW w:w="4346" w:type="dxa"/>
            <w:gridSpan w:val="2"/>
            <w:vMerge w:val="restart"/>
            <w:tcBorders>
              <w:top w:val="nil"/>
              <w:left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rPr>
              <w:t>公开单位</w:t>
            </w:r>
            <w:r>
              <w:rPr>
                <w:rFonts w:hint="default" w:ascii="Times New Roman" w:hAnsi="Times New Roman" w:eastAsia="方正仿宋_GBK" w:cs="Times New Roman"/>
                <w:color w:val="000000"/>
                <w:lang w:bidi="ar"/>
              </w:rPr>
              <w:t xml:space="preserve">： </w:t>
            </w:r>
            <w:r>
              <w:rPr>
                <w:rFonts w:hint="default" w:ascii="Times New Roman" w:hAnsi="Times New Roman" w:eastAsia="方正仿宋_GBK" w:cs="Times New Roman"/>
                <w:color w:val="000000"/>
              </w:rPr>
              <w:t>垫江县邮政业发展服务中心</w:t>
            </w:r>
          </w:p>
        </w:tc>
        <w:tc>
          <w:tcPr>
            <w:tcW w:w="2570"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1020"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116"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496"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1371"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4056"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266"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lang w:bidi="ar"/>
              </w:rPr>
              <w:t>公开06表</w:t>
            </w:r>
          </w:p>
        </w:tc>
      </w:tr>
      <w:tr>
        <w:tblPrEx>
          <w:tblLayout w:type="fixed"/>
          <w:tblCellMar>
            <w:top w:w="0" w:type="dxa"/>
            <w:left w:w="0" w:type="dxa"/>
            <w:bottom w:w="0" w:type="dxa"/>
            <w:right w:w="0" w:type="dxa"/>
          </w:tblCellMar>
        </w:tblPrEx>
        <w:trPr>
          <w:trHeight w:val="302" w:hRule="atLeast"/>
        </w:trPr>
        <w:tc>
          <w:tcPr>
            <w:tcW w:w="4346" w:type="dxa"/>
            <w:gridSpan w:val="2"/>
            <w:vMerge w:val="continue"/>
            <w:tcBorders>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570"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1020"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116"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96"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1371"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4056"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266"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lang w:bidi="ar"/>
              </w:rPr>
              <w:t>单位：</w:t>
            </w:r>
            <w:r>
              <w:rPr>
                <w:rFonts w:hint="default" w:ascii="Times New Roman" w:hAnsi="Times New Roman" w:eastAsia="方正仿宋_GBK" w:cs="Times New Roman"/>
              </w:rPr>
              <w:t>万元</w:t>
            </w:r>
          </w:p>
        </w:tc>
      </w:tr>
      <w:tr>
        <w:tblPrEx>
          <w:tblLayout w:type="fixed"/>
          <w:tblCellMar>
            <w:top w:w="0" w:type="dxa"/>
            <w:left w:w="0" w:type="dxa"/>
            <w:bottom w:w="0" w:type="dxa"/>
            <w:right w:w="0" w:type="dxa"/>
          </w:tblCellMar>
        </w:tblPrEx>
        <w:trPr>
          <w:trHeight w:val="311" w:hRule="atLeast"/>
        </w:trPr>
        <w:tc>
          <w:tcPr>
            <w:tcW w:w="6916" w:type="dxa"/>
            <w:gridSpan w:val="3"/>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人员经费</w:t>
            </w:r>
          </w:p>
        </w:tc>
        <w:tc>
          <w:tcPr>
            <w:tcW w:w="13325" w:type="dxa"/>
            <w:gridSpan w:val="6"/>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公用经费</w:t>
            </w:r>
          </w:p>
        </w:tc>
      </w:tr>
      <w:tr>
        <w:tblPrEx>
          <w:tblLayout w:type="fixed"/>
          <w:tblCellMar>
            <w:top w:w="0" w:type="dxa"/>
            <w:left w:w="0" w:type="dxa"/>
            <w:bottom w:w="0" w:type="dxa"/>
            <w:right w:w="0" w:type="dxa"/>
          </w:tblCellMar>
        </w:tblPrEx>
        <w:trPr>
          <w:trHeight w:val="312" w:hRule="atLeast"/>
        </w:trPr>
        <w:tc>
          <w:tcPr>
            <w:tcW w:w="1171"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经济分类科目编码</w:t>
            </w:r>
          </w:p>
        </w:tc>
        <w:tc>
          <w:tcPr>
            <w:tcW w:w="317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经济分类科目（按“款”级功能分类科目）</w:t>
            </w:r>
          </w:p>
        </w:tc>
        <w:tc>
          <w:tcPr>
            <w:tcW w:w="257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金额</w:t>
            </w:r>
          </w:p>
        </w:tc>
        <w:tc>
          <w:tcPr>
            <w:tcW w:w="102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经济分类科目编码</w:t>
            </w:r>
          </w:p>
        </w:tc>
        <w:tc>
          <w:tcPr>
            <w:tcW w:w="2116"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经济分类科目（按“款”级功能分类科目）</w:t>
            </w:r>
          </w:p>
        </w:tc>
        <w:tc>
          <w:tcPr>
            <w:tcW w:w="2496"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金额</w:t>
            </w:r>
          </w:p>
        </w:tc>
        <w:tc>
          <w:tcPr>
            <w:tcW w:w="1371"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经济分类科目编码</w:t>
            </w:r>
          </w:p>
        </w:tc>
        <w:tc>
          <w:tcPr>
            <w:tcW w:w="4056"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经济分类科目（按“款”级功能分类科目）</w:t>
            </w:r>
          </w:p>
        </w:tc>
        <w:tc>
          <w:tcPr>
            <w:tcW w:w="2266"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金额</w:t>
            </w:r>
          </w:p>
        </w:tc>
      </w:tr>
      <w:tr>
        <w:tblPrEx>
          <w:tblLayout w:type="fixed"/>
          <w:tblCellMar>
            <w:top w:w="0" w:type="dxa"/>
            <w:left w:w="0" w:type="dxa"/>
            <w:bottom w:w="0" w:type="dxa"/>
            <w:right w:w="0" w:type="dxa"/>
          </w:tblCellMar>
        </w:tblPrEx>
        <w:trPr>
          <w:trHeight w:val="799" w:hRule="atLeast"/>
        </w:trPr>
        <w:tc>
          <w:tcPr>
            <w:tcW w:w="117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317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57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102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11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49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137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05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26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301</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工资福利支出</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145.54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商品和服务支出</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19.29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310</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资本性支出</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30101</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基本工资</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26.68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30201</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办公费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0.66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31001</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房屋建筑物购建</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30102</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津贴补贴</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1.10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30202</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印刷费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0.55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31002</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办公设备购置</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30103</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奖金</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30203</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咨询费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31003</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专用设备购置</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30106</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伙食补助费</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30204</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手续费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31005</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基础设施建设</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30107</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绩效工资</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84.11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30205</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水费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31006</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大型修缮</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33"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30108</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机关事业单位基本养老保险缴费</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8.45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30206</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电费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31007</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信息网络及软件购置更新</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30109</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职业年金缴费</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4.15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30207</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邮电费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1.80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31008</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物资储备</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64"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30110</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职工基本医疗保险缴费</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5.02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30208</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取暖费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31009</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土地补偿</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30111</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公务员医疗补助缴费</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30209</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物业管理费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31010</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安置补助</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33"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30112</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其他社会保障缴费</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0.17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30211</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差旅费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3.39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31011</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地上附着物和青苗补偿</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30113</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住房公积金</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12.29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30212</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因公出国（境）费用</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31012</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拆迁补偿</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30114</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医疗费</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2.72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30213</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维修（护）费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31013</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公务用车购置</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30199</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其他工资福利支出</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0.85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30214</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租赁费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31019</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其他交通工具购置</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303</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对个人和家庭的补助</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30215</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会议费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31021</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文物和陈列品购置</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30301</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离休费</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30216</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培训费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0.38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31022</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无形资产购置</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30302</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退休费</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30217</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公务接待费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0.19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31099</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其他资本性支出</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30303</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退职（役）费</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30218</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专用材料费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312</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对企业补助</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30304</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抚恤金</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30224</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被装购置费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31201</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资本金注入</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30305</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生活补助</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30225</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专用燃料费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31203</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政府投资基金股权投资</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30306</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救济费</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30226</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劳务费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0.98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31204</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费用补贴</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30307</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医疗费补助</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30227</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委托业务费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31205</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利息补贴</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30308</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助学金</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30228</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工会经费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4.34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31299</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其他对企业补助</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30309</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奖励金</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30229</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福利费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399</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其他支出</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30310</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个人农业生产补贴</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30231</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公务用车运行维护费</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39907</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国家赔偿费用支出</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30311</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代缴社会保险费</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30239</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其他交通费用</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1.45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39908</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对民间非营利组织和群众性自治组织补贴</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30399</w:t>
            </w: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其他对个人和家庭的补助</w:t>
            </w: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30240</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税金及附加费用</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39909</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经常性赠与</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30299</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其他商品和服务支出</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5.55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39910</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资本性赠与</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307</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债务利息及费用支出</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39999</w:t>
            </w: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其他支出</w:t>
            </w: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30701</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国内债务付息</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30702</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国外债务付息</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30703</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国内债务发行费用</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r>
      <w:tr>
        <w:tblPrEx>
          <w:tblLayout w:type="fixed"/>
          <w:tblCellMar>
            <w:top w:w="0" w:type="dxa"/>
            <w:left w:w="0" w:type="dxa"/>
            <w:bottom w:w="0" w:type="dxa"/>
            <w:right w:w="0" w:type="dxa"/>
          </w:tblCellMar>
        </w:tblPrEx>
        <w:trPr>
          <w:trHeight w:val="311" w:hRule="atLeast"/>
        </w:trPr>
        <w:tc>
          <w:tcPr>
            <w:tcW w:w="11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17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5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102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30704</w:t>
            </w:r>
          </w:p>
        </w:tc>
        <w:tc>
          <w:tcPr>
            <w:tcW w:w="211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国外债务发行费用</w:t>
            </w:r>
          </w:p>
        </w:tc>
        <w:tc>
          <w:tcPr>
            <w:tcW w:w="249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 </w:t>
            </w:r>
          </w:p>
        </w:tc>
        <w:tc>
          <w:tcPr>
            <w:tcW w:w="1371"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405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2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r>
      <w:tr>
        <w:tblPrEx>
          <w:tblLayout w:type="fixed"/>
          <w:tblCellMar>
            <w:top w:w="0" w:type="dxa"/>
            <w:left w:w="0" w:type="dxa"/>
            <w:bottom w:w="0" w:type="dxa"/>
            <w:right w:w="0" w:type="dxa"/>
          </w:tblCellMar>
        </w:tblPrEx>
        <w:trPr>
          <w:trHeight w:val="321" w:hRule="atLeast"/>
        </w:trPr>
        <w:tc>
          <w:tcPr>
            <w:tcW w:w="4346"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人员经费合计</w:t>
            </w:r>
          </w:p>
        </w:tc>
        <w:tc>
          <w:tcPr>
            <w:tcW w:w="2570"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145.54 </w:t>
            </w:r>
          </w:p>
        </w:tc>
        <w:tc>
          <w:tcPr>
            <w:tcW w:w="11059" w:type="dxa"/>
            <w:gridSpan w:val="5"/>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公用经费合计</w:t>
            </w:r>
          </w:p>
        </w:tc>
        <w:tc>
          <w:tcPr>
            <w:tcW w:w="226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1"/>
                <w:szCs w:val="21"/>
                <w:lang w:bidi="ar"/>
              </w:rPr>
              <w:t xml:space="preserve">19.29 </w:t>
            </w:r>
          </w:p>
        </w:tc>
      </w:tr>
    </w:tbl>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cs="Times New Roman"/>
          <w:sz w:val="21"/>
          <w:szCs w:val="21"/>
        </w:rPr>
      </w:pPr>
      <w:r>
        <w:rPr>
          <w:rFonts w:hint="default" w:ascii="Times New Roman" w:hAnsi="Times New Roman" w:eastAsia="方正仿宋_GBK" w:cs="Times New Roman"/>
          <w:sz w:val="21"/>
          <w:szCs w:val="21"/>
          <w:lang w:bidi="ar"/>
        </w:rPr>
        <w:t>备注：1.本表反映单位本年度一般公共预算财政拨款基本支出明细情况。</w:t>
      </w:r>
      <w:r>
        <w:rPr>
          <w:rFonts w:hint="default" w:ascii="Times New Roman" w:hAnsi="Times New Roman" w:eastAsia="方正仿宋_GBK" w:cs="Times New Roman"/>
          <w:sz w:val="21"/>
          <w:szCs w:val="21"/>
          <w:lang w:bidi="ar"/>
        </w:rPr>
        <w:br w:type="textWrapping"/>
      </w:r>
      <w:r>
        <w:rPr>
          <w:rFonts w:hint="default" w:ascii="Times New Roman" w:hAnsi="Times New Roman" w:eastAsia="方正仿宋_GBK" w:cs="Times New Roman"/>
          <w:sz w:val="21"/>
          <w:szCs w:val="21"/>
          <w:lang w:bidi="ar"/>
        </w:rPr>
        <w:t xml:space="preserve">      2.本套报表金额单位转换时可能存在尾数误差。</w:t>
      </w:r>
      <w:r>
        <w:rPr>
          <w:rFonts w:hint="default" w:ascii="Times New Roman" w:hAnsi="Times New Roman" w:cs="Times New Roman"/>
          <w:sz w:val="21"/>
          <w:szCs w:val="21"/>
          <w:lang w:bidi="ar"/>
        </w:rPr>
        <w:br w:type="textWrapping"/>
      </w:r>
      <w:r>
        <w:rPr>
          <w:rFonts w:hint="default" w:ascii="Times New Roman" w:hAnsi="Times New Roman" w:cs="Times New Roman"/>
          <w:sz w:val="21"/>
          <w:szCs w:val="21"/>
        </w:rPr>
        <w:br w:type="textWrapping"/>
      </w:r>
    </w:p>
    <w:p>
      <w:pPr>
        <w:rPr>
          <w:rFonts w:hint="default" w:ascii="Times New Roman" w:hAnsi="Times New Roman" w:cs="Times New Roman"/>
          <w:sz w:val="21"/>
          <w:szCs w:val="21"/>
        </w:rPr>
      </w:pPr>
      <w:r>
        <w:rPr>
          <w:rFonts w:hint="default" w:ascii="Times New Roman" w:hAnsi="Times New Roman" w:cs="Times New Roman"/>
          <w:sz w:val="21"/>
          <w:szCs w:val="21"/>
        </w:rPr>
        <w:br w:type="page"/>
      </w:r>
    </w:p>
    <w:p>
      <w:pPr>
        <w:rPr>
          <w:rFonts w:hint="default" w:ascii="Times New Roman" w:hAnsi="Times New Roman" w:cs="Times New Roman"/>
          <w:sz w:val="21"/>
          <w:szCs w:val="21"/>
        </w:rPr>
      </w:pPr>
    </w:p>
    <w:p>
      <w:pPr>
        <w:rPr>
          <w:rFonts w:hint="default" w:ascii="Times New Roman" w:hAnsi="Times New Roman" w:cs="Times New Roman"/>
          <w:sz w:val="21"/>
          <w:szCs w:val="21"/>
        </w:rPr>
      </w:pPr>
    </w:p>
    <w:p>
      <w:pPr>
        <w:rPr>
          <w:rFonts w:hint="default" w:ascii="Times New Roman" w:hAnsi="Times New Roman" w:cs="Times New Roman"/>
          <w:sz w:val="21"/>
          <w:szCs w:val="21"/>
        </w:rPr>
      </w:pPr>
    </w:p>
    <w:tbl>
      <w:tblPr>
        <w:tblStyle w:val="8"/>
        <w:tblW w:w="20241" w:type="dxa"/>
        <w:tblInd w:w="0" w:type="dxa"/>
        <w:tblLayout w:type="fixed"/>
        <w:tblCellMar>
          <w:top w:w="0" w:type="dxa"/>
          <w:left w:w="0" w:type="dxa"/>
          <w:bottom w:w="0" w:type="dxa"/>
          <w:right w:w="0" w:type="dxa"/>
        </w:tblCellMar>
      </w:tblPr>
      <w:tblGrid>
        <w:gridCol w:w="2445"/>
        <w:gridCol w:w="4063"/>
        <w:gridCol w:w="2251"/>
        <w:gridCol w:w="2251"/>
        <w:gridCol w:w="2250"/>
        <w:gridCol w:w="2251"/>
        <w:gridCol w:w="2328"/>
        <w:gridCol w:w="2402"/>
      </w:tblGrid>
      <w:tr>
        <w:tblPrEx>
          <w:tblLayout w:type="fixed"/>
          <w:tblCellMar>
            <w:top w:w="0" w:type="dxa"/>
            <w:left w:w="0" w:type="dxa"/>
            <w:bottom w:w="0" w:type="dxa"/>
            <w:right w:w="0" w:type="dxa"/>
          </w:tblCellMar>
        </w:tblPrEx>
        <w:trPr>
          <w:trHeight w:val="644" w:hRule="atLeast"/>
        </w:trPr>
        <w:tc>
          <w:tcPr>
            <w:tcW w:w="20241" w:type="dxa"/>
            <w:gridSpan w:val="8"/>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wordWrap/>
              <w:overflowPunct/>
              <w:topLinePunct w:val="0"/>
              <w:autoSpaceDE/>
              <w:autoSpaceDN/>
              <w:bidi w:val="0"/>
              <w:adjustRightInd/>
              <w:snapToGrid/>
              <w:spacing w:line="640" w:lineRule="exact"/>
              <w:ind w:left="0" w:leftChars="0" w:right="0" w:rightChars="0" w:firstLine="0" w:firstLineChars="0"/>
              <w:jc w:val="center"/>
              <w:textAlignment w:val="bottom"/>
              <w:outlineLvl w:val="9"/>
              <w:rPr>
                <w:rFonts w:hint="default" w:ascii="Times New Roman" w:hAnsi="Times New Roman" w:cs="Times New Roman"/>
                <w:b/>
                <w:color w:val="000000"/>
                <w:sz w:val="40"/>
                <w:szCs w:val="40"/>
              </w:rPr>
            </w:pPr>
            <w:r>
              <w:rPr>
                <w:rFonts w:hint="default" w:ascii="Times New Roman" w:hAnsi="Times New Roman" w:eastAsia="方正小标宋_GBK" w:cs="Times New Roman"/>
                <w:b w:val="0"/>
                <w:bCs/>
                <w:color w:val="000000"/>
                <w:sz w:val="44"/>
                <w:szCs w:val="44"/>
                <w:lang w:bidi="ar"/>
              </w:rPr>
              <w:t>政府性基金预算财政拨款收入支出决算表</w:t>
            </w:r>
          </w:p>
        </w:tc>
      </w:tr>
      <w:tr>
        <w:tblPrEx>
          <w:tblLayout w:type="fixed"/>
          <w:tblCellMar>
            <w:top w:w="0" w:type="dxa"/>
            <w:left w:w="0" w:type="dxa"/>
            <w:bottom w:w="0" w:type="dxa"/>
            <w:right w:w="0" w:type="dxa"/>
          </w:tblCellMar>
        </w:tblPrEx>
        <w:trPr>
          <w:trHeight w:val="329" w:hRule="atLeast"/>
        </w:trPr>
        <w:tc>
          <w:tcPr>
            <w:tcW w:w="6508" w:type="dxa"/>
            <w:gridSpan w:val="2"/>
            <w:vMerge w:val="restart"/>
            <w:tcBorders>
              <w:top w:val="nil"/>
              <w:left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rPr>
              <w:t>公开单位</w:t>
            </w:r>
            <w:r>
              <w:rPr>
                <w:rFonts w:hint="default" w:ascii="Times New Roman" w:hAnsi="Times New Roman" w:eastAsia="方正仿宋_GBK" w:cs="Times New Roman"/>
                <w:color w:val="000000"/>
                <w:lang w:bidi="ar"/>
              </w:rPr>
              <w:t xml:space="preserve">： </w:t>
            </w:r>
            <w:r>
              <w:rPr>
                <w:rFonts w:hint="default" w:ascii="Times New Roman" w:hAnsi="Times New Roman" w:eastAsia="方正仿宋_GBK" w:cs="Times New Roman"/>
                <w:color w:val="000000"/>
              </w:rPr>
              <w:t>垫江县邮政业发展服务中心</w:t>
            </w:r>
          </w:p>
        </w:tc>
        <w:tc>
          <w:tcPr>
            <w:tcW w:w="2251"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251"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250"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251"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328"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2402"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lang w:bidi="ar"/>
              </w:rPr>
              <w:t>公开07表</w:t>
            </w:r>
          </w:p>
        </w:tc>
      </w:tr>
      <w:tr>
        <w:tblPrEx>
          <w:tblLayout w:type="fixed"/>
          <w:tblCellMar>
            <w:top w:w="0" w:type="dxa"/>
            <w:left w:w="0" w:type="dxa"/>
            <w:bottom w:w="0" w:type="dxa"/>
            <w:right w:w="0" w:type="dxa"/>
          </w:tblCellMar>
        </w:tblPrEx>
        <w:trPr>
          <w:trHeight w:val="329" w:hRule="atLeast"/>
        </w:trPr>
        <w:tc>
          <w:tcPr>
            <w:tcW w:w="6508" w:type="dxa"/>
            <w:gridSpan w:val="2"/>
            <w:vMerge w:val="continue"/>
            <w:tcBorders>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251"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251"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250"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251"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328"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2402"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lang w:bidi="ar"/>
              </w:rPr>
              <w:t>单位：</w:t>
            </w:r>
            <w:r>
              <w:rPr>
                <w:rFonts w:hint="default" w:ascii="Times New Roman" w:hAnsi="Times New Roman" w:eastAsia="方正仿宋_GBK" w:cs="Times New Roman"/>
              </w:rPr>
              <w:t>万元</w:t>
            </w:r>
          </w:p>
        </w:tc>
      </w:tr>
      <w:tr>
        <w:tblPrEx>
          <w:tblLayout w:type="fixed"/>
          <w:tblCellMar>
            <w:top w:w="0" w:type="dxa"/>
            <w:left w:w="0" w:type="dxa"/>
            <w:bottom w:w="0" w:type="dxa"/>
            <w:right w:w="0" w:type="dxa"/>
          </w:tblCellMar>
        </w:tblPrEx>
        <w:trPr>
          <w:trHeight w:val="339" w:hRule="atLeast"/>
        </w:trPr>
        <w:tc>
          <w:tcPr>
            <w:tcW w:w="6508"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项目</w:t>
            </w:r>
          </w:p>
        </w:tc>
        <w:tc>
          <w:tcPr>
            <w:tcW w:w="2251"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年初结转和结余</w:t>
            </w:r>
          </w:p>
        </w:tc>
        <w:tc>
          <w:tcPr>
            <w:tcW w:w="2251"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本年收入</w:t>
            </w:r>
          </w:p>
        </w:tc>
        <w:tc>
          <w:tcPr>
            <w:tcW w:w="68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本年支出</w:t>
            </w:r>
          </w:p>
        </w:tc>
        <w:tc>
          <w:tcPr>
            <w:tcW w:w="2402"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年末结转和结余</w:t>
            </w:r>
          </w:p>
        </w:tc>
      </w:tr>
      <w:tr>
        <w:tblPrEx>
          <w:tblLayout w:type="fixed"/>
          <w:tblCellMar>
            <w:top w:w="0" w:type="dxa"/>
            <w:left w:w="0" w:type="dxa"/>
            <w:bottom w:w="0" w:type="dxa"/>
            <w:right w:w="0" w:type="dxa"/>
          </w:tblCellMar>
        </w:tblPrEx>
        <w:trPr>
          <w:trHeight w:val="335" w:hRule="atLeast"/>
        </w:trPr>
        <w:tc>
          <w:tcPr>
            <w:tcW w:w="2445"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功能分类科目编码</w:t>
            </w:r>
          </w:p>
        </w:tc>
        <w:tc>
          <w:tcPr>
            <w:tcW w:w="40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项目（按“项”级功能分类科目）</w:t>
            </w:r>
          </w:p>
        </w:tc>
        <w:tc>
          <w:tcPr>
            <w:tcW w:w="225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25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25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合计</w:t>
            </w:r>
          </w:p>
        </w:tc>
        <w:tc>
          <w:tcPr>
            <w:tcW w:w="225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基本支出</w:t>
            </w:r>
          </w:p>
        </w:tc>
        <w:tc>
          <w:tcPr>
            <w:tcW w:w="2328"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项目支出</w:t>
            </w:r>
          </w:p>
        </w:tc>
        <w:tc>
          <w:tcPr>
            <w:tcW w:w="240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r>
      <w:tr>
        <w:tblPrEx>
          <w:tblLayout w:type="fixed"/>
          <w:tblCellMar>
            <w:top w:w="0" w:type="dxa"/>
            <w:left w:w="0" w:type="dxa"/>
            <w:bottom w:w="0" w:type="dxa"/>
            <w:right w:w="0" w:type="dxa"/>
          </w:tblCellMar>
        </w:tblPrEx>
        <w:trPr>
          <w:trHeight w:val="335" w:hRule="atLeast"/>
        </w:trPr>
        <w:tc>
          <w:tcPr>
            <w:tcW w:w="244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0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25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25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25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25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32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40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r>
      <w:tr>
        <w:tblPrEx>
          <w:tblLayout w:type="fixed"/>
          <w:tblCellMar>
            <w:top w:w="0" w:type="dxa"/>
            <w:left w:w="0" w:type="dxa"/>
            <w:bottom w:w="0" w:type="dxa"/>
            <w:right w:w="0" w:type="dxa"/>
          </w:tblCellMar>
        </w:tblPrEx>
        <w:trPr>
          <w:trHeight w:val="645" w:hRule="atLeast"/>
        </w:trPr>
        <w:tc>
          <w:tcPr>
            <w:tcW w:w="244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0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25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25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25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25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32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240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r>
      <w:tr>
        <w:tblPrEx>
          <w:tblLayout w:type="fixed"/>
          <w:tblCellMar>
            <w:top w:w="0" w:type="dxa"/>
            <w:left w:w="0" w:type="dxa"/>
            <w:bottom w:w="0" w:type="dxa"/>
            <w:right w:w="0" w:type="dxa"/>
          </w:tblCellMar>
        </w:tblPrEx>
        <w:trPr>
          <w:trHeight w:val="339" w:hRule="atLeast"/>
        </w:trPr>
        <w:tc>
          <w:tcPr>
            <w:tcW w:w="6508"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合计</w:t>
            </w:r>
          </w:p>
        </w:tc>
        <w:tc>
          <w:tcPr>
            <w:tcW w:w="22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 </w:t>
            </w:r>
          </w:p>
        </w:tc>
        <w:tc>
          <w:tcPr>
            <w:tcW w:w="22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 </w:t>
            </w:r>
          </w:p>
        </w:tc>
        <w:tc>
          <w:tcPr>
            <w:tcW w:w="225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 </w:t>
            </w:r>
          </w:p>
        </w:tc>
        <w:tc>
          <w:tcPr>
            <w:tcW w:w="225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 </w:t>
            </w:r>
          </w:p>
        </w:tc>
        <w:tc>
          <w:tcPr>
            <w:tcW w:w="232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 </w:t>
            </w:r>
          </w:p>
        </w:tc>
        <w:tc>
          <w:tcPr>
            <w:tcW w:w="240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 </w:t>
            </w:r>
          </w:p>
        </w:tc>
      </w:tr>
    </w:tbl>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cs="Times New Roman"/>
          <w:sz w:val="21"/>
          <w:szCs w:val="21"/>
          <w:lang w:bidi="ar"/>
        </w:rPr>
      </w:pPr>
      <w:r>
        <w:rPr>
          <w:rFonts w:hint="default" w:ascii="Times New Roman" w:hAnsi="Times New Roman" w:eastAsia="方正仿宋_GBK" w:cs="Times New Roman"/>
          <w:sz w:val="21"/>
          <w:szCs w:val="21"/>
          <w:lang w:bidi="ar"/>
        </w:rPr>
        <w:t>备注：本表反映单位本年度政府性基金预算财政拨款收入支出及结转和结余情况。本单位无政府性基金收支，故本表无数据。</w:t>
      </w:r>
      <w:r>
        <w:rPr>
          <w:rFonts w:hint="default" w:ascii="Times New Roman" w:hAnsi="Times New Roman" w:cs="Times New Roman"/>
          <w:sz w:val="21"/>
          <w:szCs w:val="21"/>
          <w:lang w:bidi="ar"/>
        </w:rPr>
        <w:br w:type="textWrapping"/>
      </w:r>
    </w:p>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cs="Times New Roman"/>
          <w:sz w:val="21"/>
          <w:szCs w:val="21"/>
        </w:rPr>
      </w:pPr>
      <w:r>
        <w:rPr>
          <w:rFonts w:hint="default" w:ascii="Times New Roman" w:hAnsi="Times New Roman" w:cs="Times New Roman"/>
          <w:sz w:val="21"/>
          <w:szCs w:val="21"/>
        </w:rPr>
        <w:br w:type="textWrapping"/>
      </w:r>
    </w:p>
    <w:tbl>
      <w:tblPr>
        <w:tblStyle w:val="8"/>
        <w:tblW w:w="20241" w:type="dxa"/>
        <w:tblInd w:w="0" w:type="dxa"/>
        <w:tblLayout w:type="fixed"/>
        <w:tblCellMar>
          <w:top w:w="0" w:type="dxa"/>
          <w:left w:w="0" w:type="dxa"/>
          <w:bottom w:w="0" w:type="dxa"/>
          <w:right w:w="0" w:type="dxa"/>
        </w:tblCellMar>
      </w:tblPr>
      <w:tblGrid>
        <w:gridCol w:w="2486"/>
        <w:gridCol w:w="4026"/>
        <w:gridCol w:w="4314"/>
        <w:gridCol w:w="4940"/>
        <w:gridCol w:w="4475"/>
      </w:tblGrid>
      <w:tr>
        <w:tblPrEx>
          <w:tblLayout w:type="fixed"/>
        </w:tblPrEx>
        <w:trPr>
          <w:trHeight w:val="650" w:hRule="atLeast"/>
        </w:trPr>
        <w:tc>
          <w:tcPr>
            <w:tcW w:w="20241" w:type="dxa"/>
            <w:gridSpan w:val="5"/>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wordWrap/>
              <w:overflowPunct/>
              <w:topLinePunct w:val="0"/>
              <w:autoSpaceDE/>
              <w:autoSpaceDN/>
              <w:bidi w:val="0"/>
              <w:adjustRightInd/>
              <w:snapToGrid/>
              <w:spacing w:line="640" w:lineRule="exact"/>
              <w:ind w:left="0" w:leftChars="0" w:right="0" w:rightChars="0" w:firstLine="0" w:firstLineChars="0"/>
              <w:jc w:val="center"/>
              <w:textAlignment w:val="auto"/>
              <w:outlineLvl w:val="9"/>
              <w:rPr>
                <w:rFonts w:hint="default" w:ascii="Times New Roman" w:hAnsi="Times New Roman" w:cs="Times New Roman"/>
                <w:b/>
                <w:color w:val="000000"/>
                <w:sz w:val="40"/>
                <w:szCs w:val="40"/>
              </w:rPr>
            </w:pPr>
            <w:r>
              <w:rPr>
                <w:rFonts w:hint="default" w:ascii="Times New Roman" w:hAnsi="Times New Roman" w:cs="Times New Roman"/>
                <w:sz w:val="21"/>
                <w:szCs w:val="21"/>
              </w:rPr>
              <w:br w:type="page"/>
            </w:r>
            <w:r>
              <w:rPr>
                <w:rFonts w:hint="default" w:ascii="Times New Roman" w:hAnsi="Times New Roman" w:eastAsia="方正小标宋_GBK" w:cs="Times New Roman"/>
                <w:b w:val="0"/>
                <w:bCs/>
                <w:color w:val="000000"/>
                <w:sz w:val="44"/>
                <w:szCs w:val="44"/>
                <w:lang w:bidi="ar"/>
              </w:rPr>
              <w:t>国有资本经营预算财政拨款支出决算表</w:t>
            </w:r>
          </w:p>
        </w:tc>
      </w:tr>
      <w:tr>
        <w:tblPrEx>
          <w:tblLayout w:type="fixed"/>
          <w:tblCellMar>
            <w:top w:w="0" w:type="dxa"/>
            <w:left w:w="0" w:type="dxa"/>
            <w:bottom w:w="0" w:type="dxa"/>
            <w:right w:w="0" w:type="dxa"/>
          </w:tblCellMar>
        </w:tblPrEx>
        <w:trPr>
          <w:trHeight w:val="332" w:hRule="atLeast"/>
        </w:trPr>
        <w:tc>
          <w:tcPr>
            <w:tcW w:w="6512" w:type="dxa"/>
            <w:gridSpan w:val="2"/>
            <w:vMerge w:val="restart"/>
            <w:tcBorders>
              <w:top w:val="nil"/>
              <w:left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rPr>
              <w:t>公开单位</w:t>
            </w:r>
            <w:r>
              <w:rPr>
                <w:rFonts w:hint="default" w:ascii="Times New Roman" w:hAnsi="Times New Roman" w:eastAsia="方正仿宋_GBK" w:cs="Times New Roman"/>
                <w:color w:val="000000"/>
                <w:lang w:bidi="ar"/>
              </w:rPr>
              <w:t xml:space="preserve">： </w:t>
            </w:r>
            <w:r>
              <w:rPr>
                <w:rFonts w:hint="default" w:ascii="Times New Roman" w:hAnsi="Times New Roman" w:eastAsia="方正仿宋_GBK" w:cs="Times New Roman"/>
                <w:color w:val="000000"/>
              </w:rPr>
              <w:t>垫江县邮政业发展服务中心</w:t>
            </w:r>
          </w:p>
        </w:tc>
        <w:tc>
          <w:tcPr>
            <w:tcW w:w="4314"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4940"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4475"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lang w:bidi="ar"/>
              </w:rPr>
              <w:t>公开08表</w:t>
            </w:r>
          </w:p>
        </w:tc>
      </w:tr>
      <w:tr>
        <w:tblPrEx>
          <w:tblLayout w:type="fixed"/>
          <w:tblCellMar>
            <w:top w:w="0" w:type="dxa"/>
            <w:left w:w="0" w:type="dxa"/>
            <w:bottom w:w="0" w:type="dxa"/>
            <w:right w:w="0" w:type="dxa"/>
          </w:tblCellMar>
        </w:tblPrEx>
        <w:trPr>
          <w:trHeight w:val="332" w:hRule="atLeast"/>
        </w:trPr>
        <w:tc>
          <w:tcPr>
            <w:tcW w:w="6512" w:type="dxa"/>
            <w:gridSpan w:val="2"/>
            <w:vMerge w:val="continue"/>
            <w:tcBorders>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4314"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4940"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4475"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lang w:bidi="ar"/>
              </w:rPr>
              <w:t>单位：</w:t>
            </w:r>
            <w:r>
              <w:rPr>
                <w:rFonts w:hint="default" w:ascii="Times New Roman" w:hAnsi="Times New Roman" w:eastAsia="方正仿宋_GBK" w:cs="Times New Roman"/>
              </w:rPr>
              <w:t>万元</w:t>
            </w:r>
          </w:p>
        </w:tc>
      </w:tr>
      <w:tr>
        <w:tblPrEx>
          <w:tblLayout w:type="fixed"/>
          <w:tblCellMar>
            <w:top w:w="0" w:type="dxa"/>
            <w:left w:w="0" w:type="dxa"/>
            <w:bottom w:w="0" w:type="dxa"/>
            <w:right w:w="0" w:type="dxa"/>
          </w:tblCellMar>
        </w:tblPrEx>
        <w:trPr>
          <w:trHeight w:val="422" w:hRule="atLeast"/>
        </w:trPr>
        <w:tc>
          <w:tcPr>
            <w:tcW w:w="6512"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bottom"/>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项目</w:t>
            </w:r>
          </w:p>
        </w:tc>
        <w:tc>
          <w:tcPr>
            <w:tcW w:w="13729" w:type="dxa"/>
            <w:gridSpan w:val="3"/>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bottom"/>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本年支出</w:t>
            </w:r>
          </w:p>
        </w:tc>
      </w:tr>
      <w:tr>
        <w:tblPrEx>
          <w:tblLayout w:type="fixed"/>
          <w:tblCellMar>
            <w:top w:w="0" w:type="dxa"/>
            <w:left w:w="0" w:type="dxa"/>
            <w:bottom w:w="0" w:type="dxa"/>
            <w:right w:w="0" w:type="dxa"/>
          </w:tblCellMar>
        </w:tblPrEx>
        <w:trPr>
          <w:trHeight w:val="339" w:hRule="atLeast"/>
        </w:trPr>
        <w:tc>
          <w:tcPr>
            <w:tcW w:w="2486"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功能分类科目编码</w:t>
            </w:r>
          </w:p>
        </w:tc>
        <w:tc>
          <w:tcPr>
            <w:tcW w:w="4026"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科目名称</w:t>
            </w:r>
          </w:p>
        </w:tc>
        <w:tc>
          <w:tcPr>
            <w:tcW w:w="4314"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合计</w:t>
            </w:r>
          </w:p>
        </w:tc>
        <w:tc>
          <w:tcPr>
            <w:tcW w:w="494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基本支出</w:t>
            </w:r>
          </w:p>
        </w:tc>
        <w:tc>
          <w:tcPr>
            <w:tcW w:w="447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项目支出</w:t>
            </w:r>
          </w:p>
        </w:tc>
      </w:tr>
      <w:tr>
        <w:tblPrEx>
          <w:tblLayout w:type="fixed"/>
          <w:tblCellMar>
            <w:top w:w="0" w:type="dxa"/>
            <w:left w:w="0" w:type="dxa"/>
            <w:bottom w:w="0" w:type="dxa"/>
            <w:right w:w="0" w:type="dxa"/>
          </w:tblCellMar>
        </w:tblPrEx>
        <w:trPr>
          <w:trHeight w:val="339" w:hRule="atLeast"/>
        </w:trPr>
        <w:tc>
          <w:tcPr>
            <w:tcW w:w="248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02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314"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94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47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r>
      <w:tr>
        <w:tblPrEx>
          <w:tblLayout w:type="fixed"/>
          <w:tblCellMar>
            <w:top w:w="0" w:type="dxa"/>
            <w:left w:w="0" w:type="dxa"/>
            <w:bottom w:w="0" w:type="dxa"/>
            <w:right w:w="0" w:type="dxa"/>
          </w:tblCellMar>
        </w:tblPrEx>
        <w:trPr>
          <w:trHeight w:val="339" w:hRule="atLeast"/>
        </w:trPr>
        <w:tc>
          <w:tcPr>
            <w:tcW w:w="248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02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314"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94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47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r>
      <w:tr>
        <w:tblPrEx>
          <w:tblLayout w:type="fixed"/>
          <w:tblCellMar>
            <w:top w:w="0" w:type="dxa"/>
            <w:left w:w="0" w:type="dxa"/>
            <w:bottom w:w="0" w:type="dxa"/>
            <w:right w:w="0" w:type="dxa"/>
          </w:tblCellMar>
        </w:tblPrEx>
        <w:trPr>
          <w:trHeight w:val="312" w:hRule="atLeast"/>
        </w:trPr>
        <w:tc>
          <w:tcPr>
            <w:tcW w:w="248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02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314"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94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c>
          <w:tcPr>
            <w:tcW w:w="447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b/>
                <w:color w:val="000000"/>
                <w:sz w:val="22"/>
                <w:szCs w:val="22"/>
              </w:rPr>
            </w:pPr>
          </w:p>
        </w:tc>
      </w:tr>
      <w:tr>
        <w:tblPrEx>
          <w:tblLayout w:type="fixed"/>
          <w:tblCellMar>
            <w:top w:w="0" w:type="dxa"/>
            <w:left w:w="0" w:type="dxa"/>
            <w:bottom w:w="0" w:type="dxa"/>
            <w:right w:w="0" w:type="dxa"/>
          </w:tblCellMar>
        </w:tblPrEx>
        <w:trPr>
          <w:trHeight w:val="611" w:hRule="atLeast"/>
        </w:trPr>
        <w:tc>
          <w:tcPr>
            <w:tcW w:w="6512"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合计</w:t>
            </w:r>
          </w:p>
        </w:tc>
        <w:tc>
          <w:tcPr>
            <w:tcW w:w="4314"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 </w:t>
            </w:r>
          </w:p>
        </w:tc>
        <w:tc>
          <w:tcPr>
            <w:tcW w:w="494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outlineLvl w:val="9"/>
              <w:rPr>
                <w:rFonts w:hint="default" w:ascii="Times New Roman" w:hAnsi="Times New Roman" w:eastAsia="方正仿宋_GBK" w:cs="Times New Roman"/>
                <w:b/>
                <w:color w:val="000000"/>
                <w:sz w:val="22"/>
                <w:szCs w:val="22"/>
              </w:rPr>
            </w:pPr>
          </w:p>
        </w:tc>
        <w:tc>
          <w:tcPr>
            <w:tcW w:w="447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bCs/>
                <w:color w:val="000000"/>
                <w:sz w:val="21"/>
                <w:szCs w:val="21"/>
                <w:lang w:bidi="ar"/>
              </w:rPr>
              <w:t xml:space="preserve"> </w:t>
            </w:r>
          </w:p>
        </w:tc>
      </w:tr>
    </w:tbl>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cs="Times New Roman"/>
          <w:sz w:val="21"/>
          <w:szCs w:val="21"/>
          <w:lang w:bidi="ar"/>
        </w:rPr>
      </w:pPr>
      <w:r>
        <w:rPr>
          <w:rFonts w:hint="default" w:ascii="Times New Roman" w:hAnsi="Times New Roman" w:eastAsia="方正仿宋_GBK" w:cs="Times New Roman"/>
          <w:sz w:val="21"/>
          <w:szCs w:val="21"/>
          <w:lang w:bidi="ar"/>
        </w:rPr>
        <w:t>备注：本表反映单位本年度国有资本经营预算财政拨款支出情况。本单位无国有资本经营收支，故本表无数据。</w:t>
      </w:r>
      <w:r>
        <w:rPr>
          <w:rFonts w:hint="default" w:ascii="Times New Roman" w:hAnsi="Times New Roman" w:cs="Times New Roman"/>
          <w:sz w:val="21"/>
          <w:szCs w:val="21"/>
          <w:lang w:bidi="ar"/>
        </w:rPr>
        <w:br w:type="textWrapping"/>
      </w:r>
      <w:r>
        <w:rPr>
          <w:rFonts w:hint="default" w:ascii="Times New Roman" w:hAnsi="Times New Roman" w:cs="Times New Roman"/>
          <w:sz w:val="21"/>
          <w:szCs w:val="21"/>
        </w:rPr>
        <w:br w:type="textWrapping"/>
      </w:r>
    </w:p>
    <w:p>
      <w:pPr>
        <w:rPr>
          <w:rFonts w:hint="default" w:ascii="Times New Roman" w:hAnsi="Times New Roman" w:cs="Times New Roman"/>
          <w:sz w:val="21"/>
          <w:szCs w:val="21"/>
        </w:rPr>
      </w:pPr>
      <w:r>
        <w:rPr>
          <w:rFonts w:hint="default" w:ascii="Times New Roman" w:hAnsi="Times New Roman" w:cs="Times New Roman"/>
          <w:sz w:val="21"/>
          <w:szCs w:val="21"/>
        </w:rPr>
        <w:br w:type="page"/>
      </w:r>
    </w:p>
    <w:tbl>
      <w:tblPr>
        <w:tblStyle w:val="8"/>
        <w:tblW w:w="20241" w:type="dxa"/>
        <w:tblInd w:w="0" w:type="dxa"/>
        <w:tblLayout w:type="fixed"/>
        <w:tblCellMar>
          <w:top w:w="0" w:type="dxa"/>
          <w:left w:w="0" w:type="dxa"/>
          <w:bottom w:w="0" w:type="dxa"/>
          <w:right w:w="0" w:type="dxa"/>
        </w:tblCellMar>
      </w:tblPr>
      <w:tblGrid>
        <w:gridCol w:w="4711"/>
        <w:gridCol w:w="3489"/>
        <w:gridCol w:w="2996"/>
        <w:gridCol w:w="6009"/>
        <w:gridCol w:w="3036"/>
      </w:tblGrid>
      <w:tr>
        <w:tblPrEx>
          <w:tblLayout w:type="fixed"/>
          <w:tblCellMar>
            <w:top w:w="0" w:type="dxa"/>
            <w:left w:w="0" w:type="dxa"/>
            <w:bottom w:w="0" w:type="dxa"/>
            <w:right w:w="0" w:type="dxa"/>
          </w:tblCellMar>
        </w:tblPrEx>
        <w:trPr>
          <w:trHeight w:val="510" w:hRule="atLeast"/>
        </w:trPr>
        <w:tc>
          <w:tcPr>
            <w:tcW w:w="20241" w:type="dxa"/>
            <w:gridSpan w:val="5"/>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wordWrap/>
              <w:overflowPunct/>
              <w:topLinePunct w:val="0"/>
              <w:autoSpaceDE/>
              <w:autoSpaceDN/>
              <w:bidi w:val="0"/>
              <w:adjustRightInd/>
              <w:snapToGrid/>
              <w:spacing w:line="640" w:lineRule="exact"/>
              <w:ind w:left="0" w:leftChars="0" w:right="0" w:rightChars="0" w:firstLine="0" w:firstLineChars="0"/>
              <w:jc w:val="center"/>
              <w:textAlignment w:val="bottom"/>
              <w:outlineLvl w:val="9"/>
              <w:rPr>
                <w:rFonts w:hint="default" w:ascii="Times New Roman" w:hAnsi="Times New Roman" w:cs="Times New Roman"/>
                <w:b/>
                <w:color w:val="000000"/>
                <w:sz w:val="40"/>
                <w:szCs w:val="40"/>
              </w:rPr>
            </w:pPr>
            <w:r>
              <w:rPr>
                <w:rFonts w:hint="default" w:ascii="Times New Roman" w:hAnsi="Times New Roman" w:eastAsia="方正小标宋_GBK" w:cs="Times New Roman"/>
                <w:b w:val="0"/>
                <w:bCs/>
                <w:color w:val="000000"/>
                <w:sz w:val="44"/>
                <w:szCs w:val="44"/>
                <w:lang w:bidi="ar"/>
              </w:rPr>
              <w:t>机构运行信息表</w:t>
            </w:r>
          </w:p>
        </w:tc>
      </w:tr>
      <w:tr>
        <w:tblPrEx>
          <w:tblLayout w:type="fixed"/>
          <w:tblCellMar>
            <w:top w:w="0" w:type="dxa"/>
            <w:left w:w="0" w:type="dxa"/>
            <w:bottom w:w="0" w:type="dxa"/>
            <w:right w:w="0" w:type="dxa"/>
          </w:tblCellMar>
        </w:tblPrEx>
        <w:trPr>
          <w:trHeight w:val="255" w:hRule="atLeast"/>
        </w:trPr>
        <w:tc>
          <w:tcPr>
            <w:tcW w:w="4711"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3489"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color w:val="000000"/>
                <w:sz w:val="20"/>
                <w:szCs w:val="20"/>
              </w:rPr>
            </w:pPr>
          </w:p>
        </w:tc>
        <w:tc>
          <w:tcPr>
            <w:tcW w:w="2996"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outlineLvl w:val="9"/>
              <w:rPr>
                <w:rFonts w:hint="default" w:ascii="Times New Roman" w:hAnsi="Times New Roman" w:eastAsia="方正仿宋_GBK" w:cs="Times New Roman"/>
                <w:color w:val="000000"/>
                <w:sz w:val="20"/>
                <w:szCs w:val="20"/>
              </w:rPr>
            </w:pPr>
          </w:p>
        </w:tc>
        <w:tc>
          <w:tcPr>
            <w:tcW w:w="6009"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0"/>
                <w:szCs w:val="20"/>
              </w:rPr>
            </w:pPr>
          </w:p>
        </w:tc>
        <w:tc>
          <w:tcPr>
            <w:tcW w:w="3036"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lang w:bidi="ar"/>
              </w:rPr>
              <w:t>公开09表</w:t>
            </w:r>
          </w:p>
        </w:tc>
      </w:tr>
      <w:tr>
        <w:tblPrEx>
          <w:tblLayout w:type="fixed"/>
          <w:tblCellMar>
            <w:top w:w="0" w:type="dxa"/>
            <w:left w:w="0" w:type="dxa"/>
            <w:bottom w:w="0" w:type="dxa"/>
            <w:right w:w="0" w:type="dxa"/>
          </w:tblCellMar>
        </w:tblPrEx>
        <w:trPr>
          <w:trHeight w:val="285" w:hRule="atLeast"/>
        </w:trPr>
        <w:tc>
          <w:tcPr>
            <w:tcW w:w="4711"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bottom"/>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rPr>
              <w:t>公开单位</w:t>
            </w:r>
            <w:r>
              <w:rPr>
                <w:rFonts w:hint="default" w:ascii="Times New Roman" w:hAnsi="Times New Roman" w:eastAsia="方正仿宋_GBK" w:cs="Times New Roman"/>
                <w:color w:val="000000"/>
                <w:lang w:bidi="ar"/>
              </w:rPr>
              <w:t xml:space="preserve">： </w:t>
            </w:r>
            <w:r>
              <w:rPr>
                <w:rFonts w:hint="default" w:ascii="Times New Roman" w:hAnsi="Times New Roman" w:eastAsia="方正仿宋_GBK" w:cs="Times New Roman"/>
                <w:color w:val="000000"/>
              </w:rPr>
              <w:t>垫江县邮政业发展服务中心</w:t>
            </w:r>
          </w:p>
        </w:tc>
        <w:tc>
          <w:tcPr>
            <w:tcW w:w="3489"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outlineLvl w:val="9"/>
              <w:rPr>
                <w:rFonts w:hint="default" w:ascii="Times New Roman" w:hAnsi="Times New Roman" w:eastAsia="方正仿宋_GBK" w:cs="Times New Roman"/>
                <w:color w:val="000000"/>
                <w:sz w:val="22"/>
                <w:szCs w:val="22"/>
              </w:rPr>
            </w:pPr>
          </w:p>
        </w:tc>
        <w:tc>
          <w:tcPr>
            <w:tcW w:w="2996"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outlineLvl w:val="9"/>
              <w:rPr>
                <w:rFonts w:hint="default" w:ascii="Times New Roman" w:hAnsi="Times New Roman" w:eastAsia="方正仿宋_GBK" w:cs="Times New Roman"/>
                <w:color w:val="000000"/>
                <w:sz w:val="22"/>
                <w:szCs w:val="22"/>
              </w:rPr>
            </w:pPr>
          </w:p>
        </w:tc>
        <w:tc>
          <w:tcPr>
            <w:tcW w:w="6009"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036" w:type="dxa"/>
            <w:tcBorders>
              <w:top w:val="nil"/>
              <w:left w:val="nil"/>
              <w:bottom w:val="nil"/>
              <w:right w:val="nil"/>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rPr>
            </w:pPr>
            <w:r>
              <w:rPr>
                <w:rFonts w:hint="default" w:ascii="Times New Roman" w:hAnsi="Times New Roman" w:eastAsia="方正仿宋_GBK" w:cs="Times New Roman"/>
                <w:color w:val="000000"/>
                <w:lang w:bidi="ar"/>
              </w:rPr>
              <w:t>单位：</w:t>
            </w:r>
            <w:r>
              <w:rPr>
                <w:rFonts w:hint="default" w:ascii="Times New Roman" w:hAnsi="Times New Roman" w:eastAsia="方正仿宋_GBK" w:cs="Times New Roman"/>
              </w:rPr>
              <w:t>万元</w:t>
            </w:r>
          </w:p>
        </w:tc>
      </w:tr>
      <w:tr>
        <w:tblPrEx>
          <w:tblLayout w:type="fixed"/>
          <w:tblCellMar>
            <w:top w:w="0" w:type="dxa"/>
            <w:left w:w="0" w:type="dxa"/>
            <w:bottom w:w="0" w:type="dxa"/>
            <w:right w:w="0" w:type="dxa"/>
          </w:tblCellMar>
        </w:tblPrEx>
        <w:trPr>
          <w:trHeight w:val="308" w:hRule="atLeast"/>
        </w:trPr>
        <w:tc>
          <w:tcPr>
            <w:tcW w:w="4711" w:type="dxa"/>
            <w:tcBorders>
              <w:top w:val="single" w:color="000000" w:sz="4" w:space="0"/>
              <w:left w:val="single" w:color="000000" w:sz="4" w:space="0"/>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项  目</w:t>
            </w:r>
          </w:p>
        </w:tc>
        <w:tc>
          <w:tcPr>
            <w:tcW w:w="34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预算数</w:t>
            </w:r>
          </w:p>
        </w:tc>
        <w:tc>
          <w:tcPr>
            <w:tcW w:w="2996" w:type="dxa"/>
            <w:tcBorders>
              <w:top w:val="single" w:color="000000" w:sz="4" w:space="0"/>
              <w:left w:val="nil"/>
              <w:bottom w:val="nil"/>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决算数</w:t>
            </w:r>
          </w:p>
        </w:tc>
        <w:tc>
          <w:tcPr>
            <w:tcW w:w="6009" w:type="dxa"/>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项  目</w:t>
            </w:r>
          </w:p>
        </w:tc>
        <w:tc>
          <w:tcPr>
            <w:tcW w:w="3036" w:type="dxa"/>
            <w:tcBorders>
              <w:top w:val="single" w:color="000000" w:sz="4" w:space="0"/>
              <w:left w:val="nil"/>
              <w:bottom w:val="nil"/>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b/>
                <w:color w:val="000000"/>
                <w:sz w:val="22"/>
                <w:szCs w:val="22"/>
              </w:rPr>
            </w:pPr>
            <w:r>
              <w:rPr>
                <w:rFonts w:hint="default" w:ascii="Times New Roman" w:hAnsi="Times New Roman" w:eastAsia="方正仿宋_GBK" w:cs="Times New Roman"/>
                <w:b/>
                <w:color w:val="000000"/>
                <w:sz w:val="22"/>
                <w:szCs w:val="22"/>
                <w:lang w:bidi="ar"/>
              </w:rPr>
              <w:t>决算数</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一、“三公”经费支出</w:t>
            </w:r>
          </w:p>
        </w:tc>
        <w:tc>
          <w:tcPr>
            <w:tcW w:w="3489"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c>
          <w:tcPr>
            <w:tcW w:w="299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c>
          <w:tcPr>
            <w:tcW w:w="6009"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四、机关运行经费</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（一）支出合计</w:t>
            </w:r>
          </w:p>
        </w:tc>
        <w:tc>
          <w:tcPr>
            <w:tcW w:w="3489"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0.19 </w:t>
            </w:r>
          </w:p>
        </w:tc>
        <w:tc>
          <w:tcPr>
            <w:tcW w:w="299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0.19 </w:t>
            </w:r>
          </w:p>
        </w:tc>
        <w:tc>
          <w:tcPr>
            <w:tcW w:w="6009"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（一）行政单位</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1．因公出国（境）费</w:t>
            </w:r>
          </w:p>
        </w:tc>
        <w:tc>
          <w:tcPr>
            <w:tcW w:w="3489"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299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6009"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（二）参照公务员法管理事业单位</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2．公务用车购置及运行维护费</w:t>
            </w:r>
          </w:p>
        </w:tc>
        <w:tc>
          <w:tcPr>
            <w:tcW w:w="3489"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299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6009"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五、资产信息</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（1）公务用车购置费</w:t>
            </w:r>
          </w:p>
        </w:tc>
        <w:tc>
          <w:tcPr>
            <w:tcW w:w="3489"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299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6009"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（一）车辆数合计（辆）</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（2）公务用车运行维护费</w:t>
            </w:r>
          </w:p>
        </w:tc>
        <w:tc>
          <w:tcPr>
            <w:tcW w:w="3489"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299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6009"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1．副部（省）级及以上领导用车</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3．公务接待费</w:t>
            </w:r>
          </w:p>
        </w:tc>
        <w:tc>
          <w:tcPr>
            <w:tcW w:w="3489"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0.19 </w:t>
            </w:r>
          </w:p>
        </w:tc>
        <w:tc>
          <w:tcPr>
            <w:tcW w:w="299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0.19 </w:t>
            </w:r>
          </w:p>
        </w:tc>
        <w:tc>
          <w:tcPr>
            <w:tcW w:w="6009"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2．主要领导干部用车</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（1）国内接待费</w:t>
            </w:r>
          </w:p>
        </w:tc>
        <w:tc>
          <w:tcPr>
            <w:tcW w:w="348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c>
          <w:tcPr>
            <w:tcW w:w="299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0.19 </w:t>
            </w:r>
          </w:p>
        </w:tc>
        <w:tc>
          <w:tcPr>
            <w:tcW w:w="6009"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3．机要通信用车</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其中：外事接待费</w:t>
            </w:r>
          </w:p>
        </w:tc>
        <w:tc>
          <w:tcPr>
            <w:tcW w:w="348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c>
          <w:tcPr>
            <w:tcW w:w="299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6009"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4．应急保障用车</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（2）国（境）外接待费</w:t>
            </w:r>
          </w:p>
        </w:tc>
        <w:tc>
          <w:tcPr>
            <w:tcW w:w="348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c>
          <w:tcPr>
            <w:tcW w:w="299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6009"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5．执法执勤用车</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（二）相关统计数</w:t>
            </w:r>
          </w:p>
        </w:tc>
        <w:tc>
          <w:tcPr>
            <w:tcW w:w="348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c>
          <w:tcPr>
            <w:tcW w:w="299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c>
          <w:tcPr>
            <w:tcW w:w="6009"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6．特种专业技术用车</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1．因公出国（境）团组数（个）</w:t>
            </w:r>
          </w:p>
        </w:tc>
        <w:tc>
          <w:tcPr>
            <w:tcW w:w="348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c>
          <w:tcPr>
            <w:tcW w:w="2996"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6009"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7．离退休干部用车</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2．因公出国（境）人次数（人）</w:t>
            </w:r>
          </w:p>
        </w:tc>
        <w:tc>
          <w:tcPr>
            <w:tcW w:w="348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c>
          <w:tcPr>
            <w:tcW w:w="2996"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6009"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8．其他用车</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3．公务用车购置数（辆）</w:t>
            </w:r>
          </w:p>
        </w:tc>
        <w:tc>
          <w:tcPr>
            <w:tcW w:w="348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c>
          <w:tcPr>
            <w:tcW w:w="2996"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6009"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（二）单价100万元（含）以上设备（不含车辆）</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4．公务用车保有量（辆）</w:t>
            </w:r>
          </w:p>
        </w:tc>
        <w:tc>
          <w:tcPr>
            <w:tcW w:w="348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c>
          <w:tcPr>
            <w:tcW w:w="2996"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6009"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六、政府采购支出信息</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5．国内公务接待批次（个）</w:t>
            </w:r>
          </w:p>
        </w:tc>
        <w:tc>
          <w:tcPr>
            <w:tcW w:w="348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c>
          <w:tcPr>
            <w:tcW w:w="2996"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4 </w:t>
            </w:r>
          </w:p>
        </w:tc>
        <w:tc>
          <w:tcPr>
            <w:tcW w:w="6009"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（一）政府采购支出合计</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其中：外事接待批次（个）</w:t>
            </w:r>
          </w:p>
        </w:tc>
        <w:tc>
          <w:tcPr>
            <w:tcW w:w="348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c>
          <w:tcPr>
            <w:tcW w:w="2996"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6009"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1．政府采购货物支出</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6．国内公务接待人次（人）</w:t>
            </w:r>
          </w:p>
        </w:tc>
        <w:tc>
          <w:tcPr>
            <w:tcW w:w="348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c>
          <w:tcPr>
            <w:tcW w:w="2996"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30 </w:t>
            </w:r>
          </w:p>
        </w:tc>
        <w:tc>
          <w:tcPr>
            <w:tcW w:w="6009"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2．政府采购工程支出</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其中：外事接待人次（人）</w:t>
            </w:r>
          </w:p>
        </w:tc>
        <w:tc>
          <w:tcPr>
            <w:tcW w:w="348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c>
          <w:tcPr>
            <w:tcW w:w="2996"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6009"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3．政府采购服务支出</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7．国（境）外公务接待批次（个）</w:t>
            </w:r>
          </w:p>
        </w:tc>
        <w:tc>
          <w:tcPr>
            <w:tcW w:w="348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c>
          <w:tcPr>
            <w:tcW w:w="2996"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6009"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（二）政府采购授予中小企业合同金额</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8．国（境）外公务接待人次（人）</w:t>
            </w:r>
          </w:p>
        </w:tc>
        <w:tc>
          <w:tcPr>
            <w:tcW w:w="348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c>
          <w:tcPr>
            <w:tcW w:w="2996"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6009"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 xml:space="preserve">        其中：授予小微企业合同金额</w:t>
            </w: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二、会议费</w:t>
            </w:r>
          </w:p>
        </w:tc>
        <w:tc>
          <w:tcPr>
            <w:tcW w:w="348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c>
          <w:tcPr>
            <w:tcW w:w="299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 </w:t>
            </w:r>
          </w:p>
        </w:tc>
        <w:tc>
          <w:tcPr>
            <w:tcW w:w="6009"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outlineLvl w:val="9"/>
              <w:rPr>
                <w:rFonts w:hint="default" w:ascii="Times New Roman" w:hAnsi="Times New Roman" w:eastAsia="方正仿宋_GBK" w:cs="Times New Roman"/>
                <w:color w:val="000000"/>
                <w:sz w:val="20"/>
                <w:szCs w:val="20"/>
              </w:rPr>
            </w:pPr>
          </w:p>
        </w:tc>
      </w:tr>
      <w:tr>
        <w:tblPrEx>
          <w:tblLayout w:type="fixed"/>
          <w:tblCellMar>
            <w:top w:w="0" w:type="dxa"/>
            <w:left w:w="0" w:type="dxa"/>
            <w:bottom w:w="0" w:type="dxa"/>
            <w:right w:w="0" w:type="dxa"/>
          </w:tblCellMar>
        </w:tblPrEx>
        <w:trPr>
          <w:trHeight w:val="308" w:hRule="atLeast"/>
        </w:trPr>
        <w:tc>
          <w:tcPr>
            <w:tcW w:w="4711"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三、培训费</w:t>
            </w:r>
          </w:p>
        </w:tc>
        <w:tc>
          <w:tcPr>
            <w:tcW w:w="348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center"/>
              <w:textAlignment w:val="center"/>
              <w:outlineLvl w:val="9"/>
              <w:rPr>
                <w:rFonts w:hint="default" w:ascii="Times New Roman" w:hAnsi="Times New Roman" w:eastAsia="方正仿宋_GBK" w:cs="Times New Roman"/>
                <w:color w:val="000000"/>
                <w:sz w:val="22"/>
                <w:szCs w:val="22"/>
              </w:rPr>
            </w:pPr>
            <w:r>
              <w:rPr>
                <w:rFonts w:hint="default" w:ascii="Times New Roman" w:hAnsi="Times New Roman" w:eastAsia="方正仿宋_GBK" w:cs="Times New Roman"/>
                <w:color w:val="000000"/>
                <w:sz w:val="22"/>
                <w:szCs w:val="22"/>
                <w:lang w:bidi="ar"/>
              </w:rPr>
              <w:t>—</w:t>
            </w:r>
          </w:p>
        </w:tc>
        <w:tc>
          <w:tcPr>
            <w:tcW w:w="2996"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wordWrap w:val="0"/>
              <w:overflowPunct/>
              <w:topLinePunct w:val="0"/>
              <w:autoSpaceDE/>
              <w:autoSpaceDN/>
              <w:bidi w:val="0"/>
              <w:adjustRightInd/>
              <w:snapToGrid/>
              <w:spacing w:line="400" w:lineRule="exact"/>
              <w:ind w:left="0" w:leftChars="0" w:right="0" w:rightChars="0" w:firstLine="0" w:firstLineChars="0"/>
              <w:jc w:val="right"/>
              <w:textAlignment w:val="bottom"/>
              <w:outlineLvl w:val="9"/>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1"/>
                <w:szCs w:val="21"/>
                <w:lang w:bidi="ar"/>
              </w:rPr>
              <w:t xml:space="preserve">2.38 </w:t>
            </w:r>
          </w:p>
        </w:tc>
        <w:tc>
          <w:tcPr>
            <w:tcW w:w="6009"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eastAsia="方正仿宋_GBK" w:cs="Times New Roman"/>
                <w:color w:val="000000"/>
                <w:sz w:val="22"/>
                <w:szCs w:val="22"/>
              </w:rPr>
            </w:pPr>
          </w:p>
        </w:tc>
        <w:tc>
          <w:tcPr>
            <w:tcW w:w="303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jc w:val="right"/>
              <w:outlineLvl w:val="9"/>
              <w:rPr>
                <w:rFonts w:hint="default" w:ascii="Times New Roman" w:hAnsi="Times New Roman" w:eastAsia="方正仿宋_GBK" w:cs="Times New Roman"/>
                <w:color w:val="000000"/>
                <w:sz w:val="20"/>
                <w:szCs w:val="20"/>
              </w:rPr>
            </w:pPr>
          </w:p>
        </w:tc>
      </w:tr>
    </w:tbl>
    <w:p>
      <w:pPr>
        <w:keepNext w:val="0"/>
        <w:keepLines w:val="0"/>
        <w:pageBreakBefore w:val="0"/>
        <w:widowControl/>
        <w:kinsoku/>
        <w:overflowPunct/>
        <w:topLinePunct w:val="0"/>
        <w:autoSpaceDE/>
        <w:autoSpaceDN/>
        <w:bidi w:val="0"/>
        <w:adjustRightInd/>
        <w:snapToGrid/>
        <w:spacing w:line="400" w:lineRule="exact"/>
        <w:ind w:left="0" w:leftChars="0" w:right="0" w:rightChars="0" w:firstLine="0" w:firstLineChars="0"/>
        <w:outlineLvl w:val="9"/>
        <w:rPr>
          <w:rFonts w:hint="default" w:ascii="Times New Roman" w:hAnsi="Times New Roman" w:cs="Times New Roman"/>
          <w:sz w:val="21"/>
          <w:szCs w:val="21"/>
        </w:rPr>
      </w:pPr>
      <w:r>
        <w:rPr>
          <w:rFonts w:hint="default" w:ascii="Times New Roman" w:hAnsi="Times New Roman" w:eastAsia="方正仿宋_GBK" w:cs="Times New Roman"/>
          <w:sz w:val="21"/>
          <w:szCs w:val="21"/>
          <w:lang w:bidi="ar"/>
        </w:rPr>
        <w:t>备注：1.本表反映单位本年度财政拨款“三公”经费支出预决算情况。其中，预算数为“三公”经费全年预算数，反映按规定程序调整后的预算数；决算数为包括本年度财政拨款和以前年度结转资金安排的实际支出。</w:t>
      </w:r>
      <w:r>
        <w:rPr>
          <w:rFonts w:hint="default" w:ascii="Times New Roman" w:hAnsi="Times New Roman" w:eastAsia="方正仿宋_GBK" w:cs="Times New Roman"/>
          <w:sz w:val="21"/>
          <w:szCs w:val="21"/>
          <w:lang w:bidi="ar"/>
        </w:rPr>
        <w:br w:type="textWrapping"/>
      </w:r>
      <w:r>
        <w:rPr>
          <w:rFonts w:hint="default" w:ascii="Times New Roman" w:hAnsi="Times New Roman" w:eastAsia="方正仿宋_GBK" w:cs="Times New Roman"/>
          <w:sz w:val="21"/>
          <w:szCs w:val="21"/>
          <w:lang w:bidi="ar"/>
        </w:rPr>
        <w:t xml:space="preserve">      2.本套报表金额单位转换时可能存在尾数误差。</w:t>
      </w:r>
      <w:r>
        <w:rPr>
          <w:rFonts w:hint="default" w:ascii="Times New Roman" w:hAnsi="Times New Roman" w:cs="Times New Roman"/>
          <w:sz w:val="21"/>
          <w:szCs w:val="21"/>
          <w:lang w:bidi="ar"/>
        </w:rPr>
        <w:br w:type="textWrapping"/>
      </w:r>
      <w:r>
        <w:rPr>
          <w:rFonts w:hint="default" w:ascii="Times New Roman" w:hAnsi="Times New Roman" w:cs="Times New Roman"/>
          <w:sz w:val="21"/>
          <w:szCs w:val="21"/>
        </w:rPr>
        <w:br w:type="textWrapping"/>
      </w:r>
    </w:p>
    <w:p>
      <w:pPr>
        <w:rPr>
          <w:rFonts w:hint="default" w:ascii="Times New Roman" w:hAnsi="Times New Roman" w:cs="Times New Roman"/>
          <w:color w:val="000000"/>
          <w:sz w:val="21"/>
          <w:szCs w:val="21"/>
          <w:lang w:bidi="ar"/>
        </w:rPr>
      </w:pPr>
    </w:p>
    <w:p>
      <w:pPr>
        <w:pStyle w:val="10"/>
        <w:autoSpaceDE w:val="0"/>
        <w:ind w:firstLine="0" w:firstLineChars="0"/>
        <w:rPr>
          <w:rFonts w:hint="default" w:ascii="Times New Roman" w:hAnsi="Times New Roman" w:cs="Times New Roman"/>
          <w:sz w:val="21"/>
          <w:szCs w:val="21"/>
        </w:rPr>
      </w:pPr>
    </w:p>
    <w:sectPr>
      <w:headerReference r:id="rId4" w:type="default"/>
      <w:footerReference r:id="rId5" w:type="default"/>
      <w:pgSz w:w="23811" w:h="16838" w:orient="landscape"/>
      <w:pgMar w:top="1440" w:right="1800" w:bottom="1440" w:left="1800" w:header="0" w:footer="283"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swiss"/>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auto"/>
    <w:pitch w:val="default"/>
    <w:sig w:usb0="00000000" w:usb1="00000000" w:usb2="00000000" w:usb3="00000000" w:csb0="00040000" w:csb1="00000000"/>
  </w:font>
  <w:font w:name="Arial">
    <w:panose1 w:val="020B0604020202020204"/>
    <w:charset w:val="00"/>
    <w:family w:val="auto"/>
    <w:pitch w:val="default"/>
    <w:sig w:usb0="E0002EFF" w:usb1="C000785B" w:usb2="00000009" w:usb3="00000000" w:csb0="400001FF" w:csb1="FFFF0000"/>
  </w:font>
  <w:font w:name="Calibri Light">
    <w:panose1 w:val="020F0302020204030204"/>
    <w:charset w:val="00"/>
    <w:family w:val="auto"/>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方正中倩_GBK">
    <w:panose1 w:val="03000509000000000000"/>
    <w:charset w:val="86"/>
    <w:family w:val="auto"/>
    <w:pitch w:val="default"/>
    <w:sig w:usb0="00000001" w:usb1="080E0000" w:usb2="00000000" w:usb3="00000000" w:csb0="00040000" w:csb1="00000000"/>
  </w:font>
  <w:font w:name="方正黑体">
    <w:altName w:val="黑体"/>
    <w:panose1 w:val="00000000000000000000"/>
    <w:charset w:val="00"/>
    <w:family w:val="auto"/>
    <w:pitch w:val="default"/>
    <w:sig w:usb0="00000000" w:usb1="00000000" w:usb2="00000000" w:usb3="00000000" w:csb0="00000000" w:csb1="00000000"/>
  </w:font>
  <w:font w:name="华文中宋">
    <w:altName w:val="宋体"/>
    <w:panose1 w:val="02010600040101010101"/>
    <w:charset w:val="86"/>
    <w:family w:val="auto"/>
    <w:pitch w:val="default"/>
    <w:sig w:usb0="00000000" w:usb1="00000000" w:usb2="00000000" w:usb3="00000000" w:csb0="0004009F" w:csb1="DFD70000"/>
  </w:font>
  <w:font w:name="TimesNewRoman">
    <w:altName w:val="Times New Roman"/>
    <w:panose1 w:val="02020603050405020304"/>
    <w:charset w:val="00"/>
    <w:family w:val="auto"/>
    <w:pitch w:val="default"/>
    <w:sig w:usb0="00000000" w:usb1="00000000" w:usb2="00000029" w:usb3="00000000" w:csb0="600001FF" w:csb1="FFFF0000"/>
  </w:font>
  <w:font w:name="华文中宋">
    <w:altName w:val="宋体"/>
    <w:panose1 w:val="00000000000000000000"/>
    <w:charset w:val="00"/>
    <w:family w:val="auto"/>
    <w:pitch w:val="default"/>
    <w:sig w:usb0="00000000" w:usb1="00000000" w:usb2="00000000" w:usb3="00000000" w:csb0="00000000" w:csb1="00000000"/>
  </w:font>
  <w:font w:name="方正_GBK">
    <w:altName w:val="Segoe Print"/>
    <w:panose1 w:val="00000000000000000000"/>
    <w:charset w:val="00"/>
    <w:family w:val="auto"/>
    <w:pitch w:val="default"/>
    <w:sig w:usb0="00000000" w:usb1="00000000" w:usb2="00000000" w:usb3="00000000" w:csb0="00000000" w:csb1="00000000"/>
  </w:font>
  <w:font w:name="方正_GBK小">
    <w:altName w:val="Segoe Print"/>
    <w:panose1 w:val="00000000000000000000"/>
    <w:charset w:val="00"/>
    <w:family w:val="auto"/>
    <w:pitch w:val="default"/>
    <w:sig w:usb0="00000000" w:usb1="00000000" w:usb2="00000000" w:usb3="00000000" w:csb0="00000000" w:csb1="00000000"/>
  </w:font>
  <w:font w:name="方正小_GBK">
    <w:altName w:val="Segoe Print"/>
    <w:panose1 w:val="00000000000000000000"/>
    <w:charset w:val="00"/>
    <w:family w:val="auto"/>
    <w:pitch w:val="default"/>
    <w:sig w:usb0="00000000" w:usb1="00000000" w:usb2="00000000" w:usb3="00000000" w:csb0="00000000" w:csb1="00000000"/>
  </w:font>
  <w:font w:name="方正小_GBK标宋">
    <w:altName w:val="宋体"/>
    <w:panose1 w:val="00000000000000000000"/>
    <w:charset w:val="00"/>
    <w:family w:val="auto"/>
    <w:pitch w:val="default"/>
    <w:sig w:usb0="00000000" w:usb1="00000000" w:usb2="00000000" w:usb3="00000000" w:csb0="00000000" w:csb1="00000000"/>
  </w:font>
  <w:font w:name="Dialog . plain">
    <w:altName w:val="Segoe Print"/>
    <w:panose1 w:val="00000000000000000000"/>
    <w:charset w:val="00"/>
    <w:family w:val="auto"/>
    <w:pitch w:val="default"/>
    <w:sig w:usb0="00000000" w:usb1="00000000" w:usb2="00000000" w:usb3="00000000" w:csb0="00040001" w:csb1="00000000"/>
  </w:font>
  <w:font w:name="Courier New">
    <w:panose1 w:val="02070309020205020404"/>
    <w:charset w:val="00"/>
    <w:family w:val="modern"/>
    <w:pitch w:val="default"/>
    <w:sig w:usb0="E0002EFF" w:usb1="C0007843" w:usb2="00000009" w:usb3="00000000" w:csb0="400001FF" w:csb1="FFFF0000"/>
  </w:font>
  <w:font w:name="方正仿宋">
    <w:altName w:val="仿宋"/>
    <w:panose1 w:val="03000509000000000000"/>
    <w:charset w:val="86"/>
    <w:family w:val="script"/>
    <w:pitch w:val="default"/>
    <w:sig w:usb0="00000000" w:usb1="00000000" w:usb2="00000010" w:usb3="00000000" w:csb0="00040000" w:csb1="00000000"/>
  </w:font>
  <w:font w:name="等线 Light">
    <w:panose1 w:val="02010600030101010101"/>
    <w:charset w:val="86"/>
    <w:family w:val="auto"/>
    <w:pitch w:val="default"/>
    <w:sig w:usb0="A00002BF" w:usb1="38CF7CFA" w:usb2="00000016" w:usb3="00000000" w:csb0="0004000F" w:csb1="00000000"/>
  </w:font>
  <w:font w:name="方正小标宋简体">
    <w:altName w:val="微软雅黑"/>
    <w:panose1 w:val="03000509000000000000"/>
    <w:charset w:val="86"/>
    <w:family w:val="script"/>
    <w:pitch w:val="default"/>
    <w:sig w:usb0="00000000" w:usb1="00000000" w:usb2="00000010" w:usb3="00000000" w:csb0="00040000" w:csb1="00000000"/>
  </w:font>
  <w:font w:name="创艺简标宋">
    <w:altName w:val="黑体"/>
    <w:panose1 w:val="00000000000000000000"/>
    <w:charset w:val="86"/>
    <w:family w:val="auto"/>
    <w:pitch w:val="default"/>
    <w:sig w:usb0="00000000" w:usb1="00000000" w:usb2="00000010" w:usb3="00000000" w:csb0="00040000" w:csb1="00000000"/>
  </w:font>
  <w:font w:name="PingFang SC">
    <w:altName w:val="Segoe Print"/>
    <w:panose1 w:val="00000000000000000000"/>
    <w:charset w:val="00"/>
    <w:family w:val="auto"/>
    <w:pitch w:val="default"/>
    <w:sig w:usb0="00000000" w:usb1="00000000" w:usb2="00000000" w:usb3="00000000" w:csb0="00040001" w:csb1="00000000"/>
  </w:font>
  <w:font w:name="Simplified Arabic">
    <w:altName w:val="Segoe Print"/>
    <w:panose1 w:val="02020603050004020304"/>
    <w:charset w:val="00"/>
    <w:family w:val="auto"/>
    <w:pitch w:val="default"/>
    <w:sig w:usb0="00000000" w:usb1="00000000" w:usb2="00000000" w:usb3="00000000" w:csb0="00000041" w:csb1="20080000"/>
  </w:font>
  <w:font w:name="楷体_GB2312">
    <w:altName w:val="楷体"/>
    <w:panose1 w:val="02010609030001010101"/>
    <w:charset w:val="86"/>
    <w:family w:val="modern"/>
    <w:pitch w:val="default"/>
    <w:sig w:usb0="00000000" w:usb1="00000000" w:usb2="00000000" w:usb3="00000000" w:csb0="00040000" w:csb1="00000000"/>
  </w:font>
  <w:font w:name="方正仿宋简体">
    <w:altName w:val="微软雅黑"/>
    <w:panose1 w:val="02010601030001010101"/>
    <w:charset w:val="86"/>
    <w:family w:val="script"/>
    <w:pitch w:val="default"/>
    <w:sig w:usb0="00000000" w:usb1="00000000" w:usb2="00000000" w:usb3="00000000" w:csb0="00040000" w:csb1="00000000"/>
  </w:font>
  <w:font w:name="华文细黑">
    <w:altName w:val="微软雅黑"/>
    <w:panose1 w:val="02010600040001010101"/>
    <w:charset w:val="86"/>
    <w:family w:val="auto"/>
    <w:pitch w:val="default"/>
    <w:sig w:usb0="00000000" w:usb1="00000000" w:usb2="00000000" w:usb3="00000000" w:csb0="0004009F" w:csb1="DFD70000"/>
  </w:font>
  <w:font w:name="叶根友毛笔行书2.0版">
    <w:altName w:val="宋体"/>
    <w:panose1 w:val="02010601030001010101"/>
    <w:charset w:val="86"/>
    <w:family w:val="auto"/>
    <w:pitch w:val="default"/>
    <w:sig w:usb0="00000000" w:usb1="00000000" w:usb2="00000000" w:usb3="00000000" w:csb0="00040000" w:csb1="00000000"/>
  </w:font>
  <w:font w:name="新宋体">
    <w:panose1 w:val="02010609030101010101"/>
    <w:charset w:val="86"/>
    <w:family w:val="auto"/>
    <w:pitch w:val="default"/>
    <w:sig w:usb0="00000283" w:usb1="288F0000" w:usb2="00000006" w:usb3="00000000" w:csb0="00040001" w:csb1="00000000"/>
  </w:font>
  <w:font w:name="方正书宋_GBK">
    <w:panose1 w:val="03000509000000000000"/>
    <w:charset w:val="86"/>
    <w:family w:val="auto"/>
    <w:pitch w:val="default"/>
    <w:sig w:usb0="00000001" w:usb1="080E0000" w:usb2="00000000" w:usb3="00000000" w:csb0="00040000" w:csb1="00000000"/>
  </w:font>
  <w:font w:name="方正兰亭粗黑_GBK">
    <w:altName w:val="黑体"/>
    <w:panose1 w:val="02000000000000000000"/>
    <w:charset w:val="86"/>
    <w:family w:val="auto"/>
    <w:pitch w:val="default"/>
    <w:sig w:usb0="00000000" w:usb1="00000000" w:usb2="00000000" w:usb3="00000000" w:csb0="00040000" w:csb1="00000000"/>
  </w:font>
  <w:font w:name="方正兰亭超细黑简体">
    <w:altName w:val="黑体"/>
    <w:panose1 w:val="02000000000000000000"/>
    <w:charset w:val="86"/>
    <w:family w:val="auto"/>
    <w:pitch w:val="default"/>
    <w:sig w:usb0="00000000" w:usb1="00000000" w:usb2="00000000" w:usb3="00000000" w:csb0="00040000" w:csb1="00000000"/>
  </w:font>
  <w:font w:name="方正粗黑宋简体">
    <w:panose1 w:val="02000000000000000000"/>
    <w:charset w:val="86"/>
    <w:family w:val="auto"/>
    <w:pitch w:val="default"/>
    <w:sig w:usb0="A00002BF" w:usb1="184F6CFA" w:usb2="00000012" w:usb3="00000000" w:csb0="00040001" w:csb1="00000000"/>
  </w:font>
  <w:font w:name="方正美黑_GBK">
    <w:panose1 w:val="03000509000000000000"/>
    <w:charset w:val="86"/>
    <w:family w:val="auto"/>
    <w:pitch w:val="default"/>
    <w:sig w:usb0="00000001" w:usb1="080E0000" w:usb2="00000000" w:usb3="00000000" w:csb0="00040000" w:csb1="00000000"/>
  </w:font>
  <w:font w:name="方正魏碑_GBK">
    <w:panose1 w:val="03000509000000000000"/>
    <w:charset w:val="86"/>
    <w:family w:val="auto"/>
    <w:pitch w:val="default"/>
    <w:sig w:usb0="00000001" w:usb1="080E0000" w:usb2="00000000" w:usb3="00000000" w:csb0="00040000" w:csb1="00000000"/>
  </w:font>
  <w:font w:name="DotumChe">
    <w:altName w:val="Malgun Gothic"/>
    <w:panose1 w:val="020B0609000001010101"/>
    <w:charset w:val="81"/>
    <w:family w:val="auto"/>
    <w:pitch w:val="default"/>
    <w:sig w:usb0="00000000" w:usb1="00000000" w:usb2="00000030" w:usb3="00000000" w:csb0="4008009F" w:csb1="DFD70000"/>
  </w:font>
  <w:font w:name="Gulim">
    <w:altName w:val="Malgun Gothic"/>
    <w:panose1 w:val="020B0600000001010101"/>
    <w:charset w:val="81"/>
    <w:family w:val="auto"/>
    <w:pitch w:val="default"/>
    <w:sig w:usb0="00000000" w:usb1="00000000" w:usb2="00000030" w:usb3="00000000" w:csb0="4008009F" w:csb1="DFD70000"/>
  </w:font>
  <w:font w:name="GulimChe">
    <w:altName w:val="Malgun Gothic"/>
    <w:panose1 w:val="020B0609000001010101"/>
    <w:charset w:val="81"/>
    <w:family w:val="auto"/>
    <w:pitch w:val="default"/>
    <w:sig w:usb0="00000000" w:usb1="00000000" w:usb2="00000030" w:usb3="00000000" w:csb0="4008009F" w:csb1="DFD70000"/>
  </w:font>
  <w:font w:name="Gungsuh">
    <w:altName w:val="Malgun Gothic"/>
    <w:panose1 w:val="02030600000001010101"/>
    <w:charset w:val="81"/>
    <w:family w:val="auto"/>
    <w:pitch w:val="default"/>
    <w:sig w:usb0="00000000" w:usb1="00000000" w:usb2="00000030" w:usb3="00000000" w:csb0="4008009F" w:csb1="DFD70000"/>
  </w:font>
  <w:font w:name="Meiryo">
    <w:altName w:val="Yu Gothic UI"/>
    <w:panose1 w:val="020B0604030005040204"/>
    <w:charset w:val="80"/>
    <w:family w:val="auto"/>
    <w:pitch w:val="default"/>
    <w:sig w:usb0="00000000" w:usb1="00000000" w:usb2="00010012" w:usb3="00000000" w:csb0="6002009F" w:csb1="DFD70000"/>
  </w:font>
  <w:font w:name="MS PMincho">
    <w:altName w:val="Yu Gothic UI"/>
    <w:panose1 w:val="02020600040002080304"/>
    <w:charset w:val="80"/>
    <w:family w:val="auto"/>
    <w:pitch w:val="default"/>
    <w:sig w:usb0="00000000" w:usb1="00000000" w:usb2="00000012" w:usb3="00000000" w:csb0="4002009F" w:csb1="DFD70000"/>
  </w:font>
  <w:font w:name="SimSun-ExtB">
    <w:panose1 w:val="02010609060101010101"/>
    <w:charset w:val="86"/>
    <w:family w:val="auto"/>
    <w:pitch w:val="default"/>
    <w:sig w:usb0="00000001" w:usb1="02000000" w:usb2="00000000" w:usb3="00000000" w:csb0="00040001" w:csb1="00000000"/>
  </w:font>
  <w:font w:name="SJQY">
    <w:altName w:val="宋体"/>
    <w:panose1 w:val="02010600030001010101"/>
    <w:charset w:val="86"/>
    <w:family w:val="auto"/>
    <w:pitch w:val="default"/>
    <w:sig w:usb0="00000000" w:usb1="00000000" w:usb2="00000000" w:usb3="00000000" w:csb0="00040001" w:csb1="00000000"/>
  </w:font>
  <w:font w:name="Angsana New">
    <w:altName w:val="Segoe Print"/>
    <w:panose1 w:val="02020603050004020304"/>
    <w:charset w:val="00"/>
    <w:family w:val="auto"/>
    <w:pitch w:val="default"/>
    <w:sig w:usb0="00000000" w:usb1="00000000" w:usb2="00000000" w:usb3="00000000" w:csb0="00010001" w:csb1="00000000"/>
  </w:font>
  <w:font w:name="BrowalliaUPC">
    <w:altName w:val="Segoe Print"/>
    <w:panose1 w:val="020B0604020002020204"/>
    <w:charset w:val="00"/>
    <w:family w:val="auto"/>
    <w:pitch w:val="default"/>
    <w:sig w:usb0="00000000" w:usb1="00000000" w:usb2="00000000" w:usb3="00000000" w:csb0="00010001" w:csb1="00000000"/>
  </w:font>
  <w:font w:name="Candara">
    <w:panose1 w:val="020E0502030303020204"/>
    <w:charset w:val="00"/>
    <w:family w:val="auto"/>
    <w:pitch w:val="default"/>
    <w:sig w:usb0="A00002EF" w:usb1="4000A44B" w:usb2="00000000" w:usb3="00000000" w:csb0="2000019F" w:csb1="00000000"/>
  </w:font>
  <w:font w:name="Consolas">
    <w:panose1 w:val="020B0609020204030204"/>
    <w:charset w:val="00"/>
    <w:family w:val="auto"/>
    <w:pitch w:val="default"/>
    <w:sig w:usb0="E00006FF" w:usb1="0000FCFF" w:usb2="00000001" w:usb3="00000000" w:csb0="6000019F" w:csb1="DFD70000"/>
  </w:font>
  <w:font w:name="Constantia">
    <w:panose1 w:val="02030602050306030303"/>
    <w:charset w:val="00"/>
    <w:family w:val="auto"/>
    <w:pitch w:val="default"/>
    <w:sig w:usb0="A00002EF" w:usb1="4000204B" w:usb2="00000000" w:usb3="00000000" w:csb0="2000019F" w:csb1="00000000"/>
  </w:font>
  <w:font w:name="Corbel">
    <w:panose1 w:val="020B0503020204020204"/>
    <w:charset w:val="00"/>
    <w:family w:val="auto"/>
    <w:pitch w:val="default"/>
    <w:sig w:usb0="A00002EF" w:usb1="4000A44B" w:usb2="00000000" w:usb3="00000000" w:csb0="2000019F" w:csb1="00000000"/>
  </w:font>
  <w:font w:name="David">
    <w:altName w:val="Segoe Print"/>
    <w:panose1 w:val="020E0502060004010101"/>
    <w:charset w:val="00"/>
    <w:family w:val="auto"/>
    <w:pitch w:val="default"/>
    <w:sig w:usb0="00000000" w:usb1="00000000" w:usb2="00000000" w:usb3="00000000" w:csb0="00000020" w:csb1="00200000"/>
  </w:font>
  <w:font w:name="Microsoft Tai Le">
    <w:panose1 w:val="020B0502040204020203"/>
    <w:charset w:val="00"/>
    <w:family w:val="auto"/>
    <w:pitch w:val="default"/>
    <w:sig w:usb0="00000003" w:usb1="00000000" w:usb2="40000000" w:usb3="00000000" w:csb0="00000001" w:csb1="00000000"/>
  </w:font>
  <w:font w:name="Sylfaen">
    <w:panose1 w:val="010A0502050306030303"/>
    <w:charset w:val="00"/>
    <w:family w:val="auto"/>
    <w:pitch w:val="default"/>
    <w:sig w:usb0="04000687" w:usb1="00000000" w:usb2="00000000" w:usb3="00000000" w:csb0="2000009F" w:csb1="00000000"/>
  </w:font>
  <w:font w:name="Tahoma">
    <w:panose1 w:val="020B0604030504040204"/>
    <w:charset w:val="00"/>
    <w:family w:val="auto"/>
    <w:pitch w:val="default"/>
    <w:sig w:usb0="E1002EFF" w:usb1="C000605B" w:usb2="00000029" w:usb3="00000000" w:csb0="200101FF" w:csb1="20280000"/>
  </w:font>
  <w:font w:name="Traditional Arabic">
    <w:altName w:val="Segoe Print"/>
    <w:panose1 w:val="02020603050004020304"/>
    <w:charset w:val="00"/>
    <w:family w:val="auto"/>
    <w:pitch w:val="default"/>
    <w:sig w:usb0="00000000" w:usb1="00000000" w:usb2="00000008" w:usb3="00000000" w:csb0="00000041" w:csb1="20080000"/>
  </w:font>
  <w:font w:name="Trebuchet MS">
    <w:panose1 w:val="020B0603020202020204"/>
    <w:charset w:val="00"/>
    <w:family w:val="auto"/>
    <w:pitch w:val="default"/>
    <w:sig w:usb0="00000687" w:usb1="00000000" w:usb2="00000000" w:usb3="00000000" w:csb0="2000009F" w:csb1="00000000"/>
  </w:font>
  <w:font w:name="Webdings">
    <w:panose1 w:val="05030102010509060703"/>
    <w:charset w:val="00"/>
    <w:family w:val="auto"/>
    <w:pitch w:val="default"/>
    <w:sig w:usb0="00000000" w:usb1="00000000" w:usb2="00000000" w:usb3="00000000" w:csb0="80000000" w:csb1="00000000"/>
  </w:font>
  <w:font w:name="Vrinda">
    <w:altName w:val="Yu Gothic UI"/>
    <w:panose1 w:val="020B0502040002020203"/>
    <w:charset w:val="00"/>
    <w:family w:val="auto"/>
    <w:pitch w:val="default"/>
    <w:sig w:usb0="00000000" w:usb1="00000000" w:usb2="00000000" w:usb3="00000000" w:csb0="00000001" w:csb1="00000000"/>
  </w:font>
  <w:font w:name="Vijaya">
    <w:altName w:val="Segoe Print"/>
    <w:panose1 w:val="020B0604020002020204"/>
    <w:charset w:val="00"/>
    <w:family w:val="auto"/>
    <w:pitch w:val="default"/>
    <w:sig w:usb0="00000000" w:usb1="00000000" w:usb2="00000000" w:usb3="00000000" w:csb0="00000001" w:csb1="00000000"/>
  </w:font>
  <w:font w:name="Verdana">
    <w:panose1 w:val="020B0604030504040204"/>
    <w:charset w:val="00"/>
    <w:family w:val="auto"/>
    <w:pitch w:val="default"/>
    <w:sig w:usb0="A00006FF" w:usb1="4000205B" w:usb2="00000010" w:usb3="00000000" w:csb0="2000019F" w:csb1="00000000"/>
  </w:font>
  <w:font w:name="Vani">
    <w:altName w:val="Yu Gothic UI"/>
    <w:panose1 w:val="020B0502040002020203"/>
    <w:charset w:val="00"/>
    <w:family w:val="auto"/>
    <w:pitch w:val="default"/>
    <w:sig w:usb0="00000000" w:usb1="00000000" w:usb2="00000000" w:usb3="00000000" w:csb0="00000001" w:csb1="00000000"/>
  </w:font>
  <w:font w:name="Utsaah">
    <w:altName w:val="Segoe Print"/>
    <w:panose1 w:val="020B0604020002020204"/>
    <w:charset w:val="00"/>
    <w:family w:val="auto"/>
    <w:pitch w:val="default"/>
    <w:sig w:usb0="00000000" w:usb1="00000000" w:usb2="00000000" w:usb3="00000000" w:csb0="00000001" w:csb1="00000000"/>
  </w:font>
  <w:font w:name="UniDreamLED">
    <w:altName w:val="Verdana"/>
    <w:panose1 w:val="02000000000000000000"/>
    <w:charset w:val="00"/>
    <w:family w:val="auto"/>
    <w:pitch w:val="default"/>
    <w:sig w:usb0="00000000" w:usb1="00000000" w:usb2="00000000" w:usb3="00000000" w:csb0="4000001F" w:csb1="00000000"/>
  </w:font>
  <w:font w:name="Tunga">
    <w:altName w:val="Yu Gothic UI"/>
    <w:panose1 w:val="020B0502040002020203"/>
    <w:charset w:val="00"/>
    <w:family w:val="auto"/>
    <w:pitch w:val="default"/>
    <w:sig w:usb0="00000000" w:usb1="00000000" w:usb2="00000000" w:usb3="00000000" w:csb0="00000001" w:csb1="00000000"/>
  </w:font>
  <w:font w:name="方正隶书_GBK">
    <w:panose1 w:val="03000509000000000000"/>
    <w:charset w:val="86"/>
    <w:family w:val="auto"/>
    <w:pitch w:val="default"/>
    <w:sig w:usb0="00000001" w:usb1="080E0000" w:usb2="00000000" w:usb3="00000000" w:csb0="00040000" w:csb1="00000000"/>
  </w:font>
  <w:font w:name="BatangChe">
    <w:altName w:val="Malgun Gothic"/>
    <w:panose1 w:val="02030609000001010101"/>
    <w:charset w:val="81"/>
    <w:family w:val="auto"/>
    <w:pitch w:val="default"/>
    <w:sig w:usb0="00000000" w:usb1="00000000" w:usb2="00000030" w:usb3="00000000" w:csb0="4008009F" w:csb1="DFD70000"/>
  </w:font>
  <w:font w:name="Meiryo UI">
    <w:altName w:val="Yu Gothic UI"/>
    <w:panose1 w:val="020B0604030005040204"/>
    <w:charset w:val="80"/>
    <w:family w:val="auto"/>
    <w:pitch w:val="default"/>
    <w:sig w:usb0="00000000" w:usb1="00000000" w:usb2="00010012" w:usb3="00000000" w:csb0="6002009F" w:csb1="DFD70000"/>
  </w:font>
  <w:font w:name="Microsoft JhengHei">
    <w:panose1 w:val="020B0604030504040204"/>
    <w:charset w:val="88"/>
    <w:family w:val="auto"/>
    <w:pitch w:val="default"/>
    <w:sig w:usb0="000002A7" w:usb1="28CF4400" w:usb2="00000016" w:usb3="00000000" w:csb0="00100009" w:csb1="00000000"/>
  </w:font>
  <w:font w:name="MingLiU_HKSCS">
    <w:altName w:val="PMingLiU-ExtB"/>
    <w:panose1 w:val="02020500000000000000"/>
    <w:charset w:val="88"/>
    <w:family w:val="auto"/>
    <w:pitch w:val="default"/>
    <w:sig w:usb0="00000000" w:usb1="00000000" w:usb2="00000016" w:usb3="00000000" w:csb0="00100001" w:csb1="00000000"/>
  </w:font>
  <w:font w:name="MS Mincho">
    <w:altName w:val="Yu Gothic UI"/>
    <w:panose1 w:val="02020609040002080304"/>
    <w:charset w:val="80"/>
    <w:family w:val="auto"/>
    <w:pitch w:val="default"/>
    <w:sig w:usb0="00000000" w:usb1="00000000" w:usb2="00000012" w:usb3="00000000" w:csb0="4002009F" w:csb1="DFD70000"/>
  </w:font>
  <w:font w:name="MS PGothic">
    <w:panose1 w:val="020B0600070205080204"/>
    <w:charset w:val="80"/>
    <w:family w:val="auto"/>
    <w:pitch w:val="default"/>
    <w:sig w:usb0="E00002FF" w:usb1="6AC7FDFB" w:usb2="08000012" w:usb3="00000000" w:csb0="4002009F" w:csb1="DFD70000"/>
  </w:font>
  <w:font w:name="smartSimSun">
    <w:altName w:val="宋体"/>
    <w:panose1 w:val="02010600030001010101"/>
    <w:charset w:val="86"/>
    <w:family w:val="auto"/>
    <w:pitch w:val="default"/>
    <w:sig w:usb0="00000000" w:usb1="00000000" w:usb2="00000000" w:usb3="00000000" w:csb0="00040001" w:csb1="00000000"/>
  </w:font>
  <w:font w:name="Arabic Typesetting">
    <w:altName w:val="Ink Free"/>
    <w:panose1 w:val="03020402040004030203"/>
    <w:charset w:val="00"/>
    <w:family w:val="auto"/>
    <w:pitch w:val="default"/>
    <w:sig w:usb0="00000000" w:usb1="00000000" w:usb2="00000008" w:usb3="00000000" w:csb0="200000D3" w:csb1="00000000"/>
  </w:font>
  <w:font w:name="FrankRuehl">
    <w:altName w:val="Segoe Print"/>
    <w:panose1 w:val="020E0503060001010101"/>
    <w:charset w:val="00"/>
    <w:family w:val="auto"/>
    <w:pitch w:val="default"/>
    <w:sig w:usb0="00000000" w:usb1="00000000" w:usb2="00000000" w:usb3="00000000" w:csb0="00000020" w:csb1="00200000"/>
  </w:font>
  <w:font w:name="Impact">
    <w:panose1 w:val="020B0806030902050204"/>
    <w:charset w:val="00"/>
    <w:family w:val="auto"/>
    <w:pitch w:val="default"/>
    <w:sig w:usb0="00000287" w:usb1="00000000" w:usb2="00000000" w:usb3="00000000" w:csb0="2000009F" w:csb1="DFD70000"/>
  </w:font>
  <w:font w:name="icomoon">
    <w:altName w:val="Segoe Print"/>
    <w:panose1 w:val="00000000000000000000"/>
    <w:charset w:val="00"/>
    <w:family w:val="auto"/>
    <w:pitch w:val="default"/>
    <w:sig w:usb0="00000000" w:usb1="00000000" w:usb2="00000000" w:usb3="00000000" w:csb0="00000001" w:csb1="00000000"/>
  </w:font>
  <w:font w:name="Kartika">
    <w:altName w:val="PMingLiU-ExtB"/>
    <w:panose1 w:val="02020503030004060203"/>
    <w:charset w:val="00"/>
    <w:family w:val="auto"/>
    <w:pitch w:val="default"/>
    <w:sig w:usb0="00000000" w:usb1="00000000" w:usb2="00000000" w:usb3="00000000" w:csb0="00000001" w:csb1="00000000"/>
  </w:font>
  <w:font w:name="Leelawadee">
    <w:altName w:val="Leelawadee UI"/>
    <w:panose1 w:val="020B0502040002020203"/>
    <w:charset w:val="00"/>
    <w:family w:val="auto"/>
    <w:pitch w:val="default"/>
    <w:sig w:usb0="00000000" w:usb1="00000000" w:usb2="00000000" w:usb3="00000000" w:csb0="20010001" w:csb1="00000000"/>
  </w:font>
  <w:font w:name="MT Extra">
    <w:panose1 w:val="05050102010205020202"/>
    <w:charset w:val="00"/>
    <w:family w:val="auto"/>
    <w:pitch w:val="default"/>
    <w:sig w:usb0="80000000" w:usb1="00000000" w:usb2="00000000" w:usb3="00000000" w:csb0="00000000" w:csb1="00000000"/>
  </w:font>
  <w:font w:name="Palatino Linotype">
    <w:panose1 w:val="02040502050505030304"/>
    <w:charset w:val="00"/>
    <w:family w:val="auto"/>
    <w:pitch w:val="default"/>
    <w:sig w:usb0="E0000287" w:usb1="40000013" w:usb2="00000000" w:usb3="00000000" w:csb0="2000019F" w:csb1="00000000"/>
  </w:font>
  <w:font w:name="Plantagenet Cherokee">
    <w:altName w:val="Segoe Print"/>
    <w:panose1 w:val="02020602070001000000"/>
    <w:charset w:val="00"/>
    <w:family w:val="auto"/>
    <w:pitch w:val="default"/>
    <w:sig w:usb0="00000000" w:usb1="00000000" w:usb2="00001000" w:usb3="00000000" w:csb0="00000001" w:csb1="00000000"/>
  </w:font>
  <w:font w:name="Segoe Script">
    <w:panose1 w:val="030B0504020000000003"/>
    <w:charset w:val="00"/>
    <w:family w:val="auto"/>
    <w:pitch w:val="default"/>
    <w:sig w:usb0="0000028F" w:usb1="00000000" w:usb2="00000000" w:usb3="00000000" w:csb0="0000009F" w:csb1="00000000"/>
  </w:font>
  <w:font w:name="Segoe UI">
    <w:panose1 w:val="020B0502040204020203"/>
    <w:charset w:val="00"/>
    <w:family w:val="auto"/>
    <w:pitch w:val="default"/>
    <w:sig w:usb0="E4002EFF" w:usb1="C000E47F" w:usb2="00000009" w:usb3="00000000" w:csb0="200001FF" w:csb1="00000000"/>
  </w:font>
  <w:font w:name="Simplified Arabic Fixed">
    <w:altName w:val="Courier New"/>
    <w:panose1 w:val="02070309020002020404"/>
    <w:charset w:val="00"/>
    <w:family w:val="auto"/>
    <w:pitch w:val="default"/>
    <w:sig w:usb0="00000000" w:usb1="00000000" w:usb2="00000000" w:usb3="00000000" w:csb0="00000041" w:csb1="20080000"/>
  </w:font>
  <w:font w:name="Shruti">
    <w:altName w:val="Yu Gothic UI"/>
    <w:panose1 w:val="020B0502040002020203"/>
    <w:charset w:val="00"/>
    <w:family w:val="auto"/>
    <w:pitch w:val="default"/>
    <w:sig w:usb0="00000000" w:usb1="00000000" w:usb2="00000000" w:usb3="00000000" w:csb0="00000001" w:csb1="00000000"/>
  </w:font>
  <w:font w:name="Shonar Bangla">
    <w:altName w:val="Yu Gothic UI"/>
    <w:panose1 w:val="020B0502040002020203"/>
    <w:charset w:val="00"/>
    <w:family w:val="auto"/>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Segoe UI Semibold">
    <w:panose1 w:val="020B0702040204020203"/>
    <w:charset w:val="00"/>
    <w:family w:val="auto"/>
    <w:pitch w:val="default"/>
    <w:sig w:usb0="E4002EFF" w:usb1="C000E47F" w:usb2="00000009" w:usb3="00000000" w:csb0="200001FF" w:csb1="00000000"/>
  </w:font>
  <w:font w:name="Segoe UI Light">
    <w:panose1 w:val="020B0502040204020203"/>
    <w:charset w:val="00"/>
    <w:family w:val="auto"/>
    <w:pitch w:val="default"/>
    <w:sig w:usb0="E4002EFF" w:usb1="C000E47F" w:usb2="00000009" w:usb3="00000000" w:csb0="200001FF" w:csb1="00000000"/>
  </w:font>
  <w:font w:name="Sakkal Majalla">
    <w:altName w:val="Trebuchet MS"/>
    <w:panose1 w:val="02000000000000000000"/>
    <w:charset w:val="00"/>
    <w:family w:val="auto"/>
    <w:pitch w:val="default"/>
    <w:sig w:usb0="00000000" w:usb1="00000000" w:usb2="00000008" w:usb3="00000000" w:csb0="200000D3" w:csb1="00000000"/>
  </w:font>
  <w:font w:name="Rod">
    <w:altName w:val="PMingLiU-ExtB"/>
    <w:panose1 w:val="02030509050001010101"/>
    <w:charset w:val="00"/>
    <w:family w:val="auto"/>
    <w:pitch w:val="default"/>
    <w:sig w:usb0="00000000" w:usb1="00000000" w:usb2="00000000" w:usb3="00000000" w:csb0="00000020" w:csb1="00200000"/>
  </w:font>
  <w:font w:name="Raavi">
    <w:altName w:val="Yu Gothic UI"/>
    <w:panose1 w:val="020B0502040002020203"/>
    <w:charset w:val="00"/>
    <w:family w:val="auto"/>
    <w:pitch w:val="default"/>
    <w:sig w:usb0="00000000" w:usb1="00000000" w:usb2="00000000" w:usb3="00000000" w:csb0="00000001" w:csb1="00000000"/>
  </w:font>
  <w:font w:name="MoolBoran">
    <w:altName w:val="Verdana"/>
    <w:panose1 w:val="020B0100010001010101"/>
    <w:charset w:val="00"/>
    <w:family w:val="auto"/>
    <w:pitch w:val="default"/>
    <w:sig w:usb0="00000000" w:usb1="00000000" w:usb2="00010000" w:usb3="00000000" w:csb0="00000001" w:csb1="00000000"/>
  </w:font>
  <w:font w:name="MS Reference Specialty">
    <w:altName w:val="Segoe Print"/>
    <w:panose1 w:val="05000500000000000000"/>
    <w:charset w:val="00"/>
    <w:family w:val="auto"/>
    <w:pitch w:val="default"/>
    <w:sig w:usb0="00000000" w:usb1="00000000" w:usb2="00000000" w:usb3="00000000" w:csb0="80000000" w:csb1="00000000"/>
  </w:font>
  <w:font w:name="MV Boli">
    <w:panose1 w:val="02000500030200090000"/>
    <w:charset w:val="00"/>
    <w:family w:val="auto"/>
    <w:pitch w:val="default"/>
    <w:sig w:usb0="00000003" w:usb1="00000000" w:usb2="00000100" w:usb3="00000000" w:csb0="00000001" w:csb1="00000000"/>
  </w:font>
  <w:font w:name="Narkisim">
    <w:altName w:val="Segoe Print"/>
    <w:panose1 w:val="020E0502050001010101"/>
    <w:charset w:val="00"/>
    <w:family w:val="auto"/>
    <w:pitch w:val="default"/>
    <w:sig w:usb0="00000000" w:usb1="00000000" w:usb2="00000000" w:usb3="00000000" w:csb0="00000020" w:csb1="00200000"/>
  </w:font>
  <w:font w:name="NumberOnly">
    <w:panose1 w:val="020B0500000000000000"/>
    <w:charset w:val="00"/>
    <w:family w:val="auto"/>
    <w:pitch w:val="default"/>
    <w:sig w:usb0="8000002F" w:usb1="10000048" w:usb2="00000000" w:usb3="00000000" w:csb0="00000111" w:csb1="40000000"/>
  </w:font>
  <w:font w:name="Nyala">
    <w:altName w:val="Yu Gothic UI"/>
    <w:panose1 w:val="02000504070003020003"/>
    <w:charset w:val="00"/>
    <w:family w:val="auto"/>
    <w:pitch w:val="default"/>
    <w:sig w:usb0="00000000" w:usb1="00000000" w:usb2="00000800" w:usb3="00000000" w:csb0="00000093" w:csb1="00000000"/>
  </w:font>
  <w:font w:name="Century Gothic">
    <w:altName w:val="Segoe Print"/>
    <w:panose1 w:val="020B0502020002020204"/>
    <w:charset w:val="00"/>
    <w:family w:val="swiss"/>
    <w:pitch w:val="default"/>
    <w:sig w:usb0="00000000" w:usb1="00000000" w:usb2="00000000" w:usb3="00000000" w:csb0="0000009F" w:csb1="00000000"/>
  </w:font>
  <w:font w:name="Book Antiqua">
    <w:altName w:val="Segoe Print"/>
    <w:panose1 w:val="02040602050003030304"/>
    <w:charset w:val="00"/>
    <w:family w:val="roman"/>
    <w:pitch w:val="default"/>
    <w:sig w:usb0="00000000" w:usb1="00000000" w:usb2="00000000" w:usb3="00000000" w:csb0="0000009F" w:csb1="00000000"/>
  </w:font>
  <w:font w:name="方正黑体简体">
    <w:altName w:val="微软雅黑"/>
    <w:panose1 w:val="00000000000000000000"/>
    <w:charset w:val="86"/>
    <w:family w:val="script"/>
    <w:pitch w:val="default"/>
    <w:sig w:usb0="00000000" w:usb1="00000000" w:usb2="00000010" w:usb3="00000000" w:csb0="00040000" w:csb1="00000000"/>
  </w:font>
  <w:font w:name="Yu Gothic UI">
    <w:panose1 w:val="020B0500000000000000"/>
    <w:charset w:val="80"/>
    <w:family w:val="auto"/>
    <w:pitch w:val="default"/>
    <w:sig w:usb0="E00002FF" w:usb1="2AC7FDFF" w:usb2="00000016" w:usb3="00000000" w:csb0="2002009F" w:csb1="00000000"/>
  </w:font>
  <w:font w:name="FZXBSK--GBK1-0">
    <w:altName w:val="Segoe Print"/>
    <w:panose1 w:val="00000000000000000000"/>
    <w:charset w:val="00"/>
    <w:family w:val="auto"/>
    <w:pitch w:val="default"/>
    <w:sig w:usb0="00000000" w:usb1="00000000" w:usb2="00000000" w:usb3="00000000" w:csb0="00000000" w:csb1="00000000"/>
  </w:font>
  <w:font w:name="Batang">
    <w:altName w:val="Malgun Gothic"/>
    <w:panose1 w:val="02030600000001010101"/>
    <w:charset w:val="81"/>
    <w:family w:val="auto"/>
    <w:pitch w:val="default"/>
    <w:sig w:usb0="00000000" w:usb1="00000000" w:usb2="00000030" w:usb3="00000000" w:csb0="4008009F" w:csb1="DFD70000"/>
  </w:font>
  <w:font w:name="monospace">
    <w:altName w:val="Courier New"/>
    <w:panose1 w:val="00000000000000000000"/>
    <w:charset w:val="00"/>
    <w:family w:val="auto"/>
    <w:pitch w:val="default"/>
    <w:sig w:usb0="00000000" w:usb1="00000000" w:usb2="00000000" w:usb3="00000000" w:csb0="00040001" w:csb1="00000000"/>
  </w:font>
  <w:font w:name="等线">
    <w:panose1 w:val="02010600030101010101"/>
    <w:charset w:val="86"/>
    <w:family w:val="auto"/>
    <w:pitch w:val="default"/>
    <w:sig w:usb0="A00002BF" w:usb1="38CF7CFA" w:usb2="00000016" w:usb3="00000000" w:csb0="0004000F" w:csb1="00000000"/>
  </w:font>
  <w:font w:name="ESRI AMFM Electric">
    <w:altName w:val="Segoe UI Semilight"/>
    <w:panose1 w:val="02000400000000000000"/>
    <w:charset w:val="00"/>
    <w:family w:val="auto"/>
    <w:pitch w:val="default"/>
    <w:sig w:usb0="00000000" w:usb1="00000000" w:usb2="00000000" w:usb3="00000000" w:csb0="00000001" w:csb1="00000000"/>
  </w:font>
  <w:font w:name="方正楷体简体">
    <w:altName w:val="宋体"/>
    <w:panose1 w:val="02010601030001010101"/>
    <w:charset w:val="86"/>
    <w:family w:val="auto"/>
    <w:pitch w:val="default"/>
    <w:sig w:usb0="00000000" w:usb1="00000000" w:usb2="00000010" w:usb3="00000000" w:csb0="00040000" w:csb1="00000000"/>
  </w:font>
  <w:font w:name="Malgun Gothic">
    <w:panose1 w:val="020B0503020000020004"/>
    <w:charset w:val="81"/>
    <w:family w:val="auto"/>
    <w:pitch w:val="default"/>
    <w:sig w:usb0="9000002F" w:usb1="29D77CFB" w:usb2="00000012" w:usb3="00000000" w:csb0="00080001" w:csb1="00000000"/>
  </w:font>
  <w:font w:name="PMingLiU-ExtB">
    <w:panose1 w:val="02020500000000000000"/>
    <w:charset w:val="88"/>
    <w:family w:val="auto"/>
    <w:pitch w:val="default"/>
    <w:sig w:usb0="8000002F" w:usb1="02000008" w:usb2="00000000" w:usb3="00000000" w:csb0="00100001" w:csb1="00000000"/>
  </w:font>
  <w:font w:name="Ink Free">
    <w:panose1 w:val="03080402000500000000"/>
    <w:charset w:val="00"/>
    <w:family w:val="auto"/>
    <w:pitch w:val="default"/>
    <w:sig w:usb0="80000003" w:usb1="00000000" w:usb2="00000000" w:usb3="00000000" w:csb0="00000001" w:csb1="00000000"/>
  </w:font>
  <w:font w:name="Leelawadee UI">
    <w:panose1 w:val="020B0502040204020203"/>
    <w:charset w:val="00"/>
    <w:family w:val="auto"/>
    <w:pitch w:val="default"/>
    <w:sig w:usb0="83000003" w:usb1="00000000" w:usb2="00010000" w:usb3="00000001" w:csb0="00010101" w:csb1="00000000"/>
  </w:font>
  <w:font w:name="Sitka Text">
    <w:panose1 w:val="02000505000000020004"/>
    <w:charset w:val="00"/>
    <w:family w:val="auto"/>
    <w:pitch w:val="default"/>
    <w:sig w:usb0="A00002EF" w:usb1="4000204B" w:usb2="00000000" w:usb3="00000000" w:csb0="2000019F" w:csb1="00000000"/>
  </w:font>
  <w:font w:name="Segoe UI Semilight">
    <w:panose1 w:val="020B0402040204020203"/>
    <w:charset w:val="00"/>
    <w:family w:val="auto"/>
    <w:pitch w:val="default"/>
    <w:sig w:usb0="E4002EFF" w:usb1="C000E47F" w:usb2="00000009" w:usb3="00000000" w:csb0="200001FF" w:csb1="00000000"/>
  </w:font>
  <w:font w:name="system-ui">
    <w:altName w:val="Segoe Print"/>
    <w:panose1 w:val="00000000000000000000"/>
    <w:charset w:val="00"/>
    <w:family w:val="auto"/>
    <w:pitch w:val="default"/>
    <w:sig w:usb0="00000000" w:usb1="00000000" w:usb2="00000000" w:usb3="00000000" w:csb0="00000000" w:csb1="00000000"/>
  </w:font>
  <w:font w:name="Mongolian Baiti">
    <w:panose1 w:val="03000500000000000000"/>
    <w:charset w:val="00"/>
    <w:family w:val="auto"/>
    <w:pitch w:val="default"/>
    <w:sig w:usb0="80000023" w:usb1="00000000" w:usb2="00020000" w:usb3="00000000" w:csb0="00000001" w:csb1="00000000"/>
  </w:font>
  <w:font w:name="方正准圆_GBK">
    <w:panose1 w:val="03000509000000000000"/>
    <w:charset w:val="86"/>
    <w:family w:val="script"/>
    <w:pitch w:val="default"/>
    <w:sig w:usb0="00000001" w:usb1="080E0000" w:usb2="00000000" w:usb3="00000000" w:csb0="00040000" w:csb1="00000000"/>
  </w:font>
  <w:font w:name="_x000B__x000C_">
    <w:altName w:val="Times New Roman"/>
    <w:panose1 w:val="00000000000000000000"/>
    <w:charset w:val="00"/>
    <w:family w:val="roman"/>
    <w:pitch w:val="default"/>
    <w:sig w:usb0="00000000" w:usb1="00000000" w:usb2="00000000" w:usb3="00000000" w:csb0="00040001" w:csb1="00000000"/>
  </w:font>
  <w:font w:name="ˎ̥">
    <w:altName w:val="Times New Roman"/>
    <w:panose1 w:val="00000000000000000000"/>
    <w:charset w:val="00"/>
    <w:family w:val="roman"/>
    <w:pitch w:val="default"/>
    <w:sig w:usb0="00000000" w:usb1="00000000" w:usb2="00000000" w:usb3="00000000" w:csb0="00040001" w:csb1="00000000"/>
  </w:font>
  <w:font w:name="MingLiU">
    <w:altName w:val="PMingLiU-ExtB"/>
    <w:panose1 w:val="02020509000000000000"/>
    <w:charset w:val="88"/>
    <w:family w:val="modern"/>
    <w:pitch w:val="default"/>
    <w:sig w:usb0="00000000" w:usb1="00000000" w:usb2="00000016" w:usb3="00000000" w:csb0="00100001" w:csb1="00000000"/>
  </w:font>
  <w:font w:name="方正大黑_GBK">
    <w:panose1 w:val="03000509000000000000"/>
    <w:charset w:val="86"/>
    <w:family w:val="script"/>
    <w:pitch w:val="default"/>
    <w:sig w:usb0="00000001" w:usb1="080E0000" w:usb2="00000000" w:usb3="00000000" w:csb0="00040000" w:csb1="00000000"/>
  </w:font>
  <w:font w:name="Dotum">
    <w:altName w:val="Malgun Gothic"/>
    <w:panose1 w:val="020B0600000001010101"/>
    <w:charset w:val="81"/>
    <w:family w:val="swiss"/>
    <w:pitch w:val="default"/>
    <w:sig w:usb0="00000000" w:usb1="00000000" w:usb2="00000030" w:usb3="00000000" w:csb0="4008009F" w:csb1="DFD70000"/>
  </w:font>
  <w:font w:name="方正书宋简体">
    <w:altName w:val="宋体"/>
    <w:panose1 w:val="03000509000000000000"/>
    <w:charset w:val="86"/>
    <w:family w:val="script"/>
    <w:pitch w:val="default"/>
    <w:sig w:usb0="00000000" w:usb1="00000000" w:usb2="00000010" w:usb3="00000000" w:csb0="00040000" w:csb1="00000000"/>
  </w:font>
  <w:font w:name="bri">
    <w:altName w:val="Times New Roman"/>
    <w:panose1 w:val="00000000000000000000"/>
    <w:charset w:val="00"/>
    <w:family w:val="roman"/>
    <w:pitch w:val="default"/>
    <w:sig w:usb0="00000000" w:usb1="00000000" w:usb2="00000000" w:usb3="00000000" w:csb0="00040001" w:csb1="00000000"/>
  </w:font>
  <w:font w:name="Helvetica">
    <w:altName w:val="Arial"/>
    <w:panose1 w:val="020B0604020002020204"/>
    <w:charset w:val="00"/>
    <w:family w:val="swiss"/>
    <w:pitch w:val="default"/>
    <w:sig w:usb0="00000000" w:usb1="00000000" w:usb2="00000000" w:usb3="00000000" w:csb0="00000001" w:csb1="00000000"/>
  </w:font>
  <w:font w:name="å¾®è½¯é›…é»‘">
    <w:altName w:val="Segoe Print"/>
    <w:panose1 w:val="00000000000000000000"/>
    <w:charset w:val="00"/>
    <w:family w:val="auto"/>
    <w:pitch w:val="default"/>
    <w:sig w:usb0="00000000" w:usb1="00000000" w:usb2="00000000" w:usb3="00000000" w:csb0="00000000" w:csb1="00000000"/>
  </w:font>
  <w:font w:name="Helvetica Neue">
    <w:altName w:val="Times New Roman"/>
    <w:panose1 w:val="00000000000000000000"/>
    <w:charset w:val="00"/>
    <w:family w:val="roman"/>
    <w:pitch w:val="default"/>
    <w:sig w:usb0="00000000" w:usb1="00000000" w:usb2="00000000" w:usb3="00000000" w:csb0="00000001" w:csb1="00000000"/>
  </w:font>
  <w:font w:name="Arial Unicode MS">
    <w:altName w:val="宋体"/>
    <w:panose1 w:val="020B0604020002020204"/>
    <w:charset w:val="86"/>
    <w:family w:val="swiss"/>
    <w:pitch w:val="default"/>
    <w:sig w:usb0="00000000" w:usb1="00000000" w:usb2="0000003F" w:usb3="00000000" w:csb0="003F01FF" w:csb1="00000000"/>
  </w:font>
  <w:font w:name="方正大标宋简体">
    <w:altName w:val="微软雅黑"/>
    <w:panose1 w:val="03000509000000000000"/>
    <w:charset w:val="86"/>
    <w:family w:val="script"/>
    <w:pitch w:val="default"/>
    <w:sig w:usb0="00000000" w:usb1="00000000" w:usb2="00000000" w:usb3="00000000" w:csb0="00040000" w:csb1="00000000"/>
  </w:font>
  <w:font w:name="华文楷体">
    <w:altName w:val="宋体"/>
    <w:panose1 w:val="02010600040001010101"/>
    <w:charset w:val="86"/>
    <w:family w:val="auto"/>
    <w:pitch w:val="default"/>
    <w:sig w:usb0="00000000" w:usb1="00000000" w:usb2="00000000" w:usb3="00000000" w:csb0="0004009F" w:csb1="DFD70000"/>
  </w:font>
  <w:font w:name="”“Times New Roman”“">
    <w:altName w:val="宋体"/>
    <w:panose1 w:val="00000000000000000000"/>
    <w:charset w:val="86"/>
    <w:family w:val="auto"/>
    <w:pitch w:val="default"/>
    <w:sig w:usb0="00000000" w:usb1="00000000" w:usb2="00000010" w:usb3="00000000" w:csb0="00040000" w:csb1="00000000"/>
  </w:font>
  <w:font w:name="方正小标宋简体">
    <w:altName w:val="微软雅黑"/>
    <w:panose1 w:val="00000000000000000000"/>
    <w:charset w:val="00"/>
    <w:family w:val="auto"/>
    <w:pitch w:val="default"/>
    <w:sig w:usb0="00000000" w:usb1="00000000" w:usb2="00000000" w:usb3="00000000" w:csb0="00040001" w:csb1="00000000"/>
  </w:font>
  <w:font w:name="Symbol">
    <w:panose1 w:val="05050102010706020507"/>
    <w:charset w:val="00"/>
    <w:family w:val="auto"/>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 w:name="方正仿宋">
    <w:altName w:val="方正仿宋_GBK"/>
    <w:panose1 w:val="03000509000000000000"/>
    <w:charset w:val="00"/>
    <w:family w:val="script"/>
    <w:pitch w:val="default"/>
    <w:sig w:usb0="00000000" w:usb1="00000000" w:usb2="00000010" w:usb3="00000000" w:csb0="00040000"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rFonts w:hint="default"/>
      </w:rPr>
    </w:pP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default" w:ascii="Times New Roman" w:hAnsi="Times New Roman" w:cs="Times New Roman"/>
                              <w:sz w:val="28"/>
                              <w:szCs w:val="28"/>
                            </w:rPr>
                          </w:pP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- 9 -</w:t>
                          </w:r>
                          <w:r>
                            <w:rPr>
                              <w:rFonts w:hint="default" w:ascii="Times New Roman" w:hAnsi="Times New Roman" w:cs="Times New Roman"/>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2"/>
                      <w:rPr>
                        <w:rFonts w:hint="default" w:ascii="Times New Roman" w:hAnsi="Times New Roman" w:cs="Times New Roman"/>
                        <w:sz w:val="28"/>
                        <w:szCs w:val="28"/>
                      </w:rPr>
                    </w:pP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- 9 -</w:t>
                    </w:r>
                    <w:r>
                      <w:rPr>
                        <w:rFonts w:hint="default" w:ascii="Times New Roman" w:hAnsi="Times New Roman" w:cs="Times New Roman"/>
                        <w:sz w:val="28"/>
                        <w:szCs w:val="2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both"/>
      <w:rPr>
        <w:rFonts w:hint="default"/>
      </w:rPr>
    </w:pPr>
    <w:r>
      <mc:AlternateContent>
        <mc:Choice Requires="wps">
          <w:drawing>
            <wp:anchor distT="0" distB="0" distL="114300" distR="114300" simplePos="0" relativeHeight="251660288" behindDoc="0" locked="0" layoutInCell="1" allowOverlap="0">
              <wp:simplePos x="0" y="0"/>
              <wp:positionH relativeFrom="margin">
                <wp:align>outside</wp:align>
              </wp:positionH>
              <wp:positionV relativeFrom="paragraph">
                <wp:posOffset>-561975</wp:posOffset>
              </wp:positionV>
              <wp:extent cx="448310" cy="410845"/>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448310" cy="410845"/>
                      </a:xfrm>
                      <a:prstGeom prst="rect">
                        <a:avLst/>
                      </a:prstGeom>
                      <a:noFill/>
                      <a:ln w="6350">
                        <a:noFill/>
                      </a:ln>
                      <a:effectLst/>
                    </wps:spPr>
                    <wps:txbx>
                      <w:txbxContent>
                        <w:p>
                          <w:pPr>
                            <w:pStyle w:val="2"/>
                            <w:rPr>
                              <w:rFonts w:hint="default"/>
                            </w:rPr>
                          </w:pPr>
                          <w: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PAGE   \* MERGEFORMAT</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lang w:val="zh-CN"/>
                            </w:rPr>
                            <w:t>-</w:t>
                          </w:r>
                          <w:r>
                            <w:rPr>
                              <w:rFonts w:hint="default" w:ascii="Times New Roman" w:hAnsi="Times New Roman" w:cs="Times New Roman"/>
                              <w:sz w:val="28"/>
                              <w:szCs w:val="28"/>
                            </w:rPr>
                            <w:t xml:space="preserve"> 21 -</w:t>
                          </w:r>
                          <w:r>
                            <w:rPr>
                              <w:rFonts w:hint="default" w:ascii="Times New Roman" w:hAnsi="Times New Roman" w:cs="Times New Roman"/>
                              <w:sz w:val="28"/>
                              <w:szCs w:val="28"/>
                            </w:rPr>
                            <w:fldChar w:fldCharType="end"/>
                          </w:r>
                          <w:r>
                            <w:t xml:space="preserve"> </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top:-44.25pt;height:32.35pt;width:35.3pt;mso-position-horizontal:outside;mso-position-horizontal-relative:margin;z-index:251660288;mso-width-relative:page;mso-height-relative:page;" filled="f" stroked="f" coordsize="21600,21600" o:allowoverlap="f" o:gfxdata="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B7qYR/1gAAAAcB&#10;AAAPAAAAAAAAAAEAIAAAACIAAABkcnMvZG93bnJldi54bWxQSwECFAAUAAAACACHTuJAkzMYyB0C&#10;AAAZBAAADgAAAAAAAAABACAAAAAlAQAAZHJzL2Uyb0RvYy54bWxQSwUGAAAAAAYABgBZAQAAtAUA&#10;AAAA&#10;">
              <v:fill on="f" focussize="0,0"/>
              <v:stroke on="f" weight="0.5pt"/>
              <v:imagedata o:title=""/>
              <o:lock v:ext="edit" aspectratio="f"/>
              <v:textbox inset="0mm,0mm,0mm,0mm">
                <w:txbxContent>
                  <w:p>
                    <w:pPr>
                      <w:pStyle w:val="2"/>
                      <w:rPr>
                        <w:rFonts w:hint="default"/>
                      </w:rPr>
                    </w:pPr>
                    <w: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PAGE   \* MERGEFORMAT</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lang w:val="zh-CN"/>
                      </w:rPr>
                      <w:t>-</w:t>
                    </w:r>
                    <w:r>
                      <w:rPr>
                        <w:rFonts w:hint="default" w:ascii="Times New Roman" w:hAnsi="Times New Roman" w:cs="Times New Roman"/>
                        <w:sz w:val="28"/>
                        <w:szCs w:val="28"/>
                      </w:rPr>
                      <w:t xml:space="preserve"> 21 -</w:t>
                    </w:r>
                    <w:r>
                      <w:rPr>
                        <w:rFonts w:hint="default" w:ascii="Times New Roman" w:hAnsi="Times New Roman" w:cs="Times New Roman"/>
                        <w:sz w:val="28"/>
                        <w:szCs w:val="28"/>
                      </w:rPr>
                      <w:fldChar w:fldCharType="end"/>
                    </w:r>
                    <w:r>
                      <w:t xml:space="preserve"> </w:t>
                    </w:r>
                  </w:p>
                </w:txbxContent>
              </v:textbox>
            </v:shape>
          </w:pict>
        </mc:Fallback>
      </mc:AlternateContent>
    </w:r>
    <w:r>
      <mc:AlternateContent>
        <mc:Choice Requires="wps">
          <w:drawing>
            <wp:anchor distT="0" distB="0" distL="114300" distR="114300" simplePos="0" relativeHeight="251659264" behindDoc="0" locked="0" layoutInCell="1" allowOverlap="0">
              <wp:simplePos x="0" y="0"/>
              <wp:positionH relativeFrom="margin">
                <wp:align>center</wp:align>
              </wp:positionH>
              <wp:positionV relativeFrom="page">
                <wp:posOffset>14737080</wp:posOffset>
              </wp:positionV>
              <wp:extent cx="1828800" cy="22098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220980"/>
                      </a:xfrm>
                      <a:prstGeom prst="rect">
                        <a:avLst/>
                      </a:prstGeom>
                      <a:noFill/>
                      <a:ln w="6350">
                        <a:noFill/>
                      </a:ln>
                      <a:effectLst/>
                    </wps:spPr>
                    <wps:txbx>
                      <w:txbxContent>
                        <w:p>
                          <w:pPr>
                            <w:pStyle w:val="2"/>
                            <w:jc w:val="both"/>
                            <w:rPr>
                              <w:rFonts w:hint="default" w:cs="宋体"/>
                            </w:rPr>
                          </w:pPr>
                          <w:r>
                            <w:rPr>
                              <w:rFonts w:cs="宋体"/>
                            </w:rPr>
                            <w:t>— 27.1 —</w:t>
                          </w:r>
                        </w:p>
                      </w:txbxContent>
                    </wps:txbx>
                    <wps:bodyPr rot="0" spcFirstLastPara="0" vertOverflow="overflow" horzOverflow="overflow" vert="horz" wrap="non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top:1160.4pt;height:17.4pt;width:144pt;mso-position-horizontal:center;mso-position-horizontal-relative:margin;mso-position-vertical-relative:page;mso-wrap-style:none;z-index:251659264;mso-width-relative:page;mso-height-relative:page;" filled="f" stroked="f" coordsize="21600,21600" o:allowoverlap="f" o:gfxdata="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eA1UVNgAAAAKAQAA&#10;DwAAAAAAAAABACAAAAAiAAAAZHJzL2Rvd25yZXYueG1sUEsBAhQAFAAAAAgAh07iQG8zbR0ZAgAA&#10;GAQAAA4AAAAAAAAAAQAgAAAAJwEAAGRycy9lMm9Eb2MueG1sUEsFBgAAAAAGAAYAWQEAALIFAAAA&#10;AA==&#10;">
              <v:fill on="f" focussize="0,0"/>
              <v:stroke on="f" weight="0.5pt"/>
              <v:imagedata o:title=""/>
              <o:lock v:ext="edit" aspectratio="f"/>
              <v:textbox inset="0mm,0mm,0mm,0mm">
                <w:txbxContent>
                  <w:p>
                    <w:pPr>
                      <w:pStyle w:val="2"/>
                      <w:jc w:val="both"/>
                      <w:rPr>
                        <w:rFonts w:hint="default" w:cs="宋体"/>
                      </w:rPr>
                    </w:pPr>
                    <w:r>
                      <w:rPr>
                        <w:rFonts w:cs="宋体"/>
                      </w:rPr>
                      <w:t>— 27.1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tabs>
        <w:tab w:val="left" w:pos="1758"/>
        <w:tab w:val="clear" w:pos="4153"/>
        <w:tab w:val="clear" w:pos="8306"/>
      </w:tabs>
      <w:rPr>
        <w:rFonts w:hint="defaul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2CD96CD"/>
    <w:multiLevelType w:val="singleLevel"/>
    <w:tmpl w:val="C2CD96CD"/>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QwYWQ1YTE0ZDA0NjgxYzlhMjZlMDExNTFmMWI3MmEifQ=="/>
  </w:docVars>
  <w:rsids>
    <w:rsidRoot w:val="00B03CCD"/>
    <w:rsid w:val="00041826"/>
    <w:rsid w:val="002F58F4"/>
    <w:rsid w:val="00550ABE"/>
    <w:rsid w:val="00641380"/>
    <w:rsid w:val="007B419D"/>
    <w:rsid w:val="009B67B8"/>
    <w:rsid w:val="00B03CCD"/>
    <w:rsid w:val="00F73F90"/>
    <w:rsid w:val="01474EBF"/>
    <w:rsid w:val="019C3E7F"/>
    <w:rsid w:val="01F3521E"/>
    <w:rsid w:val="03A271B4"/>
    <w:rsid w:val="03B87EA0"/>
    <w:rsid w:val="03E3214F"/>
    <w:rsid w:val="044C50BA"/>
    <w:rsid w:val="05BC6D49"/>
    <w:rsid w:val="06194FF1"/>
    <w:rsid w:val="0676174F"/>
    <w:rsid w:val="06A2550B"/>
    <w:rsid w:val="06F80EE2"/>
    <w:rsid w:val="07001CCA"/>
    <w:rsid w:val="07291679"/>
    <w:rsid w:val="075678DB"/>
    <w:rsid w:val="079D7CC7"/>
    <w:rsid w:val="08051BCA"/>
    <w:rsid w:val="086C12F4"/>
    <w:rsid w:val="08705944"/>
    <w:rsid w:val="08B91B17"/>
    <w:rsid w:val="08BA052C"/>
    <w:rsid w:val="08DB07BA"/>
    <w:rsid w:val="0969353F"/>
    <w:rsid w:val="098305D0"/>
    <w:rsid w:val="0A3317EA"/>
    <w:rsid w:val="0A5C4B69"/>
    <w:rsid w:val="0A86124A"/>
    <w:rsid w:val="0AB54CC0"/>
    <w:rsid w:val="0B9335CE"/>
    <w:rsid w:val="0BF2311A"/>
    <w:rsid w:val="0C7927C4"/>
    <w:rsid w:val="0C9B098C"/>
    <w:rsid w:val="0D673E11"/>
    <w:rsid w:val="0DDA54E4"/>
    <w:rsid w:val="0E3A5F83"/>
    <w:rsid w:val="0E795A3A"/>
    <w:rsid w:val="0ECC7A56"/>
    <w:rsid w:val="0F836721"/>
    <w:rsid w:val="0FA25D96"/>
    <w:rsid w:val="107B59E5"/>
    <w:rsid w:val="10EC0126"/>
    <w:rsid w:val="10F70B9A"/>
    <w:rsid w:val="111445C7"/>
    <w:rsid w:val="114278C6"/>
    <w:rsid w:val="1158083A"/>
    <w:rsid w:val="11643A4B"/>
    <w:rsid w:val="11ED0F98"/>
    <w:rsid w:val="11F03528"/>
    <w:rsid w:val="12C921C4"/>
    <w:rsid w:val="12D034A1"/>
    <w:rsid w:val="13871C70"/>
    <w:rsid w:val="13A71CB4"/>
    <w:rsid w:val="13AF1D43"/>
    <w:rsid w:val="13CE1647"/>
    <w:rsid w:val="13FD55AB"/>
    <w:rsid w:val="14200702"/>
    <w:rsid w:val="14C55096"/>
    <w:rsid w:val="163A6CEE"/>
    <w:rsid w:val="173708E3"/>
    <w:rsid w:val="17C374FC"/>
    <w:rsid w:val="182E4AB6"/>
    <w:rsid w:val="184C0240"/>
    <w:rsid w:val="187C3C2C"/>
    <w:rsid w:val="189079DC"/>
    <w:rsid w:val="189B0D0B"/>
    <w:rsid w:val="18B43F7C"/>
    <w:rsid w:val="19321355"/>
    <w:rsid w:val="194A1770"/>
    <w:rsid w:val="19B906A4"/>
    <w:rsid w:val="1B6F15B6"/>
    <w:rsid w:val="1BAA2EDC"/>
    <w:rsid w:val="1CA55E64"/>
    <w:rsid w:val="1D014A01"/>
    <w:rsid w:val="1D022362"/>
    <w:rsid w:val="1D1B04B0"/>
    <w:rsid w:val="1D7C54BA"/>
    <w:rsid w:val="1DA52501"/>
    <w:rsid w:val="1DBD6767"/>
    <w:rsid w:val="1DC52125"/>
    <w:rsid w:val="1DD26311"/>
    <w:rsid w:val="1E374ACB"/>
    <w:rsid w:val="1ECF0A66"/>
    <w:rsid w:val="1EF67CA4"/>
    <w:rsid w:val="1F020D3A"/>
    <w:rsid w:val="1F2C5189"/>
    <w:rsid w:val="1F4B0B02"/>
    <w:rsid w:val="1FBB35CD"/>
    <w:rsid w:val="1FCD26AF"/>
    <w:rsid w:val="20642787"/>
    <w:rsid w:val="20EB1E1B"/>
    <w:rsid w:val="21556F04"/>
    <w:rsid w:val="22403BD3"/>
    <w:rsid w:val="24B92327"/>
    <w:rsid w:val="24C14514"/>
    <w:rsid w:val="2533755C"/>
    <w:rsid w:val="253900CC"/>
    <w:rsid w:val="25791755"/>
    <w:rsid w:val="26396DF4"/>
    <w:rsid w:val="27167136"/>
    <w:rsid w:val="27B23302"/>
    <w:rsid w:val="29310A5F"/>
    <w:rsid w:val="29C37A35"/>
    <w:rsid w:val="2A076083"/>
    <w:rsid w:val="2A73162E"/>
    <w:rsid w:val="2A9A0606"/>
    <w:rsid w:val="2AB61A19"/>
    <w:rsid w:val="2B167953"/>
    <w:rsid w:val="2B200583"/>
    <w:rsid w:val="2B8209DE"/>
    <w:rsid w:val="2BDA6FE9"/>
    <w:rsid w:val="2C636760"/>
    <w:rsid w:val="2C6762A3"/>
    <w:rsid w:val="2FCA4B37"/>
    <w:rsid w:val="2FE029D7"/>
    <w:rsid w:val="2FF06E00"/>
    <w:rsid w:val="30586FEC"/>
    <w:rsid w:val="315A4665"/>
    <w:rsid w:val="315F0B22"/>
    <w:rsid w:val="31D84415"/>
    <w:rsid w:val="31F42862"/>
    <w:rsid w:val="32285F6F"/>
    <w:rsid w:val="32770556"/>
    <w:rsid w:val="329C0913"/>
    <w:rsid w:val="32AA0460"/>
    <w:rsid w:val="3337290D"/>
    <w:rsid w:val="33E31118"/>
    <w:rsid w:val="33EF7674"/>
    <w:rsid w:val="342D7BC6"/>
    <w:rsid w:val="352930DB"/>
    <w:rsid w:val="35573069"/>
    <w:rsid w:val="355F6038"/>
    <w:rsid w:val="358C217E"/>
    <w:rsid w:val="36C9128A"/>
    <w:rsid w:val="37841E99"/>
    <w:rsid w:val="37BF1123"/>
    <w:rsid w:val="37E874BE"/>
    <w:rsid w:val="383C3F15"/>
    <w:rsid w:val="388A0903"/>
    <w:rsid w:val="38BE4696"/>
    <w:rsid w:val="3939115E"/>
    <w:rsid w:val="39B82A39"/>
    <w:rsid w:val="39C42CA8"/>
    <w:rsid w:val="39DC4FD6"/>
    <w:rsid w:val="39E774B6"/>
    <w:rsid w:val="39F03D7A"/>
    <w:rsid w:val="39F33306"/>
    <w:rsid w:val="3A2C1C67"/>
    <w:rsid w:val="3AA12BBD"/>
    <w:rsid w:val="3AC31EBE"/>
    <w:rsid w:val="3ADD7F09"/>
    <w:rsid w:val="3B1705E5"/>
    <w:rsid w:val="3B18334B"/>
    <w:rsid w:val="3B36794F"/>
    <w:rsid w:val="3B6F6EE0"/>
    <w:rsid w:val="3C332A75"/>
    <w:rsid w:val="3C566AD6"/>
    <w:rsid w:val="3C594871"/>
    <w:rsid w:val="3C6A5B02"/>
    <w:rsid w:val="3D2757A1"/>
    <w:rsid w:val="3D3D4FC4"/>
    <w:rsid w:val="3DDF3AB1"/>
    <w:rsid w:val="3E026036"/>
    <w:rsid w:val="3E1D0952"/>
    <w:rsid w:val="3E42660A"/>
    <w:rsid w:val="3E7555B1"/>
    <w:rsid w:val="3E787ED9"/>
    <w:rsid w:val="3EE9432A"/>
    <w:rsid w:val="3F032E93"/>
    <w:rsid w:val="3F0527E5"/>
    <w:rsid w:val="3F694D83"/>
    <w:rsid w:val="3F885DCC"/>
    <w:rsid w:val="3FCD675E"/>
    <w:rsid w:val="4004000C"/>
    <w:rsid w:val="411B6CE5"/>
    <w:rsid w:val="412070D7"/>
    <w:rsid w:val="41314E40"/>
    <w:rsid w:val="41E0734B"/>
    <w:rsid w:val="426C1EA8"/>
    <w:rsid w:val="42736402"/>
    <w:rsid w:val="427B1A18"/>
    <w:rsid w:val="42E86A87"/>
    <w:rsid w:val="43307B09"/>
    <w:rsid w:val="439A3EB9"/>
    <w:rsid w:val="43BB152F"/>
    <w:rsid w:val="44C37687"/>
    <w:rsid w:val="45CB699A"/>
    <w:rsid w:val="465B470D"/>
    <w:rsid w:val="469D6AD4"/>
    <w:rsid w:val="471E6C84"/>
    <w:rsid w:val="4748792B"/>
    <w:rsid w:val="475D719D"/>
    <w:rsid w:val="47674801"/>
    <w:rsid w:val="48225EF7"/>
    <w:rsid w:val="488F422B"/>
    <w:rsid w:val="48E36915"/>
    <w:rsid w:val="48EB6572"/>
    <w:rsid w:val="495C4A24"/>
    <w:rsid w:val="497135DF"/>
    <w:rsid w:val="4A263DF2"/>
    <w:rsid w:val="4A6F6675"/>
    <w:rsid w:val="4B135857"/>
    <w:rsid w:val="4B7951CB"/>
    <w:rsid w:val="4B7C315C"/>
    <w:rsid w:val="4DA437AE"/>
    <w:rsid w:val="4DAC4ACA"/>
    <w:rsid w:val="4DBE01D2"/>
    <w:rsid w:val="4E84050B"/>
    <w:rsid w:val="4F0C6BA3"/>
    <w:rsid w:val="4F186D58"/>
    <w:rsid w:val="50F06B6E"/>
    <w:rsid w:val="51D21804"/>
    <w:rsid w:val="52234D33"/>
    <w:rsid w:val="522F6E0C"/>
    <w:rsid w:val="52463BA1"/>
    <w:rsid w:val="525A57A7"/>
    <w:rsid w:val="52F163D4"/>
    <w:rsid w:val="531A2DB4"/>
    <w:rsid w:val="53C0244D"/>
    <w:rsid w:val="53DD4D4E"/>
    <w:rsid w:val="53E578CE"/>
    <w:rsid w:val="541330F0"/>
    <w:rsid w:val="54272666"/>
    <w:rsid w:val="543B029D"/>
    <w:rsid w:val="54861779"/>
    <w:rsid w:val="552256E1"/>
    <w:rsid w:val="554E5773"/>
    <w:rsid w:val="555A3CBC"/>
    <w:rsid w:val="5582012B"/>
    <w:rsid w:val="558E4E05"/>
    <w:rsid w:val="55BE2E85"/>
    <w:rsid w:val="56530F5D"/>
    <w:rsid w:val="567700D3"/>
    <w:rsid w:val="56F27A13"/>
    <w:rsid w:val="56FF7E9E"/>
    <w:rsid w:val="578867FC"/>
    <w:rsid w:val="5842572D"/>
    <w:rsid w:val="5A3B59D6"/>
    <w:rsid w:val="5AD134D8"/>
    <w:rsid w:val="5C192059"/>
    <w:rsid w:val="5C263CE4"/>
    <w:rsid w:val="5C5D2777"/>
    <w:rsid w:val="5CF66BF3"/>
    <w:rsid w:val="5D290C69"/>
    <w:rsid w:val="5D6B4657"/>
    <w:rsid w:val="5F2D4A41"/>
    <w:rsid w:val="5F5557D0"/>
    <w:rsid w:val="60C74F6C"/>
    <w:rsid w:val="61025A59"/>
    <w:rsid w:val="613D5BBC"/>
    <w:rsid w:val="61536C39"/>
    <w:rsid w:val="62944DD7"/>
    <w:rsid w:val="6319381F"/>
    <w:rsid w:val="63400D2D"/>
    <w:rsid w:val="63C25DC5"/>
    <w:rsid w:val="63C62057"/>
    <w:rsid w:val="64571EF5"/>
    <w:rsid w:val="64FB113D"/>
    <w:rsid w:val="656152C6"/>
    <w:rsid w:val="6587477F"/>
    <w:rsid w:val="658C3A08"/>
    <w:rsid w:val="65C031CA"/>
    <w:rsid w:val="65CE6852"/>
    <w:rsid w:val="66267C04"/>
    <w:rsid w:val="663F505A"/>
    <w:rsid w:val="66EE5541"/>
    <w:rsid w:val="673F5DE6"/>
    <w:rsid w:val="67924660"/>
    <w:rsid w:val="68022E2F"/>
    <w:rsid w:val="68407834"/>
    <w:rsid w:val="6883293E"/>
    <w:rsid w:val="688412AD"/>
    <w:rsid w:val="68EB1B71"/>
    <w:rsid w:val="6AAD2300"/>
    <w:rsid w:val="6B474EF5"/>
    <w:rsid w:val="6C0A5AC5"/>
    <w:rsid w:val="6C560CAE"/>
    <w:rsid w:val="6C576495"/>
    <w:rsid w:val="6C6D07E8"/>
    <w:rsid w:val="6D903FF5"/>
    <w:rsid w:val="6DA955B8"/>
    <w:rsid w:val="6DE346AB"/>
    <w:rsid w:val="6DE5391A"/>
    <w:rsid w:val="6EFD1324"/>
    <w:rsid w:val="6F5A53AC"/>
    <w:rsid w:val="6F68140A"/>
    <w:rsid w:val="6FAC003D"/>
    <w:rsid w:val="6FE55E12"/>
    <w:rsid w:val="6FFB2E76"/>
    <w:rsid w:val="708F6F7F"/>
    <w:rsid w:val="70D94BD3"/>
    <w:rsid w:val="71C34D91"/>
    <w:rsid w:val="7291007C"/>
    <w:rsid w:val="72DB435C"/>
    <w:rsid w:val="72E2613A"/>
    <w:rsid w:val="72F771F4"/>
    <w:rsid w:val="73934AD2"/>
    <w:rsid w:val="73E71CFC"/>
    <w:rsid w:val="750837F0"/>
    <w:rsid w:val="754758CF"/>
    <w:rsid w:val="764F62AB"/>
    <w:rsid w:val="765C45EC"/>
    <w:rsid w:val="768A7619"/>
    <w:rsid w:val="772E1EBA"/>
    <w:rsid w:val="781926BC"/>
    <w:rsid w:val="796D60A4"/>
    <w:rsid w:val="79A031D5"/>
    <w:rsid w:val="7A1525F7"/>
    <w:rsid w:val="7B420052"/>
    <w:rsid w:val="7BD06A28"/>
    <w:rsid w:val="7C3A7C0B"/>
    <w:rsid w:val="7C5248E4"/>
    <w:rsid w:val="7C566698"/>
    <w:rsid w:val="7C5866A3"/>
    <w:rsid w:val="7D7406BB"/>
    <w:rsid w:val="7DE94331"/>
    <w:rsid w:val="7F446A19"/>
    <w:rsid w:val="7F7452B9"/>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6">
    <w:name w:val="Default Paragraph Font"/>
    <w:unhideWhenUsed/>
    <w:uiPriority w:val="1"/>
  </w:style>
  <w:style w:type="table" w:default="1" w:styleId="8">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pPr>
    <w:rPr>
      <w:sz w:val="18"/>
      <w:szCs w:val="18"/>
    </w:rPr>
  </w:style>
  <w:style w:type="paragraph" w:styleId="3">
    <w:name w:val="header"/>
    <w:basedOn w:val="1"/>
    <w:qFormat/>
    <w:uiPriority w:val="0"/>
    <w:pPr>
      <w:tabs>
        <w:tab w:val="center" w:pos="4153"/>
        <w:tab w:val="right" w:pos="8306"/>
      </w:tabs>
      <w:snapToGrid w:val="0"/>
      <w:jc w:val="center"/>
    </w:pPr>
    <w:rPr>
      <w:sz w:val="18"/>
      <w:szCs w:val="18"/>
    </w:rPr>
  </w:style>
  <w:style w:type="paragraph" w:styleId="4">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5">
    <w:name w:val="Normal (Web)"/>
    <w:basedOn w:val="1"/>
    <w:unhideWhenUsed/>
    <w:qFormat/>
    <w:uiPriority w:val="0"/>
    <w:pPr>
      <w:spacing w:before="100" w:beforeAutospacing="1" w:after="100" w:afterAutospacing="1"/>
    </w:pPr>
  </w:style>
  <w:style w:type="character" w:styleId="7">
    <w:name w:val="Strong"/>
    <w:qFormat/>
    <w:uiPriority w:val="0"/>
    <w:rPr>
      <w:b/>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10">
    <w:name w:val="列出段落1"/>
    <w:basedOn w:val="1"/>
    <w:qFormat/>
    <w:uiPriority w:val="99"/>
    <w:pPr>
      <w:ind w:firstLine="420" w:firstLineChars="200"/>
    </w:pPr>
    <w:rPr>
      <w:rFonts w:hint="default"/>
    </w:rPr>
  </w:style>
  <w:style w:type="paragraph" w:customStyle="1" w:styleId="11">
    <w:name w:val="普通(网站) Char"/>
    <w:qFormat/>
    <w:uiPriority w:val="0"/>
    <w:pPr>
      <w:spacing w:before="100" w:beforeAutospacing="1" w:after="100" w:afterAutospacing="1"/>
    </w:pPr>
    <w:rPr>
      <w:rFonts w:ascii="宋体" w:hAnsi="宋体" w:eastAsia="宋体" w:cs="Times New Roman"/>
      <w:sz w:val="24"/>
      <w:szCs w:val="24"/>
      <w:lang w:val="en-US" w:eastAsia="zh-CN" w:bidi="ar-SA"/>
    </w:rPr>
  </w:style>
  <w:style w:type="character" w:customStyle="1" w:styleId="12">
    <w:name w:val="21"/>
    <w:qFormat/>
    <w:uiPriority w:val="0"/>
    <w:rPr>
      <w:rFonts w:hint="default" w:ascii="Wingdings" w:hAnsi="Wingdings" w:cs="Wingdings"/>
      <w:b/>
      <w:bCs/>
    </w:rPr>
  </w:style>
  <w:style w:type="paragraph" w:customStyle="1" w:styleId="13">
    <w:name w:val="列出段落2"/>
    <w:qFormat/>
    <w:uiPriority w:val="99"/>
    <w:pPr>
      <w:ind w:firstLine="420" w:firstLineChars="200"/>
    </w:pPr>
    <w:rPr>
      <w:rFonts w:ascii="宋体" w:hAnsi="宋体" w:eastAsia="宋体" w:cs="Times New Roman"/>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22</Pages>
  <Words>2084</Words>
  <Characters>11883</Characters>
  <Lines>99</Lines>
  <Paragraphs>27</Paragraphs>
  <ScaleCrop>false</ScaleCrop>
  <LinksUpToDate>false</LinksUpToDate>
  <CharactersWithSpaces>13940</CharactersWithSpaces>
  <Application>WPS Office_10.8.0.5761_F1E327BC-269C-435d-A152-05C5408002CA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2024-07-11T02:00:00Z</dcterms:created>
  <dc:creator>Administrator</dc:creator>
  <cp:lastModifiedBy>Administrator</cp:lastModifiedBy>
  <dcterms:modified xsi:type="dcterms:W3CDTF">2024-09-12T01:34:25Z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2052-10.8.0.5761</vt:lpwstr>
  </property>
  <property fmtid="{D5CDD505-2E9C-101B-9397-08002B2CF9AE}" pid="3" name="ICV">
    <vt:lpwstr>BB46EABDBB2749749395447164B066B3_12</vt:lpwstr>
  </property>
</Properties>
</file>